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34896B4">
      <w:pPr>
        <w:rPr>
          <w:rFonts w:ascii="仿宋_GB2312" w:hAnsi="仿宋_GB2312" w:eastAsia="仿宋_GB2312" w:cs="仿宋_GB2312"/>
          <w:sz w:val="36"/>
          <w:szCs w:val="36"/>
        </w:rPr>
      </w:pPr>
    </w:p>
    <w:p w14:paraId="22CA6876">
      <w:pPr>
        <w:rPr>
          <w:rFonts w:ascii="仿宋_GB2312" w:hAnsi="仿宋_GB2312" w:eastAsia="仿宋_GB2312" w:cs="仿宋_GB2312"/>
          <w:sz w:val="36"/>
          <w:szCs w:val="36"/>
        </w:rPr>
      </w:pPr>
    </w:p>
    <w:p w14:paraId="4FF01D4E">
      <w:pPr>
        <w:rPr>
          <w:rFonts w:ascii="仿宋_GB2312" w:hAnsi="仿宋_GB2312" w:eastAsia="仿宋_GB2312" w:cs="仿宋_GB2312"/>
          <w:sz w:val="36"/>
          <w:szCs w:val="36"/>
        </w:rPr>
      </w:pPr>
    </w:p>
    <w:p w14:paraId="49A1089C">
      <w:pPr>
        <w:adjustRightInd w:val="0"/>
        <w:snapToGrid w:val="0"/>
        <w:jc w:val="center"/>
        <w:outlineLvl w:val="0"/>
        <w:rPr>
          <w:rFonts w:ascii="方正小标宋_GBK" w:eastAsia="方正小标宋_GBK"/>
          <w:bCs/>
          <w:sz w:val="72"/>
          <w:szCs w:val="72"/>
        </w:rPr>
      </w:pPr>
      <w:r>
        <w:rPr>
          <w:rFonts w:hint="eastAsia" w:ascii="方正小标宋_GBK" w:eastAsia="方正小标宋_GBK"/>
          <w:bCs/>
          <w:sz w:val="72"/>
          <w:szCs w:val="72"/>
        </w:rPr>
        <w:t>建设项目环境影响报告表</w:t>
      </w:r>
    </w:p>
    <w:p w14:paraId="41D42941">
      <w:pPr>
        <w:adjustRightInd w:val="0"/>
        <w:snapToGrid w:val="0"/>
        <w:spacing w:before="192" w:beforeLines="80"/>
        <w:jc w:val="center"/>
        <w:rPr>
          <w:rFonts w:ascii="楷体_GB2312" w:eastAsia="楷体_GB2312"/>
          <w:bCs/>
          <w:sz w:val="48"/>
          <w:szCs w:val="48"/>
        </w:rPr>
      </w:pPr>
      <w:r>
        <w:rPr>
          <w:rFonts w:hint="eastAsia" w:ascii="楷体_GB2312" w:eastAsia="楷体_GB2312"/>
          <w:bCs/>
          <w:sz w:val="48"/>
          <w:szCs w:val="48"/>
        </w:rPr>
        <w:t>（污染影响类）</w:t>
      </w:r>
    </w:p>
    <w:p w14:paraId="033F81A0">
      <w:pPr>
        <w:adjustRightInd w:val="0"/>
        <w:snapToGrid w:val="0"/>
        <w:spacing w:line="288" w:lineRule="auto"/>
        <w:jc w:val="center"/>
        <w:rPr>
          <w:rFonts w:ascii="华文仿宋" w:hAnsi="华文仿宋" w:eastAsia="华文仿宋" w:cs="华文仿宋"/>
          <w:color w:val="000000"/>
          <w:kern w:val="44"/>
          <w:sz w:val="44"/>
          <w:szCs w:val="44"/>
        </w:rPr>
      </w:pPr>
    </w:p>
    <w:p w14:paraId="365C96E4">
      <w:pPr>
        <w:jc w:val="center"/>
        <w:rPr>
          <w:rFonts w:eastAsia="仿宋"/>
          <w:sz w:val="52"/>
          <w:szCs w:val="52"/>
        </w:rPr>
      </w:pPr>
    </w:p>
    <w:p w14:paraId="1915726A">
      <w:pPr>
        <w:ind w:firstLine="1040"/>
        <w:rPr>
          <w:rFonts w:eastAsia="仿宋"/>
          <w:sz w:val="44"/>
          <w:szCs w:val="44"/>
          <w:highlight w:val="green"/>
        </w:rPr>
      </w:pPr>
    </w:p>
    <w:p w14:paraId="66D2FEDC">
      <w:pPr>
        <w:ind w:firstLine="1040"/>
        <w:rPr>
          <w:rFonts w:eastAsia="仿宋"/>
          <w:sz w:val="44"/>
          <w:szCs w:val="44"/>
          <w:highlight w:val="green"/>
        </w:rPr>
      </w:pPr>
    </w:p>
    <w:p w14:paraId="47881A29">
      <w:pPr>
        <w:ind w:firstLine="1040"/>
        <w:rPr>
          <w:rFonts w:eastAsia="仿宋"/>
          <w:sz w:val="44"/>
          <w:szCs w:val="44"/>
          <w:highlight w:val="green"/>
        </w:rPr>
      </w:pPr>
    </w:p>
    <w:p w14:paraId="4B60615F">
      <w:pPr>
        <w:ind w:firstLine="1040"/>
        <w:rPr>
          <w:rFonts w:eastAsia="仿宋"/>
          <w:sz w:val="44"/>
          <w:szCs w:val="44"/>
          <w:highlight w:val="green"/>
        </w:rPr>
      </w:pPr>
    </w:p>
    <w:p w14:paraId="31A910E6">
      <w:pPr>
        <w:ind w:firstLine="1040"/>
        <w:rPr>
          <w:rFonts w:eastAsia="仿宋"/>
          <w:sz w:val="44"/>
          <w:szCs w:val="44"/>
          <w:highlight w:val="green"/>
        </w:rPr>
      </w:pPr>
    </w:p>
    <w:p w14:paraId="6CC7CAF1">
      <w:pPr>
        <w:pStyle w:val="2"/>
        <w:ind w:left="420"/>
        <w:rPr>
          <w:highlight w:val="green"/>
        </w:rPr>
      </w:pPr>
    </w:p>
    <w:p w14:paraId="3E1F858A">
      <w:pPr>
        <w:ind w:firstLine="1040"/>
        <w:rPr>
          <w:rFonts w:eastAsia="仿宋"/>
          <w:sz w:val="44"/>
          <w:szCs w:val="44"/>
          <w:highlight w:val="green"/>
        </w:rPr>
      </w:pPr>
    </w:p>
    <w:p w14:paraId="5A52CF3B">
      <w:pPr>
        <w:adjustRightInd w:val="0"/>
        <w:snapToGrid w:val="0"/>
        <w:spacing w:line="288" w:lineRule="auto"/>
        <w:ind w:firstLine="1040"/>
        <w:rPr>
          <w:rFonts w:ascii="仿宋_GB2312" w:eastAsia="仿宋_GB2312"/>
          <w:sz w:val="36"/>
          <w:szCs w:val="36"/>
        </w:rPr>
      </w:pPr>
      <w:r>
        <w:rPr>
          <w:rFonts w:ascii="仿宋_GB2312" w:eastAsia="仿宋_GB2312"/>
          <w:sz w:val="36"/>
          <w:szCs w:val="36"/>
        </w:rPr>
        <w:t>项目名称：</w:t>
      </w:r>
      <w:r>
        <w:rPr>
          <w:rFonts w:hint="eastAsia" w:ascii="仿宋_GB2312" w:eastAsia="仿宋_GB2312"/>
          <w:sz w:val="36"/>
          <w:szCs w:val="36"/>
          <w:u w:val="single"/>
        </w:rPr>
        <w:t>马铃薯淀粉加工废水中沼气回收利用技术研究与示范</w:t>
      </w:r>
    </w:p>
    <w:p w14:paraId="35E4EAF1">
      <w:pPr>
        <w:adjustRightInd w:val="0"/>
        <w:snapToGrid w:val="0"/>
        <w:spacing w:line="288" w:lineRule="auto"/>
        <w:ind w:firstLine="1040"/>
        <w:rPr>
          <w:rFonts w:hint="eastAsia" w:ascii="仿宋_GB2312" w:eastAsia="仿宋_GB2312"/>
          <w:sz w:val="36"/>
          <w:szCs w:val="36"/>
          <w:u w:val="single"/>
          <w:lang w:eastAsia="zh-CN"/>
        </w:rPr>
      </w:pPr>
      <w:r>
        <w:rPr>
          <w:rFonts w:hint="eastAsia" w:ascii="仿宋_GB2312" w:eastAsia="仿宋_GB2312"/>
          <w:sz w:val="36"/>
          <w:szCs w:val="36"/>
        </w:rPr>
        <w:t>建设单位（盖章）：</w:t>
      </w:r>
      <w:bookmarkStart w:id="0" w:name="OLE_LINK3"/>
      <w:r>
        <w:rPr>
          <w:rFonts w:hint="eastAsia" w:ascii="仿宋_GB2312" w:eastAsia="仿宋_GB2312"/>
          <w:sz w:val="36"/>
          <w:szCs w:val="36"/>
          <w:u w:val="single"/>
        </w:rPr>
        <w:t>承德</w:t>
      </w:r>
      <w:r>
        <w:rPr>
          <w:rFonts w:hint="eastAsia" w:ascii="仿宋_GB2312" w:eastAsia="仿宋_GB2312"/>
          <w:sz w:val="36"/>
          <w:szCs w:val="36"/>
          <w:u w:val="single"/>
          <w:lang w:val="en-US" w:eastAsia="zh-CN"/>
        </w:rPr>
        <w:t>泓辉双合淀粉有</w:t>
      </w:r>
      <w:r>
        <w:rPr>
          <w:rFonts w:hint="eastAsia" w:ascii="仿宋_GB2312" w:eastAsia="仿宋_GB2312"/>
          <w:sz w:val="36"/>
          <w:szCs w:val="36"/>
          <w:u w:val="single"/>
        </w:rPr>
        <w:t>限公司</w:t>
      </w:r>
      <w:bookmarkEnd w:id="0"/>
    </w:p>
    <w:p w14:paraId="2A15F798">
      <w:pPr>
        <w:adjustRightInd w:val="0"/>
        <w:snapToGrid w:val="0"/>
        <w:spacing w:line="288" w:lineRule="auto"/>
        <w:ind w:firstLine="1040"/>
        <w:rPr>
          <w:rFonts w:hint="default" w:ascii="仿宋_GB2312" w:eastAsia="仿宋_GB2312"/>
          <w:sz w:val="36"/>
          <w:szCs w:val="36"/>
          <w:lang w:val="en-US" w:eastAsia="zh-CN"/>
        </w:rPr>
      </w:pPr>
      <w:r>
        <w:rPr>
          <w:rFonts w:hint="eastAsia" w:ascii="仿宋_GB2312" w:eastAsia="仿宋_GB2312"/>
          <w:sz w:val="36"/>
          <w:szCs w:val="36"/>
        </w:rPr>
        <w:t>编制日期：</w:t>
      </w:r>
      <w:r>
        <w:rPr>
          <w:rFonts w:hint="eastAsia" w:ascii="仿宋_GB2312" w:eastAsia="仿宋_GB2312"/>
          <w:sz w:val="36"/>
          <w:szCs w:val="36"/>
          <w:u w:val="single"/>
          <w:lang w:val="en-US" w:eastAsia="zh-CN"/>
        </w:rPr>
        <w:t>2024</w:t>
      </w:r>
      <w:r>
        <w:rPr>
          <w:rFonts w:ascii="仿宋_GB2312" w:eastAsia="仿宋_GB2312"/>
          <w:sz w:val="36"/>
          <w:szCs w:val="36"/>
          <w:u w:val="single"/>
        </w:rPr>
        <w:t>年</w:t>
      </w:r>
      <w:r>
        <w:rPr>
          <w:rFonts w:hint="eastAsia" w:ascii="仿宋_GB2312" w:eastAsia="仿宋_GB2312"/>
          <w:sz w:val="36"/>
          <w:szCs w:val="36"/>
          <w:u w:val="single"/>
          <w:lang w:val="en-US" w:eastAsia="zh-CN"/>
        </w:rPr>
        <w:t>11</w:t>
      </w:r>
      <w:r>
        <w:rPr>
          <w:rFonts w:ascii="仿宋_GB2312" w:eastAsia="仿宋_GB2312"/>
          <w:sz w:val="36"/>
          <w:szCs w:val="36"/>
          <w:u w:val="single"/>
        </w:rPr>
        <w:t>月</w:t>
      </w:r>
    </w:p>
    <w:p w14:paraId="27C8461B">
      <w:pPr>
        <w:adjustRightInd w:val="0"/>
        <w:snapToGrid w:val="0"/>
        <w:spacing w:line="288" w:lineRule="auto"/>
        <w:ind w:firstLine="1040"/>
        <w:rPr>
          <w:rFonts w:ascii="仿宋_GB2312" w:eastAsia="仿宋_GB2312"/>
          <w:sz w:val="36"/>
          <w:szCs w:val="36"/>
          <w:u w:val="single"/>
        </w:rPr>
      </w:pPr>
      <w:bookmarkStart w:id="1" w:name="_Hlk57884087"/>
    </w:p>
    <w:p w14:paraId="49364303">
      <w:pPr>
        <w:adjustRightInd w:val="0"/>
        <w:snapToGrid w:val="0"/>
        <w:spacing w:line="288" w:lineRule="auto"/>
        <w:ind w:firstLine="1040"/>
        <w:rPr>
          <w:rFonts w:ascii="仿宋_GB2312" w:eastAsia="仿宋_GB2312"/>
          <w:sz w:val="36"/>
          <w:szCs w:val="36"/>
        </w:rPr>
      </w:pPr>
    </w:p>
    <w:bookmarkEnd w:id="1"/>
    <w:p w14:paraId="41B5B5B0">
      <w:pPr>
        <w:adjustRightInd w:val="0"/>
        <w:snapToGrid w:val="0"/>
        <w:spacing w:line="288" w:lineRule="auto"/>
        <w:jc w:val="center"/>
        <w:rPr>
          <w:rFonts w:ascii="楷体_GB2312" w:eastAsia="楷体_GB2312"/>
          <w:sz w:val="36"/>
          <w:szCs w:val="36"/>
        </w:rPr>
      </w:pPr>
      <w:r>
        <w:rPr>
          <w:rFonts w:hint="eastAsia" w:ascii="楷体_GB2312" w:eastAsia="楷体_GB2312"/>
          <w:sz w:val="36"/>
          <w:szCs w:val="36"/>
        </w:rPr>
        <w:t>中华人民共和国生态环境部制</w:t>
      </w:r>
    </w:p>
    <w:p w14:paraId="7307F47B">
      <w:pPr>
        <w:adjustRightInd w:val="0"/>
        <w:snapToGrid w:val="0"/>
        <w:spacing w:line="288" w:lineRule="auto"/>
        <w:ind w:firstLine="1040"/>
        <w:rPr>
          <w:rFonts w:ascii="仿宋_GB2312" w:eastAsia="仿宋_GB2312"/>
          <w:sz w:val="36"/>
          <w:szCs w:val="36"/>
        </w:rPr>
      </w:pPr>
    </w:p>
    <w:p w14:paraId="133B00D5">
      <w:pPr>
        <w:pStyle w:val="2"/>
        <w:ind w:left="420"/>
        <w:rPr>
          <w:highlight w:val="green"/>
        </w:rPr>
      </w:pPr>
    </w:p>
    <w:p w14:paraId="599B9F74">
      <w:pPr>
        <w:pStyle w:val="2"/>
        <w:ind w:left="420"/>
        <w:rPr>
          <w:highlight w:val="green"/>
        </w:rPr>
      </w:pPr>
    </w:p>
    <w:p w14:paraId="0E6BB1B8">
      <w:pPr>
        <w:pStyle w:val="2"/>
        <w:ind w:left="420"/>
        <w:rPr>
          <w:highlight w:val="green"/>
        </w:rPr>
        <w:sectPr>
          <w:footerReference r:id="rId3" w:type="default"/>
          <w:footerReference r:id="rId4" w:type="even"/>
          <w:pgSz w:w="11906" w:h="16838"/>
          <w:pgMar w:top="1701" w:right="1531" w:bottom="1701" w:left="1531" w:header="851" w:footer="1077" w:gutter="0"/>
          <w:pgNumType w:start="3"/>
          <w:cols w:space="720" w:num="1"/>
          <w:docGrid w:linePitch="312" w:charSpace="0"/>
        </w:sectPr>
      </w:pPr>
    </w:p>
    <w:p w14:paraId="53E444F3">
      <w:pPr>
        <w:pStyle w:val="19"/>
        <w:spacing w:before="120" w:beforeLines="50" w:beforeAutospacing="0" w:after="240" w:afterLines="100" w:afterAutospacing="0"/>
        <w:jc w:val="center"/>
        <w:outlineLvl w:val="0"/>
        <w:rPr>
          <w:rFonts w:ascii="黑体" w:hAnsi="黑体" w:eastAsia="黑体"/>
          <w:snapToGrid w:val="0"/>
          <w:sz w:val="30"/>
          <w:szCs w:val="30"/>
        </w:rPr>
      </w:pPr>
      <w:r>
        <w:rPr>
          <w:rFonts w:hint="eastAsia" w:ascii="黑体" w:hAnsi="黑体" w:eastAsia="黑体"/>
          <w:snapToGrid w:val="0"/>
          <w:sz w:val="30"/>
          <w:szCs w:val="30"/>
        </w:rPr>
        <w:t>一、建设项目基本情况</w:t>
      </w:r>
    </w:p>
    <w:tbl>
      <w:tblPr>
        <w:tblStyle w:val="23"/>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382"/>
        <w:gridCol w:w="1637"/>
        <w:gridCol w:w="2212"/>
        <w:gridCol w:w="2639"/>
      </w:tblGrid>
      <w:tr w14:paraId="7222F1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74" w:hRule="atLeast"/>
          <w:jc w:val="center"/>
        </w:trPr>
        <w:tc>
          <w:tcPr>
            <w:tcW w:w="2382" w:type="dxa"/>
            <w:tcMar>
              <w:top w:w="16" w:type="dxa"/>
              <w:left w:w="16" w:type="dxa"/>
              <w:right w:w="16" w:type="dxa"/>
            </w:tcMar>
            <w:vAlign w:val="center"/>
          </w:tcPr>
          <w:p w14:paraId="7735EF7F">
            <w:pPr>
              <w:adjustRightInd w:val="0"/>
              <w:snapToGrid w:val="0"/>
              <w:jc w:val="center"/>
              <w:rPr>
                <w:rFonts w:ascii="宋体" w:hAnsi="宋体" w:cs="宋体"/>
                <w:b/>
                <w:sz w:val="24"/>
              </w:rPr>
            </w:pPr>
            <w:r>
              <w:rPr>
                <w:rFonts w:hint="eastAsia" w:ascii="宋体" w:hAnsi="宋体" w:cs="宋体"/>
                <w:b/>
                <w:sz w:val="24"/>
              </w:rPr>
              <w:t>建设项目名称</w:t>
            </w:r>
          </w:p>
        </w:tc>
        <w:tc>
          <w:tcPr>
            <w:tcW w:w="6488" w:type="dxa"/>
            <w:gridSpan w:val="3"/>
            <w:vAlign w:val="center"/>
          </w:tcPr>
          <w:p w14:paraId="6B31D771">
            <w:pPr>
              <w:adjustRightInd w:val="0"/>
              <w:snapToGrid w:val="0"/>
              <w:jc w:val="center"/>
              <w:rPr>
                <w:spacing w:val="-10"/>
                <w:sz w:val="24"/>
              </w:rPr>
            </w:pPr>
            <w:r>
              <w:rPr>
                <w:rFonts w:hint="eastAsia"/>
                <w:spacing w:val="-10"/>
                <w:sz w:val="24"/>
              </w:rPr>
              <w:t>马铃薯淀粉加工废水中沼气回收利用技术研究与示范</w:t>
            </w:r>
          </w:p>
        </w:tc>
      </w:tr>
      <w:tr w14:paraId="0A923C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2" w:hRule="atLeast"/>
          <w:jc w:val="center"/>
        </w:trPr>
        <w:tc>
          <w:tcPr>
            <w:tcW w:w="2382" w:type="dxa"/>
            <w:tcMar>
              <w:top w:w="16" w:type="dxa"/>
              <w:left w:w="16" w:type="dxa"/>
              <w:right w:w="16" w:type="dxa"/>
            </w:tcMar>
            <w:vAlign w:val="center"/>
          </w:tcPr>
          <w:p w14:paraId="41875CD0">
            <w:pPr>
              <w:adjustRightInd w:val="0"/>
              <w:snapToGrid w:val="0"/>
              <w:jc w:val="center"/>
              <w:rPr>
                <w:rFonts w:ascii="宋体" w:hAnsi="宋体" w:cs="宋体"/>
                <w:b/>
                <w:sz w:val="24"/>
              </w:rPr>
            </w:pPr>
            <w:r>
              <w:rPr>
                <w:rFonts w:hint="eastAsia" w:ascii="宋体" w:hAnsi="宋体" w:cs="宋体"/>
                <w:b/>
                <w:sz w:val="24"/>
              </w:rPr>
              <w:t>项目代码</w:t>
            </w:r>
          </w:p>
        </w:tc>
        <w:tc>
          <w:tcPr>
            <w:tcW w:w="6488" w:type="dxa"/>
            <w:gridSpan w:val="3"/>
            <w:vAlign w:val="center"/>
          </w:tcPr>
          <w:p w14:paraId="01007B99">
            <w:pPr>
              <w:adjustRightInd w:val="0"/>
              <w:snapToGrid w:val="0"/>
              <w:jc w:val="center"/>
              <w:rPr>
                <w:rFonts w:hint="default" w:eastAsia="宋体"/>
                <w:sz w:val="24"/>
                <w:lang w:val="en-US" w:eastAsia="zh-CN"/>
              </w:rPr>
            </w:pPr>
            <w:r>
              <w:rPr>
                <w:rFonts w:hint="eastAsia"/>
                <w:sz w:val="24"/>
              </w:rPr>
              <w:t>240</w:t>
            </w:r>
            <w:r>
              <w:rPr>
                <w:rFonts w:hint="eastAsia"/>
                <w:sz w:val="24"/>
                <w:lang w:val="en-US" w:eastAsia="zh-CN"/>
              </w:rPr>
              <w:t>9</w:t>
            </w:r>
            <w:r>
              <w:rPr>
                <w:rFonts w:hint="eastAsia"/>
                <w:sz w:val="24"/>
              </w:rPr>
              <w:t>-1308</w:t>
            </w:r>
            <w:r>
              <w:rPr>
                <w:rFonts w:hint="eastAsia"/>
                <w:sz w:val="24"/>
                <w:lang w:val="en-US" w:eastAsia="zh-CN"/>
              </w:rPr>
              <w:t>28</w:t>
            </w:r>
            <w:r>
              <w:rPr>
                <w:rFonts w:hint="eastAsia"/>
                <w:sz w:val="24"/>
              </w:rPr>
              <w:t>-89-01-2</w:t>
            </w:r>
            <w:r>
              <w:rPr>
                <w:rFonts w:hint="eastAsia"/>
                <w:sz w:val="24"/>
                <w:lang w:val="en-US" w:eastAsia="zh-CN"/>
              </w:rPr>
              <w:t>64549</w:t>
            </w:r>
          </w:p>
        </w:tc>
      </w:tr>
      <w:tr w14:paraId="3CCE67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90" w:hRule="atLeast"/>
          <w:jc w:val="center"/>
        </w:trPr>
        <w:tc>
          <w:tcPr>
            <w:tcW w:w="2382" w:type="dxa"/>
            <w:tcMar>
              <w:top w:w="16" w:type="dxa"/>
              <w:left w:w="16" w:type="dxa"/>
              <w:right w:w="16" w:type="dxa"/>
            </w:tcMar>
            <w:vAlign w:val="center"/>
          </w:tcPr>
          <w:p w14:paraId="2727E2E1">
            <w:pPr>
              <w:adjustRightInd w:val="0"/>
              <w:snapToGrid w:val="0"/>
              <w:jc w:val="center"/>
              <w:rPr>
                <w:rFonts w:ascii="宋体" w:hAnsi="宋体" w:cs="宋体"/>
                <w:b/>
                <w:sz w:val="24"/>
              </w:rPr>
            </w:pPr>
            <w:r>
              <w:rPr>
                <w:rFonts w:hint="eastAsia" w:ascii="宋体" w:hAnsi="宋体" w:cs="宋体"/>
                <w:b/>
                <w:sz w:val="24"/>
              </w:rPr>
              <w:t>建设单位联系人</w:t>
            </w:r>
          </w:p>
        </w:tc>
        <w:tc>
          <w:tcPr>
            <w:tcW w:w="1637" w:type="dxa"/>
            <w:vAlign w:val="center"/>
          </w:tcPr>
          <w:p w14:paraId="403791B1">
            <w:pPr>
              <w:adjustRightInd w:val="0"/>
              <w:snapToGrid w:val="0"/>
              <w:jc w:val="center"/>
              <w:rPr>
                <w:rFonts w:hint="eastAsia" w:ascii="宋体" w:hAnsi="宋体" w:eastAsia="宋体" w:cs="宋体"/>
                <w:sz w:val="24"/>
                <w:lang w:val="en-US" w:eastAsia="zh-CN"/>
              </w:rPr>
            </w:pPr>
            <w:bookmarkStart w:id="2" w:name="OLE_LINK17"/>
            <w:r>
              <w:rPr>
                <w:rFonts w:hint="eastAsia" w:ascii="宋体" w:hAnsi="宋体" w:cs="宋体"/>
                <w:sz w:val="24"/>
                <w:lang w:val="en-US" w:eastAsia="zh-CN"/>
              </w:rPr>
              <w:t>李磊</w:t>
            </w:r>
            <w:bookmarkEnd w:id="2"/>
          </w:p>
        </w:tc>
        <w:tc>
          <w:tcPr>
            <w:tcW w:w="2212" w:type="dxa"/>
            <w:vAlign w:val="center"/>
          </w:tcPr>
          <w:p w14:paraId="2EDCFB1F">
            <w:pPr>
              <w:adjustRightInd w:val="0"/>
              <w:snapToGrid w:val="0"/>
              <w:jc w:val="center"/>
              <w:rPr>
                <w:rFonts w:ascii="宋体" w:hAnsi="宋体" w:cs="宋体"/>
                <w:b/>
                <w:sz w:val="24"/>
              </w:rPr>
            </w:pPr>
            <w:r>
              <w:rPr>
                <w:rFonts w:hint="eastAsia" w:ascii="宋体" w:hAnsi="宋体" w:cs="宋体"/>
                <w:b/>
                <w:sz w:val="24"/>
              </w:rPr>
              <w:t>联系方式</w:t>
            </w:r>
          </w:p>
        </w:tc>
        <w:tc>
          <w:tcPr>
            <w:tcW w:w="2639" w:type="dxa"/>
            <w:vAlign w:val="center"/>
          </w:tcPr>
          <w:p w14:paraId="6E9A9EE3">
            <w:pPr>
              <w:adjustRightInd w:val="0"/>
              <w:snapToGrid w:val="0"/>
              <w:jc w:val="center"/>
              <w:rPr>
                <w:rFonts w:hint="default" w:eastAsia="宋体"/>
                <w:sz w:val="24"/>
                <w:lang w:val="en-US" w:eastAsia="zh-CN"/>
              </w:rPr>
            </w:pPr>
            <w:bookmarkStart w:id="3" w:name="OLE_LINK18"/>
            <w:r>
              <w:rPr>
                <w:rFonts w:hint="eastAsia"/>
                <w:sz w:val="24"/>
                <w:lang w:val="en-US" w:eastAsia="zh-CN"/>
              </w:rPr>
              <w:t>1839570</w:t>
            </w:r>
            <w:bookmarkEnd w:id="3"/>
            <w:r>
              <w:rPr>
                <w:rFonts w:hint="eastAsia"/>
                <w:sz w:val="24"/>
                <w:lang w:val="en-US" w:eastAsia="zh-CN"/>
              </w:rPr>
              <w:t>****</w:t>
            </w:r>
            <w:bookmarkStart w:id="22" w:name="_GoBack"/>
            <w:bookmarkEnd w:id="22"/>
          </w:p>
        </w:tc>
      </w:tr>
      <w:tr w14:paraId="15A489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73" w:hRule="atLeast"/>
          <w:jc w:val="center"/>
        </w:trPr>
        <w:tc>
          <w:tcPr>
            <w:tcW w:w="2382" w:type="dxa"/>
            <w:tcMar>
              <w:top w:w="16" w:type="dxa"/>
              <w:left w:w="16" w:type="dxa"/>
              <w:right w:w="16" w:type="dxa"/>
            </w:tcMar>
            <w:vAlign w:val="center"/>
          </w:tcPr>
          <w:p w14:paraId="5560798F">
            <w:pPr>
              <w:adjustRightInd w:val="0"/>
              <w:snapToGrid w:val="0"/>
              <w:jc w:val="center"/>
              <w:rPr>
                <w:rFonts w:ascii="宋体" w:hAnsi="宋体" w:cs="宋体"/>
                <w:b/>
                <w:sz w:val="24"/>
              </w:rPr>
            </w:pPr>
            <w:r>
              <w:rPr>
                <w:rFonts w:hint="eastAsia" w:ascii="宋体" w:hAnsi="宋体" w:cs="宋体"/>
                <w:b/>
                <w:sz w:val="24"/>
              </w:rPr>
              <w:t>建设地点</w:t>
            </w:r>
          </w:p>
        </w:tc>
        <w:tc>
          <w:tcPr>
            <w:tcW w:w="6488" w:type="dxa"/>
            <w:gridSpan w:val="3"/>
            <w:vAlign w:val="center"/>
          </w:tcPr>
          <w:p w14:paraId="712438D0">
            <w:pPr>
              <w:adjustRightInd w:val="0"/>
              <w:snapToGrid w:val="0"/>
              <w:jc w:val="center"/>
              <w:rPr>
                <w:rFonts w:hint="default" w:ascii="宋体" w:hAnsi="宋体" w:eastAsia="宋体" w:cs="宋体"/>
                <w:spacing w:val="-2"/>
                <w:sz w:val="24"/>
                <w:lang w:val="en-US" w:eastAsia="zh-CN"/>
              </w:rPr>
            </w:pPr>
            <w:r>
              <w:rPr>
                <w:rFonts w:hint="eastAsia" w:ascii="宋体" w:hAnsi="宋体" w:cs="宋体"/>
                <w:spacing w:val="-2"/>
                <w:sz w:val="24"/>
                <w:u w:val="single"/>
              </w:rPr>
              <w:t>河北</w:t>
            </w:r>
            <w:r>
              <w:rPr>
                <w:rFonts w:hint="eastAsia" w:ascii="宋体" w:hAnsi="宋体" w:cs="宋体"/>
                <w:spacing w:val="-2"/>
                <w:sz w:val="24"/>
              </w:rPr>
              <w:t>省</w:t>
            </w:r>
            <w:r>
              <w:rPr>
                <w:rFonts w:hint="eastAsia" w:ascii="宋体" w:hAnsi="宋体" w:cs="宋体"/>
                <w:spacing w:val="-2"/>
                <w:sz w:val="24"/>
                <w:u w:val="single"/>
              </w:rPr>
              <w:t>承德</w:t>
            </w:r>
            <w:r>
              <w:rPr>
                <w:rFonts w:hint="eastAsia" w:ascii="宋体" w:hAnsi="宋体" w:cs="宋体"/>
                <w:spacing w:val="-2"/>
                <w:sz w:val="24"/>
              </w:rPr>
              <w:t>市</w:t>
            </w:r>
            <w:r>
              <w:rPr>
                <w:rFonts w:hint="eastAsia" w:ascii="宋体" w:hAnsi="宋体" w:cs="宋体"/>
                <w:spacing w:val="-2"/>
                <w:sz w:val="24"/>
                <w:u w:val="single"/>
                <w:lang w:val="en-US" w:eastAsia="zh-CN"/>
              </w:rPr>
              <w:t>围场满族蒙古族自治</w:t>
            </w:r>
            <w:r>
              <w:rPr>
                <w:rFonts w:hint="eastAsia" w:ascii="宋体" w:hAnsi="宋体" w:cs="宋体"/>
                <w:spacing w:val="-2"/>
                <w:sz w:val="24"/>
                <w:u w:val="none"/>
                <w:lang w:val="en-US" w:eastAsia="zh-CN"/>
              </w:rPr>
              <w:t>县</w:t>
            </w:r>
            <w:r>
              <w:rPr>
                <w:rFonts w:hint="eastAsia" w:ascii="宋体" w:hAnsi="宋体" w:cs="宋体"/>
                <w:spacing w:val="-2"/>
                <w:sz w:val="24"/>
                <w:u w:val="single"/>
                <w:lang w:val="en-US" w:eastAsia="zh-CN"/>
              </w:rPr>
              <w:t>半截塔</w:t>
            </w:r>
            <w:r>
              <w:rPr>
                <w:rFonts w:hint="eastAsia" w:ascii="宋体" w:hAnsi="宋体" w:cs="宋体"/>
                <w:spacing w:val="-2"/>
                <w:sz w:val="24"/>
              </w:rPr>
              <w:t>镇</w:t>
            </w:r>
            <w:r>
              <w:rPr>
                <w:rFonts w:hint="eastAsia" w:ascii="宋体" w:hAnsi="宋体" w:cs="宋体"/>
                <w:spacing w:val="-2"/>
                <w:sz w:val="24"/>
                <w:u w:val="single"/>
                <w:lang w:val="en-US" w:eastAsia="zh-CN"/>
              </w:rPr>
              <w:t>什</w:t>
            </w:r>
            <w:r>
              <w:rPr>
                <w:rFonts w:hint="eastAsia" w:ascii="宋体" w:hAnsi="宋体" w:cs="宋体"/>
                <w:spacing w:val="-2"/>
                <w:sz w:val="24"/>
                <w:u w:val="single"/>
              </w:rPr>
              <w:t>八</w:t>
            </w:r>
            <w:r>
              <w:rPr>
                <w:rFonts w:hint="eastAsia" w:ascii="宋体" w:hAnsi="宋体" w:cs="宋体"/>
                <w:spacing w:val="-2"/>
                <w:sz w:val="24"/>
                <w:u w:val="single"/>
                <w:lang w:val="en-US" w:eastAsia="zh-CN"/>
              </w:rPr>
              <w:t>克村</w:t>
            </w:r>
          </w:p>
        </w:tc>
      </w:tr>
      <w:tr w14:paraId="109908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3" w:hRule="atLeast"/>
          <w:jc w:val="center"/>
        </w:trPr>
        <w:tc>
          <w:tcPr>
            <w:tcW w:w="2382" w:type="dxa"/>
            <w:tcMar>
              <w:top w:w="16" w:type="dxa"/>
              <w:left w:w="16" w:type="dxa"/>
              <w:right w:w="16" w:type="dxa"/>
            </w:tcMar>
            <w:vAlign w:val="center"/>
          </w:tcPr>
          <w:p w14:paraId="644B7D58">
            <w:pPr>
              <w:adjustRightInd w:val="0"/>
              <w:snapToGrid w:val="0"/>
              <w:jc w:val="center"/>
              <w:rPr>
                <w:rFonts w:ascii="宋体" w:hAnsi="宋体" w:cs="宋体"/>
                <w:b/>
                <w:sz w:val="24"/>
              </w:rPr>
            </w:pPr>
            <w:r>
              <w:rPr>
                <w:rFonts w:hint="eastAsia" w:ascii="宋体" w:hAnsi="宋体" w:cs="宋体"/>
                <w:b/>
                <w:sz w:val="24"/>
              </w:rPr>
              <w:t>地理坐标</w:t>
            </w:r>
          </w:p>
        </w:tc>
        <w:tc>
          <w:tcPr>
            <w:tcW w:w="6488" w:type="dxa"/>
            <w:gridSpan w:val="3"/>
            <w:vAlign w:val="center"/>
          </w:tcPr>
          <w:p w14:paraId="3F1480AB">
            <w:pPr>
              <w:jc w:val="center"/>
              <w:rPr>
                <w:rFonts w:ascii="宋体" w:hAnsi="宋体" w:cs="宋体"/>
                <w:sz w:val="24"/>
              </w:rPr>
            </w:pPr>
            <w:r>
              <w:rPr>
                <w:rFonts w:hint="eastAsia" w:ascii="宋体" w:hAnsi="宋体" w:cs="宋体"/>
                <w:sz w:val="24"/>
              </w:rPr>
              <w:t>（</w:t>
            </w:r>
            <w:r>
              <w:rPr>
                <w:sz w:val="24"/>
                <w:u w:val="single"/>
              </w:rPr>
              <w:t>11</w:t>
            </w:r>
            <w:r>
              <w:rPr>
                <w:rFonts w:hint="eastAsia"/>
                <w:sz w:val="24"/>
                <w:u w:val="single"/>
                <w:lang w:val="en-US" w:eastAsia="zh-CN"/>
              </w:rPr>
              <w:t>7</w:t>
            </w:r>
            <w:r>
              <w:rPr>
                <w:sz w:val="24"/>
              </w:rPr>
              <w:t>度</w:t>
            </w:r>
            <w:r>
              <w:rPr>
                <w:rFonts w:hint="eastAsia"/>
                <w:sz w:val="24"/>
                <w:u w:val="single"/>
                <w:lang w:val="en-US" w:eastAsia="zh-CN"/>
              </w:rPr>
              <w:t>25</w:t>
            </w:r>
            <w:r>
              <w:rPr>
                <w:sz w:val="24"/>
              </w:rPr>
              <w:t>分</w:t>
            </w:r>
            <w:r>
              <w:rPr>
                <w:sz w:val="24"/>
                <w:u w:val="single"/>
              </w:rPr>
              <w:t>33.</w:t>
            </w:r>
            <w:r>
              <w:rPr>
                <w:rFonts w:hint="eastAsia"/>
                <w:sz w:val="24"/>
                <w:u w:val="single"/>
                <w:lang w:val="en-US" w:eastAsia="zh-CN"/>
              </w:rPr>
              <w:t>711</w:t>
            </w:r>
            <w:r>
              <w:rPr>
                <w:sz w:val="24"/>
              </w:rPr>
              <w:t>秒，</w:t>
            </w:r>
            <w:r>
              <w:rPr>
                <w:sz w:val="24"/>
                <w:u w:val="single"/>
              </w:rPr>
              <w:t>41</w:t>
            </w:r>
            <w:r>
              <w:rPr>
                <w:sz w:val="24"/>
              </w:rPr>
              <w:t>度</w:t>
            </w:r>
            <w:r>
              <w:rPr>
                <w:rFonts w:hint="eastAsia"/>
                <w:sz w:val="24"/>
                <w:u w:val="single"/>
                <w:lang w:val="en-US" w:eastAsia="zh-CN"/>
              </w:rPr>
              <w:t>56</w:t>
            </w:r>
            <w:r>
              <w:rPr>
                <w:sz w:val="24"/>
              </w:rPr>
              <w:t>分</w:t>
            </w:r>
            <w:r>
              <w:rPr>
                <w:rFonts w:hint="eastAsia"/>
                <w:sz w:val="24"/>
                <w:lang w:val="en-US" w:eastAsia="zh-CN"/>
              </w:rPr>
              <w:t>4</w:t>
            </w:r>
            <w:r>
              <w:rPr>
                <w:sz w:val="24"/>
                <w:u w:val="single"/>
              </w:rPr>
              <w:t>6.</w:t>
            </w:r>
            <w:r>
              <w:rPr>
                <w:rFonts w:hint="eastAsia"/>
                <w:sz w:val="24"/>
                <w:u w:val="single"/>
                <w:lang w:val="en-US" w:eastAsia="zh-CN"/>
              </w:rPr>
              <w:t>861</w:t>
            </w:r>
            <w:r>
              <w:rPr>
                <w:sz w:val="24"/>
              </w:rPr>
              <w:t>秒</w:t>
            </w:r>
            <w:r>
              <w:rPr>
                <w:rFonts w:hint="eastAsia" w:ascii="宋体" w:hAnsi="宋体" w:cs="宋体"/>
                <w:sz w:val="24"/>
              </w:rPr>
              <w:t>）</w:t>
            </w:r>
          </w:p>
        </w:tc>
      </w:tr>
      <w:tr w14:paraId="70DEB1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68" w:hRule="atLeast"/>
          <w:jc w:val="center"/>
        </w:trPr>
        <w:tc>
          <w:tcPr>
            <w:tcW w:w="2382" w:type="dxa"/>
            <w:tcMar>
              <w:top w:w="16" w:type="dxa"/>
              <w:left w:w="16" w:type="dxa"/>
              <w:right w:w="16" w:type="dxa"/>
            </w:tcMar>
            <w:vAlign w:val="center"/>
          </w:tcPr>
          <w:p w14:paraId="59F90A2C">
            <w:pPr>
              <w:adjustRightInd w:val="0"/>
              <w:snapToGrid w:val="0"/>
              <w:jc w:val="center"/>
              <w:rPr>
                <w:rFonts w:ascii="宋体" w:hAnsi="宋体" w:cs="宋体"/>
                <w:b/>
                <w:sz w:val="24"/>
              </w:rPr>
            </w:pPr>
            <w:r>
              <w:rPr>
                <w:rFonts w:hint="eastAsia" w:ascii="宋体" w:hAnsi="宋体" w:cs="宋体"/>
                <w:b/>
                <w:sz w:val="24"/>
              </w:rPr>
              <w:t>国民经济</w:t>
            </w:r>
          </w:p>
          <w:p w14:paraId="42082728">
            <w:pPr>
              <w:adjustRightInd w:val="0"/>
              <w:snapToGrid w:val="0"/>
              <w:jc w:val="center"/>
              <w:rPr>
                <w:rFonts w:ascii="宋体" w:hAnsi="宋体" w:cs="宋体"/>
                <w:b/>
                <w:sz w:val="24"/>
              </w:rPr>
            </w:pPr>
            <w:r>
              <w:rPr>
                <w:rFonts w:hint="eastAsia" w:ascii="宋体" w:hAnsi="宋体" w:cs="宋体"/>
                <w:b/>
                <w:sz w:val="24"/>
              </w:rPr>
              <w:t>行业类别</w:t>
            </w:r>
          </w:p>
        </w:tc>
        <w:tc>
          <w:tcPr>
            <w:tcW w:w="1637" w:type="dxa"/>
            <w:vAlign w:val="center"/>
          </w:tcPr>
          <w:p w14:paraId="2200925C">
            <w:pPr>
              <w:adjustRightInd w:val="0"/>
              <w:snapToGrid w:val="0"/>
              <w:jc w:val="center"/>
              <w:rPr>
                <w:rFonts w:hint="default" w:eastAsia="宋体"/>
                <w:sz w:val="24"/>
                <w:lang w:val="en-US" w:eastAsia="zh-CN"/>
              </w:rPr>
            </w:pPr>
            <w:r>
              <w:rPr>
                <w:rFonts w:hint="eastAsia"/>
                <w:sz w:val="24"/>
                <w:lang w:val="en-US" w:eastAsia="zh-CN"/>
              </w:rPr>
              <w:t>D4330</w:t>
            </w:r>
          </w:p>
          <w:p w14:paraId="4DD2F5F5">
            <w:pPr>
              <w:adjustRightInd w:val="0"/>
              <w:snapToGrid w:val="0"/>
              <w:jc w:val="center"/>
              <w:rPr>
                <w:rFonts w:hint="default" w:eastAsia="宋体"/>
                <w:sz w:val="24"/>
                <w:lang w:val="en-US" w:eastAsia="zh-CN"/>
              </w:rPr>
            </w:pPr>
            <w:r>
              <w:rPr>
                <w:rFonts w:hint="eastAsia"/>
                <w:sz w:val="24"/>
                <w:lang w:val="en-US" w:eastAsia="zh-CN"/>
              </w:rPr>
              <w:t>热力生产和供应</w:t>
            </w:r>
          </w:p>
        </w:tc>
        <w:tc>
          <w:tcPr>
            <w:tcW w:w="2212" w:type="dxa"/>
            <w:vAlign w:val="center"/>
          </w:tcPr>
          <w:p w14:paraId="31329C56">
            <w:pPr>
              <w:adjustRightInd w:val="0"/>
              <w:snapToGrid w:val="0"/>
              <w:jc w:val="center"/>
              <w:rPr>
                <w:rFonts w:ascii="宋体" w:hAnsi="宋体" w:cs="宋体"/>
                <w:b/>
                <w:sz w:val="24"/>
              </w:rPr>
            </w:pPr>
            <w:bookmarkStart w:id="4" w:name="_Hlk49843745"/>
            <w:r>
              <w:rPr>
                <w:rFonts w:hint="eastAsia" w:ascii="宋体" w:hAnsi="宋体" w:cs="宋体"/>
                <w:b/>
                <w:sz w:val="24"/>
              </w:rPr>
              <w:t>建设项目</w:t>
            </w:r>
          </w:p>
          <w:p w14:paraId="7DA44B08">
            <w:pPr>
              <w:adjustRightInd w:val="0"/>
              <w:snapToGrid w:val="0"/>
              <w:jc w:val="center"/>
              <w:rPr>
                <w:rFonts w:ascii="宋体" w:hAnsi="宋体" w:cs="宋体"/>
                <w:b/>
                <w:sz w:val="24"/>
              </w:rPr>
            </w:pPr>
            <w:r>
              <w:rPr>
                <w:rFonts w:hint="eastAsia" w:ascii="宋体" w:hAnsi="宋体" w:cs="宋体"/>
                <w:b/>
                <w:sz w:val="24"/>
              </w:rPr>
              <w:t>行业类别</w:t>
            </w:r>
            <w:bookmarkEnd w:id="4"/>
          </w:p>
        </w:tc>
        <w:tc>
          <w:tcPr>
            <w:tcW w:w="2639" w:type="dxa"/>
            <w:vAlign w:val="center"/>
          </w:tcPr>
          <w:p w14:paraId="22DF702A">
            <w:pPr>
              <w:adjustRightInd w:val="0"/>
              <w:snapToGrid w:val="0"/>
              <w:jc w:val="center"/>
              <w:rPr>
                <w:rFonts w:hint="default" w:eastAsia="宋体"/>
                <w:sz w:val="24"/>
                <w:lang w:val="en-US" w:eastAsia="zh-CN"/>
              </w:rPr>
            </w:pPr>
            <w:r>
              <w:rPr>
                <w:rFonts w:hint="eastAsia"/>
                <w:sz w:val="24"/>
                <w:lang w:val="en-US" w:eastAsia="zh-CN"/>
              </w:rPr>
              <w:t>四十一</w:t>
            </w:r>
            <w:r>
              <w:rPr>
                <w:sz w:val="24"/>
              </w:rPr>
              <w:t>、</w:t>
            </w:r>
            <w:r>
              <w:rPr>
                <w:rFonts w:hint="eastAsia"/>
                <w:sz w:val="24"/>
                <w:lang w:val="en-US" w:eastAsia="zh-CN"/>
              </w:rPr>
              <w:t>电力、热力生产和供应业-91热力生产和供应业</w:t>
            </w:r>
          </w:p>
        </w:tc>
      </w:tr>
      <w:tr w14:paraId="691327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101" w:hRule="atLeast"/>
          <w:jc w:val="center"/>
        </w:trPr>
        <w:tc>
          <w:tcPr>
            <w:tcW w:w="2382" w:type="dxa"/>
            <w:tcMar>
              <w:top w:w="16" w:type="dxa"/>
              <w:left w:w="16" w:type="dxa"/>
              <w:right w:w="16" w:type="dxa"/>
            </w:tcMar>
            <w:vAlign w:val="center"/>
          </w:tcPr>
          <w:p w14:paraId="2A43EF93">
            <w:pPr>
              <w:adjustRightInd w:val="0"/>
              <w:snapToGrid w:val="0"/>
              <w:jc w:val="center"/>
              <w:rPr>
                <w:rFonts w:ascii="宋体" w:hAnsi="宋体" w:cs="宋体"/>
                <w:b/>
                <w:sz w:val="24"/>
              </w:rPr>
            </w:pPr>
            <w:r>
              <w:rPr>
                <w:rFonts w:hint="eastAsia" w:ascii="宋体" w:hAnsi="宋体" w:cs="宋体"/>
                <w:b/>
                <w:sz w:val="24"/>
              </w:rPr>
              <w:t>建设性质</w:t>
            </w:r>
          </w:p>
        </w:tc>
        <w:tc>
          <w:tcPr>
            <w:tcW w:w="1637" w:type="dxa"/>
            <w:vAlign w:val="center"/>
          </w:tcPr>
          <w:p w14:paraId="0B4A9AC5">
            <w:pPr>
              <w:rPr>
                <w:rFonts w:ascii="宋体" w:hAnsi="宋体" w:cs="宋体"/>
                <w:sz w:val="24"/>
              </w:rPr>
            </w:pPr>
            <w:r>
              <w:rPr>
                <w:rFonts w:hint="eastAsia" w:ascii="Segoe UI Symbol" w:hAnsi="Segoe UI Symbol" w:cs="Segoe UI Symbol"/>
                <w:sz w:val="24"/>
                <w:lang w:eastAsia="zh-CN"/>
              </w:rPr>
              <w:t>☑</w:t>
            </w:r>
            <w:r>
              <w:rPr>
                <w:rFonts w:hint="eastAsia" w:ascii="宋体" w:hAnsi="宋体" w:cs="宋体"/>
                <w:sz w:val="24"/>
              </w:rPr>
              <w:t>新建（迁建）</w:t>
            </w:r>
          </w:p>
          <w:p w14:paraId="48202C2A">
            <w:pPr>
              <w:jc w:val="left"/>
              <w:rPr>
                <w:rFonts w:ascii="宋体" w:hAnsi="宋体" w:cs="宋体"/>
                <w:sz w:val="24"/>
              </w:rPr>
            </w:pPr>
            <w:r>
              <w:rPr>
                <w:rFonts w:hint="eastAsia" w:ascii="宋体" w:hAnsi="宋体" w:cs="宋体"/>
                <w:sz w:val="24"/>
              </w:rPr>
              <w:t>□改建</w:t>
            </w:r>
          </w:p>
          <w:p w14:paraId="154B34BB">
            <w:pPr>
              <w:jc w:val="left"/>
              <w:rPr>
                <w:rFonts w:ascii="宋体" w:hAnsi="宋体" w:cs="宋体"/>
                <w:sz w:val="24"/>
              </w:rPr>
            </w:pPr>
            <w:r>
              <w:rPr>
                <w:rFonts w:hint="eastAsia" w:ascii="宋体" w:hAnsi="宋体" w:cs="宋体"/>
                <w:sz w:val="24"/>
                <w:lang w:eastAsia="zh-CN"/>
              </w:rPr>
              <w:t>□</w:t>
            </w:r>
            <w:r>
              <w:rPr>
                <w:rFonts w:hint="eastAsia" w:ascii="宋体" w:hAnsi="宋体" w:cs="宋体"/>
                <w:sz w:val="24"/>
              </w:rPr>
              <w:t>扩建</w:t>
            </w:r>
          </w:p>
          <w:p w14:paraId="0132ABE0">
            <w:pPr>
              <w:jc w:val="left"/>
              <w:rPr>
                <w:rFonts w:ascii="宋体" w:hAnsi="宋体" w:cs="宋体"/>
                <w:sz w:val="24"/>
              </w:rPr>
            </w:pPr>
            <w:r>
              <w:rPr>
                <w:rFonts w:hint="eastAsia" w:ascii="宋体" w:hAnsi="宋体" w:cs="宋体"/>
                <w:sz w:val="24"/>
              </w:rPr>
              <w:t>□技术改造</w:t>
            </w:r>
          </w:p>
        </w:tc>
        <w:tc>
          <w:tcPr>
            <w:tcW w:w="2212" w:type="dxa"/>
            <w:vAlign w:val="center"/>
          </w:tcPr>
          <w:p w14:paraId="0FF85DDC">
            <w:pPr>
              <w:adjustRightInd w:val="0"/>
              <w:snapToGrid w:val="0"/>
              <w:jc w:val="center"/>
              <w:rPr>
                <w:rFonts w:ascii="宋体" w:hAnsi="宋体" w:cs="宋体"/>
                <w:b/>
                <w:sz w:val="24"/>
              </w:rPr>
            </w:pPr>
            <w:r>
              <w:rPr>
                <w:rFonts w:hint="eastAsia" w:ascii="宋体" w:hAnsi="宋体" w:cs="宋体"/>
                <w:b/>
                <w:sz w:val="24"/>
              </w:rPr>
              <w:t>建设项目</w:t>
            </w:r>
          </w:p>
          <w:p w14:paraId="46357E37">
            <w:pPr>
              <w:adjustRightInd w:val="0"/>
              <w:snapToGrid w:val="0"/>
              <w:jc w:val="center"/>
              <w:rPr>
                <w:rFonts w:ascii="宋体" w:hAnsi="宋体" w:cs="宋体"/>
                <w:b/>
                <w:sz w:val="24"/>
              </w:rPr>
            </w:pPr>
            <w:r>
              <w:rPr>
                <w:rFonts w:hint="eastAsia" w:ascii="宋体" w:hAnsi="宋体" w:cs="宋体"/>
                <w:b/>
                <w:sz w:val="24"/>
              </w:rPr>
              <w:t>申报情形</w:t>
            </w:r>
          </w:p>
        </w:tc>
        <w:tc>
          <w:tcPr>
            <w:tcW w:w="2639" w:type="dxa"/>
            <w:vAlign w:val="center"/>
          </w:tcPr>
          <w:p w14:paraId="0D37D94A">
            <w:pPr>
              <w:jc w:val="left"/>
              <w:rPr>
                <w:rFonts w:hint="eastAsia" w:ascii="宋体" w:hAnsi="宋体" w:eastAsia="宋体" w:cs="宋体"/>
                <w:sz w:val="24"/>
                <w:lang w:eastAsia="zh-CN"/>
              </w:rPr>
            </w:pPr>
            <w:r>
              <w:rPr>
                <w:rFonts w:ascii="Segoe UI Symbol" w:hAnsi="Segoe UI Symbol" w:cs="Segoe UI Symbol"/>
                <w:sz w:val="24"/>
              </w:rPr>
              <w:t>☑</w:t>
            </w:r>
            <w:r>
              <w:rPr>
                <w:rFonts w:hint="eastAsia" w:ascii="宋体" w:hAnsi="宋体" w:cs="宋体"/>
                <w:sz w:val="24"/>
              </w:rPr>
              <w:t>首次申报项目</w:t>
            </w:r>
          </w:p>
          <w:p w14:paraId="3297AAD3">
            <w:pPr>
              <w:jc w:val="left"/>
              <w:rPr>
                <w:rFonts w:ascii="宋体" w:hAnsi="宋体" w:cs="宋体"/>
                <w:sz w:val="24"/>
              </w:rPr>
            </w:pPr>
            <w:r>
              <w:rPr>
                <w:rFonts w:hint="eastAsia" w:ascii="宋体" w:hAnsi="宋体" w:cs="宋体"/>
                <w:sz w:val="24"/>
              </w:rPr>
              <w:t>□不予批准后再次申报项目</w:t>
            </w:r>
          </w:p>
          <w:p w14:paraId="7F812A4E">
            <w:pPr>
              <w:jc w:val="left"/>
              <w:rPr>
                <w:rFonts w:hint="eastAsia" w:ascii="宋体" w:hAnsi="宋体" w:eastAsia="宋体" w:cs="宋体"/>
                <w:sz w:val="24"/>
                <w:lang w:eastAsia="zh-CN"/>
              </w:rPr>
            </w:pPr>
            <w:r>
              <w:rPr>
                <w:rFonts w:hint="eastAsia" w:ascii="宋体" w:hAnsi="宋体" w:cs="宋体"/>
                <w:sz w:val="24"/>
              </w:rPr>
              <w:sym w:font="Wingdings 2" w:char="00A3"/>
            </w:r>
            <w:r>
              <w:rPr>
                <w:rFonts w:hint="eastAsia" w:ascii="宋体" w:hAnsi="宋体" w:cs="宋体"/>
                <w:sz w:val="24"/>
              </w:rPr>
              <w:t>超五年重新审核项目</w:t>
            </w:r>
          </w:p>
          <w:p w14:paraId="1940E162">
            <w:pPr>
              <w:jc w:val="left"/>
              <w:rPr>
                <w:rFonts w:ascii="宋体" w:hAnsi="宋体" w:cs="宋体"/>
                <w:sz w:val="24"/>
              </w:rPr>
            </w:pPr>
            <w:r>
              <w:rPr>
                <w:rFonts w:hint="eastAsia" w:ascii="宋体" w:hAnsi="宋体" w:cs="宋体"/>
                <w:sz w:val="24"/>
              </w:rPr>
              <w:t>□重大变动重新报批项目</w:t>
            </w:r>
          </w:p>
        </w:tc>
      </w:tr>
      <w:tr w14:paraId="5DCDF1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57" w:hRule="atLeast"/>
          <w:jc w:val="center"/>
        </w:trPr>
        <w:tc>
          <w:tcPr>
            <w:tcW w:w="2382" w:type="dxa"/>
            <w:tcMar>
              <w:top w:w="16" w:type="dxa"/>
              <w:left w:w="16" w:type="dxa"/>
              <w:right w:w="16" w:type="dxa"/>
            </w:tcMar>
            <w:vAlign w:val="center"/>
          </w:tcPr>
          <w:p w14:paraId="1EE1E402">
            <w:pPr>
              <w:adjustRightInd w:val="0"/>
              <w:snapToGrid w:val="0"/>
              <w:jc w:val="center"/>
              <w:rPr>
                <w:rFonts w:ascii="宋体" w:hAnsi="宋体" w:cs="宋体"/>
                <w:b/>
                <w:sz w:val="24"/>
              </w:rPr>
            </w:pPr>
            <w:r>
              <w:rPr>
                <w:rFonts w:hint="eastAsia" w:ascii="宋体" w:hAnsi="宋体" w:cs="宋体"/>
                <w:b/>
                <w:sz w:val="24"/>
              </w:rPr>
              <w:t>项目审批（核准</w:t>
            </w:r>
            <w:r>
              <w:rPr>
                <w:rFonts w:ascii="宋体" w:hAnsi="宋体" w:cs="宋体"/>
                <w:b/>
                <w:sz w:val="24"/>
              </w:rPr>
              <w:t>/</w:t>
            </w:r>
          </w:p>
          <w:p w14:paraId="5AF4DDA4">
            <w:pPr>
              <w:adjustRightInd w:val="0"/>
              <w:snapToGrid w:val="0"/>
              <w:jc w:val="center"/>
              <w:rPr>
                <w:rFonts w:ascii="宋体" w:hAnsi="宋体" w:cs="宋体"/>
                <w:b/>
                <w:sz w:val="24"/>
              </w:rPr>
            </w:pPr>
            <w:r>
              <w:rPr>
                <w:rFonts w:hint="eastAsia" w:ascii="宋体" w:hAnsi="宋体" w:cs="宋体"/>
                <w:b/>
                <w:sz w:val="24"/>
              </w:rPr>
              <w:t>备案）部门（选填）</w:t>
            </w:r>
          </w:p>
        </w:tc>
        <w:tc>
          <w:tcPr>
            <w:tcW w:w="1637" w:type="dxa"/>
            <w:vAlign w:val="center"/>
          </w:tcPr>
          <w:p w14:paraId="7EE7D044">
            <w:pPr>
              <w:adjustRightInd w:val="0"/>
              <w:snapToGrid w:val="0"/>
              <w:jc w:val="center"/>
              <w:rPr>
                <w:rFonts w:ascii="宋体" w:hAnsi="宋体" w:cs="宋体"/>
                <w:sz w:val="24"/>
              </w:rPr>
            </w:pPr>
            <w:r>
              <w:rPr>
                <w:rFonts w:hint="eastAsia"/>
                <w:sz w:val="24"/>
                <w:lang w:val="en-US" w:eastAsia="zh-CN"/>
              </w:rPr>
              <w:t>围场满族蒙古族自治县</w:t>
            </w:r>
            <w:r>
              <w:rPr>
                <w:rFonts w:hint="eastAsia"/>
                <w:sz w:val="24"/>
              </w:rPr>
              <w:t>数据和政务服务局</w:t>
            </w:r>
          </w:p>
        </w:tc>
        <w:tc>
          <w:tcPr>
            <w:tcW w:w="2212" w:type="dxa"/>
            <w:vAlign w:val="center"/>
          </w:tcPr>
          <w:p w14:paraId="1E2DABEE">
            <w:pPr>
              <w:adjustRightInd w:val="0"/>
              <w:snapToGrid w:val="0"/>
              <w:jc w:val="center"/>
              <w:rPr>
                <w:rFonts w:ascii="宋体" w:hAnsi="宋体" w:cs="宋体"/>
                <w:b/>
                <w:sz w:val="24"/>
              </w:rPr>
            </w:pPr>
            <w:r>
              <w:rPr>
                <w:rFonts w:hint="eastAsia" w:ascii="宋体" w:hAnsi="宋体" w:cs="宋体"/>
                <w:b/>
                <w:sz w:val="24"/>
              </w:rPr>
              <w:t>项目审批（核准</w:t>
            </w:r>
            <w:r>
              <w:rPr>
                <w:rFonts w:ascii="宋体" w:hAnsi="宋体" w:cs="宋体"/>
                <w:b/>
                <w:sz w:val="24"/>
              </w:rPr>
              <w:t>/</w:t>
            </w:r>
          </w:p>
          <w:p w14:paraId="59297A3D">
            <w:pPr>
              <w:adjustRightInd w:val="0"/>
              <w:snapToGrid w:val="0"/>
              <w:jc w:val="center"/>
              <w:rPr>
                <w:rFonts w:ascii="宋体" w:hAnsi="宋体" w:cs="宋体"/>
                <w:b/>
                <w:sz w:val="24"/>
              </w:rPr>
            </w:pPr>
            <w:r>
              <w:rPr>
                <w:rFonts w:hint="eastAsia" w:ascii="宋体" w:hAnsi="宋体" w:cs="宋体"/>
                <w:b/>
                <w:sz w:val="24"/>
              </w:rPr>
              <w:t>备案）文号（选填）</w:t>
            </w:r>
          </w:p>
        </w:tc>
        <w:tc>
          <w:tcPr>
            <w:tcW w:w="2639" w:type="dxa"/>
            <w:vAlign w:val="center"/>
          </w:tcPr>
          <w:p w14:paraId="27435984">
            <w:pPr>
              <w:adjustRightInd w:val="0"/>
              <w:snapToGrid w:val="0"/>
              <w:jc w:val="center"/>
              <w:rPr>
                <w:rFonts w:hint="default" w:eastAsia="宋体"/>
                <w:sz w:val="24"/>
                <w:highlight w:val="green"/>
                <w:lang w:val="en-US" w:eastAsia="zh-CN"/>
              </w:rPr>
            </w:pPr>
            <w:r>
              <w:rPr>
                <w:rFonts w:hint="eastAsia"/>
                <w:sz w:val="24"/>
                <w:lang w:val="en-US" w:eastAsia="zh-CN"/>
              </w:rPr>
              <w:t>围</w:t>
            </w:r>
            <w:r>
              <w:rPr>
                <w:rFonts w:hint="eastAsia"/>
                <w:sz w:val="24"/>
              </w:rPr>
              <w:t>数政备变</w:t>
            </w:r>
            <w:r>
              <w:rPr>
                <w:sz w:val="24"/>
              </w:rPr>
              <w:t>字</w:t>
            </w:r>
            <w:r>
              <w:rPr>
                <w:rFonts w:hint="eastAsia"/>
                <w:sz w:val="24"/>
              </w:rPr>
              <w:t>〔</w:t>
            </w:r>
            <w:r>
              <w:rPr>
                <w:rFonts w:hint="eastAsia"/>
                <w:sz w:val="24"/>
                <w:lang w:val="en-US" w:eastAsia="zh-CN"/>
              </w:rPr>
              <w:t>2024</w:t>
            </w:r>
            <w:r>
              <w:rPr>
                <w:rFonts w:hint="eastAsia"/>
                <w:sz w:val="24"/>
              </w:rPr>
              <w:t>〕</w:t>
            </w:r>
            <w:r>
              <w:rPr>
                <w:rFonts w:hint="eastAsia"/>
                <w:sz w:val="24"/>
                <w:lang w:val="en-US" w:eastAsia="zh-CN"/>
              </w:rPr>
              <w:t>50号</w:t>
            </w:r>
          </w:p>
        </w:tc>
      </w:tr>
      <w:tr w14:paraId="51B12B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25" w:hRule="atLeast"/>
          <w:jc w:val="center"/>
        </w:trPr>
        <w:tc>
          <w:tcPr>
            <w:tcW w:w="2382" w:type="dxa"/>
            <w:tcMar>
              <w:top w:w="16" w:type="dxa"/>
              <w:left w:w="16" w:type="dxa"/>
              <w:right w:w="16" w:type="dxa"/>
            </w:tcMar>
            <w:vAlign w:val="center"/>
          </w:tcPr>
          <w:p w14:paraId="40ACE4FD">
            <w:pPr>
              <w:adjustRightInd w:val="0"/>
              <w:snapToGrid w:val="0"/>
              <w:jc w:val="center"/>
              <w:rPr>
                <w:rFonts w:ascii="宋体" w:hAnsi="宋体" w:cs="宋体"/>
                <w:b/>
                <w:sz w:val="24"/>
              </w:rPr>
            </w:pPr>
            <w:r>
              <w:rPr>
                <w:rFonts w:hint="eastAsia" w:ascii="宋体" w:hAnsi="宋体" w:cs="宋体"/>
                <w:b/>
                <w:sz w:val="24"/>
              </w:rPr>
              <w:t>总投资（万元）</w:t>
            </w:r>
          </w:p>
        </w:tc>
        <w:tc>
          <w:tcPr>
            <w:tcW w:w="1637" w:type="dxa"/>
            <w:vAlign w:val="center"/>
          </w:tcPr>
          <w:p w14:paraId="43D9955A">
            <w:pPr>
              <w:adjustRightInd w:val="0"/>
              <w:snapToGrid w:val="0"/>
              <w:jc w:val="center"/>
              <w:rPr>
                <w:rFonts w:hint="default" w:eastAsia="宋体"/>
                <w:sz w:val="24"/>
                <w:lang w:val="en-US" w:eastAsia="zh-CN"/>
              </w:rPr>
            </w:pPr>
            <w:r>
              <w:rPr>
                <w:rFonts w:hint="eastAsia"/>
                <w:sz w:val="24"/>
                <w:lang w:val="en-US" w:eastAsia="zh-CN"/>
              </w:rPr>
              <w:t>170</w:t>
            </w:r>
          </w:p>
        </w:tc>
        <w:tc>
          <w:tcPr>
            <w:tcW w:w="2212" w:type="dxa"/>
            <w:tcMar>
              <w:top w:w="16" w:type="dxa"/>
              <w:left w:w="16" w:type="dxa"/>
              <w:right w:w="16" w:type="dxa"/>
            </w:tcMar>
            <w:vAlign w:val="center"/>
          </w:tcPr>
          <w:p w14:paraId="0D437690">
            <w:pPr>
              <w:adjustRightInd w:val="0"/>
              <w:snapToGrid w:val="0"/>
              <w:jc w:val="center"/>
              <w:rPr>
                <w:b/>
                <w:sz w:val="24"/>
              </w:rPr>
            </w:pPr>
            <w:r>
              <w:rPr>
                <w:b/>
                <w:sz w:val="24"/>
              </w:rPr>
              <w:t>环保投资（万元）</w:t>
            </w:r>
          </w:p>
        </w:tc>
        <w:tc>
          <w:tcPr>
            <w:tcW w:w="2639" w:type="dxa"/>
            <w:vAlign w:val="center"/>
          </w:tcPr>
          <w:p w14:paraId="7028361F">
            <w:pPr>
              <w:adjustRightInd w:val="0"/>
              <w:snapToGrid w:val="0"/>
              <w:jc w:val="center"/>
              <w:rPr>
                <w:rFonts w:hint="default" w:eastAsia="宋体"/>
                <w:sz w:val="24"/>
                <w:lang w:val="en-US" w:eastAsia="zh-CN"/>
              </w:rPr>
            </w:pPr>
            <w:r>
              <w:rPr>
                <w:rFonts w:hint="eastAsia"/>
                <w:sz w:val="24"/>
                <w:lang w:val="en-US" w:eastAsia="zh-CN"/>
              </w:rPr>
              <w:t>15</w:t>
            </w:r>
          </w:p>
        </w:tc>
      </w:tr>
      <w:tr w14:paraId="28107A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23" w:hRule="atLeast"/>
          <w:jc w:val="center"/>
        </w:trPr>
        <w:tc>
          <w:tcPr>
            <w:tcW w:w="2382" w:type="dxa"/>
            <w:tcMar>
              <w:top w:w="16" w:type="dxa"/>
              <w:left w:w="16" w:type="dxa"/>
              <w:right w:w="16" w:type="dxa"/>
            </w:tcMar>
            <w:vAlign w:val="center"/>
          </w:tcPr>
          <w:p w14:paraId="14EC86A5">
            <w:pPr>
              <w:adjustRightInd w:val="0"/>
              <w:snapToGrid w:val="0"/>
              <w:jc w:val="center"/>
              <w:rPr>
                <w:rFonts w:ascii="宋体" w:hAnsi="宋体" w:cs="宋体"/>
                <w:b/>
                <w:sz w:val="24"/>
              </w:rPr>
            </w:pPr>
            <w:r>
              <w:rPr>
                <w:rFonts w:hint="eastAsia" w:ascii="宋体" w:hAnsi="宋体" w:cs="宋体"/>
                <w:b/>
                <w:sz w:val="24"/>
              </w:rPr>
              <w:t>环保投资占比（</w:t>
            </w:r>
            <w:r>
              <w:rPr>
                <w:b/>
                <w:sz w:val="24"/>
              </w:rPr>
              <w:t>%</w:t>
            </w:r>
            <w:r>
              <w:rPr>
                <w:rFonts w:hint="eastAsia" w:ascii="宋体" w:hAnsi="宋体" w:cs="宋体"/>
                <w:b/>
                <w:sz w:val="24"/>
              </w:rPr>
              <w:t>）</w:t>
            </w:r>
          </w:p>
        </w:tc>
        <w:tc>
          <w:tcPr>
            <w:tcW w:w="1637" w:type="dxa"/>
            <w:vAlign w:val="center"/>
          </w:tcPr>
          <w:p w14:paraId="50F614BF">
            <w:pPr>
              <w:adjustRightInd w:val="0"/>
              <w:snapToGrid w:val="0"/>
              <w:jc w:val="center"/>
              <w:rPr>
                <w:rFonts w:hint="default" w:eastAsia="宋体"/>
                <w:sz w:val="24"/>
                <w:lang w:val="en-US" w:eastAsia="zh-CN"/>
              </w:rPr>
            </w:pPr>
            <w:r>
              <w:rPr>
                <w:sz w:val="24"/>
              </w:rPr>
              <w:t>8</w:t>
            </w:r>
            <w:r>
              <w:rPr>
                <w:rFonts w:hint="eastAsia"/>
                <w:sz w:val="24"/>
                <w:lang w:val="en-US" w:eastAsia="zh-CN"/>
              </w:rPr>
              <w:t>.8</w:t>
            </w:r>
          </w:p>
        </w:tc>
        <w:tc>
          <w:tcPr>
            <w:tcW w:w="2212" w:type="dxa"/>
            <w:tcMar>
              <w:top w:w="16" w:type="dxa"/>
              <w:left w:w="16" w:type="dxa"/>
              <w:right w:w="16" w:type="dxa"/>
            </w:tcMar>
            <w:vAlign w:val="center"/>
          </w:tcPr>
          <w:p w14:paraId="0B86D50E">
            <w:pPr>
              <w:adjustRightInd w:val="0"/>
              <w:snapToGrid w:val="0"/>
              <w:jc w:val="center"/>
              <w:rPr>
                <w:b/>
                <w:sz w:val="24"/>
              </w:rPr>
            </w:pPr>
            <w:r>
              <w:rPr>
                <w:b/>
                <w:sz w:val="24"/>
              </w:rPr>
              <w:t>施工工期</w:t>
            </w:r>
          </w:p>
        </w:tc>
        <w:tc>
          <w:tcPr>
            <w:tcW w:w="2639" w:type="dxa"/>
            <w:vAlign w:val="center"/>
          </w:tcPr>
          <w:p w14:paraId="76EC7188">
            <w:pPr>
              <w:adjustRightInd w:val="0"/>
              <w:snapToGrid w:val="0"/>
              <w:jc w:val="center"/>
              <w:rPr>
                <w:sz w:val="24"/>
              </w:rPr>
            </w:pPr>
            <w:r>
              <w:rPr>
                <w:rFonts w:hint="eastAsia"/>
                <w:sz w:val="24"/>
                <w:lang w:val="en-US" w:eastAsia="zh-CN"/>
              </w:rPr>
              <w:t>2</w:t>
            </w:r>
            <w:r>
              <w:rPr>
                <w:rFonts w:hint="eastAsia"/>
                <w:sz w:val="24"/>
              </w:rPr>
              <w:t>个月</w:t>
            </w:r>
          </w:p>
          <w:p w14:paraId="4EA8429E">
            <w:pPr>
              <w:adjustRightInd w:val="0"/>
              <w:snapToGrid w:val="0"/>
              <w:jc w:val="center"/>
            </w:pPr>
            <w:r>
              <w:rPr>
                <w:rFonts w:hint="eastAsia"/>
                <w:sz w:val="24"/>
              </w:rPr>
              <w:t>2</w:t>
            </w:r>
            <w:r>
              <w:rPr>
                <w:sz w:val="24"/>
              </w:rPr>
              <w:t>02</w:t>
            </w:r>
            <w:r>
              <w:rPr>
                <w:rFonts w:hint="eastAsia"/>
                <w:sz w:val="24"/>
                <w:lang w:val="en-US" w:eastAsia="zh-CN"/>
              </w:rPr>
              <w:t>4</w:t>
            </w:r>
            <w:r>
              <w:rPr>
                <w:rFonts w:hint="eastAsia"/>
                <w:sz w:val="24"/>
              </w:rPr>
              <w:t>年</w:t>
            </w:r>
            <w:r>
              <w:rPr>
                <w:sz w:val="24"/>
              </w:rPr>
              <w:t>1</w:t>
            </w:r>
            <w:r>
              <w:rPr>
                <w:rFonts w:hint="eastAsia"/>
                <w:sz w:val="24"/>
                <w:lang w:val="en-US" w:eastAsia="zh-CN"/>
              </w:rPr>
              <w:t>1</w:t>
            </w:r>
            <w:r>
              <w:rPr>
                <w:rFonts w:hint="eastAsia"/>
                <w:sz w:val="24"/>
              </w:rPr>
              <w:t>月</w:t>
            </w:r>
            <w:r>
              <w:rPr>
                <w:sz w:val="24"/>
              </w:rPr>
              <w:t>-202</w:t>
            </w:r>
            <w:r>
              <w:rPr>
                <w:rFonts w:hint="eastAsia"/>
                <w:sz w:val="24"/>
                <w:lang w:val="en-US" w:eastAsia="zh-CN"/>
              </w:rPr>
              <w:t>4</w:t>
            </w:r>
            <w:r>
              <w:rPr>
                <w:rFonts w:hint="eastAsia"/>
                <w:sz w:val="24"/>
              </w:rPr>
              <w:t>年</w:t>
            </w:r>
            <w:r>
              <w:rPr>
                <w:rFonts w:hint="eastAsia"/>
                <w:sz w:val="24"/>
                <w:lang w:val="en-US" w:eastAsia="zh-CN"/>
              </w:rPr>
              <w:t>12</w:t>
            </w:r>
            <w:r>
              <w:rPr>
                <w:rFonts w:hint="eastAsia"/>
                <w:sz w:val="24"/>
              </w:rPr>
              <w:t>月</w:t>
            </w:r>
          </w:p>
        </w:tc>
      </w:tr>
      <w:tr w14:paraId="514929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88" w:hRule="atLeast"/>
          <w:jc w:val="center"/>
        </w:trPr>
        <w:tc>
          <w:tcPr>
            <w:tcW w:w="2382" w:type="dxa"/>
            <w:tcMar>
              <w:top w:w="16" w:type="dxa"/>
              <w:left w:w="16" w:type="dxa"/>
              <w:right w:w="16" w:type="dxa"/>
            </w:tcMar>
            <w:vAlign w:val="center"/>
          </w:tcPr>
          <w:p w14:paraId="1B3DDE37">
            <w:pPr>
              <w:adjustRightInd w:val="0"/>
              <w:snapToGrid w:val="0"/>
              <w:jc w:val="center"/>
              <w:rPr>
                <w:rFonts w:ascii="宋体" w:hAnsi="宋体" w:cs="宋体"/>
                <w:b/>
                <w:sz w:val="24"/>
              </w:rPr>
            </w:pPr>
            <w:r>
              <w:rPr>
                <w:rFonts w:hint="eastAsia" w:ascii="宋体" w:hAnsi="宋体" w:cs="宋体"/>
                <w:b/>
                <w:sz w:val="24"/>
              </w:rPr>
              <w:t>是否开工建设</w:t>
            </w:r>
          </w:p>
        </w:tc>
        <w:tc>
          <w:tcPr>
            <w:tcW w:w="1637" w:type="dxa"/>
            <w:vAlign w:val="center"/>
          </w:tcPr>
          <w:p w14:paraId="2F82A864">
            <w:pPr>
              <w:adjustRightInd w:val="0"/>
              <w:snapToGrid w:val="0"/>
              <w:rPr>
                <w:rFonts w:ascii="宋体" w:hAnsi="宋体" w:cs="宋体"/>
                <w:sz w:val="24"/>
              </w:rPr>
            </w:pPr>
            <w:r>
              <w:rPr>
                <w:rFonts w:ascii="Segoe UI Symbol" w:hAnsi="Segoe UI Symbol" w:cs="Segoe UI Symbol"/>
                <w:sz w:val="24"/>
              </w:rPr>
              <w:t>☑</w:t>
            </w:r>
            <w:r>
              <w:rPr>
                <w:rFonts w:hint="eastAsia" w:ascii="宋体" w:hAnsi="宋体" w:cs="宋体"/>
                <w:sz w:val="24"/>
              </w:rPr>
              <w:t>否</w:t>
            </w:r>
          </w:p>
          <w:p w14:paraId="4282D7F3">
            <w:pPr>
              <w:adjustRightInd w:val="0"/>
              <w:snapToGrid w:val="0"/>
              <w:rPr>
                <w:rFonts w:hint="eastAsia" w:ascii="宋体" w:hAnsi="宋体" w:eastAsia="宋体" w:cs="宋体"/>
                <w:sz w:val="24"/>
                <w:lang w:eastAsia="zh-CN"/>
              </w:rPr>
            </w:pPr>
            <w:r>
              <w:rPr>
                <w:rFonts w:hint="eastAsia" w:ascii="宋体" w:hAnsi="宋体" w:cs="宋体"/>
                <w:sz w:val="24"/>
              </w:rPr>
              <w:sym w:font="Wingdings 2" w:char="00A3"/>
            </w:r>
            <w:r>
              <w:rPr>
                <w:rFonts w:hint="eastAsia" w:ascii="宋体" w:hAnsi="宋体" w:cs="宋体"/>
                <w:sz w:val="24"/>
              </w:rPr>
              <w:t>是：</w:t>
            </w:r>
          </w:p>
        </w:tc>
        <w:tc>
          <w:tcPr>
            <w:tcW w:w="2212" w:type="dxa"/>
            <w:tcMar>
              <w:top w:w="16" w:type="dxa"/>
              <w:left w:w="16" w:type="dxa"/>
              <w:right w:w="16" w:type="dxa"/>
            </w:tcMar>
            <w:vAlign w:val="center"/>
          </w:tcPr>
          <w:p w14:paraId="30A35407">
            <w:pPr>
              <w:adjustRightInd w:val="0"/>
              <w:snapToGrid w:val="0"/>
              <w:jc w:val="center"/>
              <w:rPr>
                <w:rFonts w:ascii="宋体" w:hAnsi="宋体" w:cs="宋体"/>
                <w:b/>
                <w:spacing w:val="-6"/>
                <w:sz w:val="24"/>
              </w:rPr>
            </w:pPr>
            <w:r>
              <w:rPr>
                <w:rFonts w:hint="eastAsia" w:ascii="宋体" w:hAnsi="宋体" w:cs="宋体"/>
                <w:b/>
                <w:spacing w:val="-6"/>
                <w:sz w:val="24"/>
              </w:rPr>
              <w:t>用地（用海）</w:t>
            </w:r>
          </w:p>
          <w:p w14:paraId="04DB66B7">
            <w:pPr>
              <w:adjustRightInd w:val="0"/>
              <w:snapToGrid w:val="0"/>
              <w:jc w:val="center"/>
              <w:rPr>
                <w:rFonts w:ascii="宋体" w:hAnsi="宋体" w:cs="宋体"/>
                <w:b/>
                <w:sz w:val="24"/>
              </w:rPr>
            </w:pPr>
            <w:r>
              <w:rPr>
                <w:rFonts w:hint="eastAsia" w:ascii="宋体" w:hAnsi="宋体" w:cs="宋体"/>
                <w:b/>
                <w:spacing w:val="-6"/>
                <w:sz w:val="24"/>
              </w:rPr>
              <w:t>面积（</w:t>
            </w:r>
            <w:r>
              <w:rPr>
                <w:b/>
                <w:spacing w:val="-6"/>
                <w:sz w:val="24"/>
              </w:rPr>
              <w:t>m</w:t>
            </w:r>
            <w:r>
              <w:rPr>
                <w:b/>
                <w:spacing w:val="-6"/>
                <w:sz w:val="24"/>
                <w:vertAlign w:val="superscript"/>
              </w:rPr>
              <w:t>2</w:t>
            </w:r>
            <w:r>
              <w:rPr>
                <w:rFonts w:hint="eastAsia" w:ascii="宋体" w:hAnsi="宋体" w:cs="宋体"/>
                <w:b/>
                <w:spacing w:val="-6"/>
                <w:sz w:val="24"/>
              </w:rPr>
              <w:t>）</w:t>
            </w:r>
          </w:p>
        </w:tc>
        <w:tc>
          <w:tcPr>
            <w:tcW w:w="2639" w:type="dxa"/>
            <w:vAlign w:val="center"/>
          </w:tcPr>
          <w:p w14:paraId="7000299C">
            <w:pPr>
              <w:adjustRightInd w:val="0"/>
              <w:snapToGrid w:val="0"/>
              <w:jc w:val="center"/>
              <w:rPr>
                <w:rFonts w:hint="eastAsia" w:eastAsia="宋体"/>
                <w:sz w:val="24"/>
                <w:lang w:eastAsia="zh-CN"/>
              </w:rPr>
            </w:pPr>
            <w:r>
              <w:rPr>
                <w:rFonts w:hint="eastAsia"/>
                <w:sz w:val="24"/>
                <w:lang w:val="en-US" w:eastAsia="zh-CN"/>
              </w:rPr>
              <w:t>/</w:t>
            </w:r>
          </w:p>
        </w:tc>
      </w:tr>
      <w:tr w14:paraId="53A69B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2" w:hRule="atLeast"/>
          <w:jc w:val="center"/>
        </w:trPr>
        <w:tc>
          <w:tcPr>
            <w:tcW w:w="2382" w:type="dxa"/>
            <w:vAlign w:val="center"/>
          </w:tcPr>
          <w:p w14:paraId="7EBD8593">
            <w:pPr>
              <w:autoSpaceDE w:val="0"/>
              <w:autoSpaceDN w:val="0"/>
              <w:adjustRightInd w:val="0"/>
              <w:snapToGrid w:val="0"/>
              <w:jc w:val="center"/>
              <w:rPr>
                <w:rFonts w:ascii="宋体" w:hAnsi="宋体" w:cs="宋体"/>
                <w:b/>
                <w:kern w:val="0"/>
                <w:sz w:val="24"/>
              </w:rPr>
            </w:pPr>
            <w:r>
              <w:rPr>
                <w:rFonts w:hint="eastAsia" w:ascii="宋体" w:hAnsi="宋体" w:cs="宋体"/>
                <w:b/>
                <w:kern w:val="0"/>
                <w:sz w:val="24"/>
              </w:rPr>
              <w:t>专项评价设置情况</w:t>
            </w:r>
          </w:p>
        </w:tc>
        <w:tc>
          <w:tcPr>
            <w:tcW w:w="6488" w:type="dxa"/>
            <w:gridSpan w:val="3"/>
            <w:vAlign w:val="center"/>
          </w:tcPr>
          <w:p w14:paraId="47BA5DA0">
            <w:pPr>
              <w:autoSpaceDE w:val="0"/>
              <w:autoSpaceDN w:val="0"/>
              <w:adjustRightInd w:val="0"/>
              <w:snapToGrid w:val="0"/>
              <w:jc w:val="center"/>
              <w:rPr>
                <w:rFonts w:ascii="宋体" w:hAnsi="宋体" w:cs="宋体"/>
                <w:kern w:val="0"/>
                <w:sz w:val="24"/>
              </w:rPr>
            </w:pPr>
            <w:r>
              <w:rPr>
                <w:rFonts w:hint="eastAsia" w:ascii="宋体" w:hAnsi="宋体" w:cs="宋体"/>
                <w:kern w:val="0"/>
                <w:sz w:val="24"/>
              </w:rPr>
              <w:t>无</w:t>
            </w:r>
          </w:p>
        </w:tc>
      </w:tr>
    </w:tbl>
    <w:p w14:paraId="4A77EE61">
      <w:r>
        <w:br w:type="page"/>
      </w:r>
    </w:p>
    <w:tbl>
      <w:tblPr>
        <w:tblStyle w:val="23"/>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99"/>
        <w:gridCol w:w="8171"/>
      </w:tblGrid>
      <w:tr w14:paraId="19A1AE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699" w:type="dxa"/>
            <w:vAlign w:val="center"/>
          </w:tcPr>
          <w:p w14:paraId="7744C30F">
            <w:pPr>
              <w:autoSpaceDE w:val="0"/>
              <w:autoSpaceDN w:val="0"/>
              <w:adjustRightInd w:val="0"/>
              <w:snapToGrid w:val="0"/>
              <w:jc w:val="center"/>
              <w:rPr>
                <w:rFonts w:ascii="宋体" w:hAnsi="宋体" w:cs="宋体"/>
                <w:b/>
                <w:kern w:val="0"/>
                <w:sz w:val="24"/>
              </w:rPr>
            </w:pPr>
            <w:r>
              <w:rPr>
                <w:rFonts w:hint="eastAsia" w:ascii="宋体" w:hAnsi="宋体" w:cs="宋体"/>
                <w:b/>
                <w:sz w:val="24"/>
              </w:rPr>
              <w:t>规划情况</w:t>
            </w:r>
          </w:p>
        </w:tc>
        <w:tc>
          <w:tcPr>
            <w:tcW w:w="8171" w:type="dxa"/>
            <w:vAlign w:val="center"/>
          </w:tcPr>
          <w:p w14:paraId="23FC1AED">
            <w:pPr>
              <w:autoSpaceDE w:val="0"/>
              <w:autoSpaceDN w:val="0"/>
              <w:adjustRightInd w:val="0"/>
              <w:snapToGrid w:val="0"/>
              <w:ind w:firstLine="480" w:firstLineChars="200"/>
              <w:jc w:val="center"/>
              <w:rPr>
                <w:kern w:val="0"/>
                <w:sz w:val="24"/>
              </w:rPr>
            </w:pPr>
            <w:r>
              <w:rPr>
                <w:rFonts w:hint="eastAsia"/>
                <w:kern w:val="0"/>
                <w:sz w:val="24"/>
              </w:rPr>
              <w:t>河北围场经济开发区总体规划（2023-2035年）</w:t>
            </w:r>
          </w:p>
        </w:tc>
      </w:tr>
      <w:tr w14:paraId="05D3D8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99" w:hRule="atLeast"/>
          <w:jc w:val="center"/>
        </w:trPr>
        <w:tc>
          <w:tcPr>
            <w:tcW w:w="699" w:type="dxa"/>
            <w:vAlign w:val="center"/>
          </w:tcPr>
          <w:p w14:paraId="6601E4DA">
            <w:pPr>
              <w:adjustRightInd w:val="0"/>
              <w:snapToGrid w:val="0"/>
              <w:jc w:val="center"/>
              <w:rPr>
                <w:rFonts w:ascii="宋体" w:hAnsi="宋体" w:cs="宋体"/>
                <w:b/>
                <w:sz w:val="24"/>
              </w:rPr>
            </w:pPr>
            <w:r>
              <w:rPr>
                <w:rFonts w:hint="eastAsia" w:ascii="宋体" w:hAnsi="宋体" w:cs="宋体"/>
                <w:b/>
                <w:sz w:val="24"/>
              </w:rPr>
              <w:t>规划环境影响</w:t>
            </w:r>
          </w:p>
          <w:p w14:paraId="6CE5B32E">
            <w:pPr>
              <w:autoSpaceDE w:val="0"/>
              <w:autoSpaceDN w:val="0"/>
              <w:adjustRightInd w:val="0"/>
              <w:snapToGrid w:val="0"/>
              <w:jc w:val="center"/>
              <w:rPr>
                <w:rFonts w:ascii="宋体" w:hAnsi="宋体" w:cs="宋体"/>
                <w:b/>
                <w:kern w:val="0"/>
                <w:sz w:val="24"/>
              </w:rPr>
            </w:pPr>
            <w:r>
              <w:rPr>
                <w:rFonts w:hint="eastAsia" w:ascii="宋体" w:hAnsi="宋体" w:cs="宋体"/>
                <w:b/>
                <w:sz w:val="24"/>
              </w:rPr>
              <w:t>评价情况</w:t>
            </w:r>
          </w:p>
        </w:tc>
        <w:tc>
          <w:tcPr>
            <w:tcW w:w="8171" w:type="dxa"/>
            <w:vAlign w:val="center"/>
          </w:tcPr>
          <w:p w14:paraId="66AB62FB">
            <w:pPr>
              <w:autoSpaceDE w:val="0"/>
              <w:autoSpaceDN w:val="0"/>
              <w:adjustRightInd w:val="0"/>
              <w:snapToGrid w:val="0"/>
              <w:spacing w:line="360" w:lineRule="auto"/>
              <w:rPr>
                <w:kern w:val="0"/>
                <w:sz w:val="24"/>
              </w:rPr>
            </w:pPr>
            <w:r>
              <w:rPr>
                <w:rFonts w:hint="eastAsia"/>
                <w:kern w:val="0"/>
                <w:sz w:val="24"/>
              </w:rPr>
              <w:t>规划环境影响评价文件名称：</w:t>
            </w:r>
            <w:r>
              <w:rPr>
                <w:rFonts w:hint="eastAsia"/>
                <w:kern w:val="0"/>
                <w:sz w:val="24"/>
                <w:lang w:eastAsia="zh-CN"/>
              </w:rPr>
              <w:t>《</w:t>
            </w:r>
            <w:bookmarkStart w:id="5" w:name="OLE_LINK1"/>
            <w:r>
              <w:rPr>
                <w:rFonts w:hint="eastAsia"/>
                <w:kern w:val="0"/>
                <w:sz w:val="24"/>
              </w:rPr>
              <w:t>河北围场经济开发区总体规划（2023-2035年）</w:t>
            </w:r>
            <w:bookmarkEnd w:id="5"/>
            <w:r>
              <w:rPr>
                <w:rFonts w:hint="eastAsia"/>
                <w:kern w:val="0"/>
                <w:sz w:val="24"/>
              </w:rPr>
              <w:t>环境影响报告书</w:t>
            </w:r>
            <w:r>
              <w:rPr>
                <w:rFonts w:hint="eastAsia"/>
                <w:kern w:val="0"/>
                <w:sz w:val="24"/>
                <w:lang w:eastAsia="zh-CN"/>
              </w:rPr>
              <w:t>》</w:t>
            </w:r>
          </w:p>
          <w:p w14:paraId="5801264D">
            <w:pPr>
              <w:autoSpaceDE w:val="0"/>
              <w:autoSpaceDN w:val="0"/>
              <w:adjustRightInd w:val="0"/>
              <w:snapToGrid w:val="0"/>
              <w:spacing w:line="360" w:lineRule="auto"/>
              <w:rPr>
                <w:kern w:val="0"/>
                <w:sz w:val="24"/>
              </w:rPr>
            </w:pPr>
            <w:r>
              <w:rPr>
                <w:rFonts w:hint="eastAsia"/>
                <w:kern w:val="0"/>
                <w:sz w:val="24"/>
              </w:rPr>
              <w:t>召集审查机关：河北省生态环境厅</w:t>
            </w:r>
          </w:p>
          <w:p w14:paraId="3F274020">
            <w:pPr>
              <w:autoSpaceDE w:val="0"/>
              <w:autoSpaceDN w:val="0"/>
              <w:adjustRightInd w:val="0"/>
              <w:snapToGrid w:val="0"/>
              <w:spacing w:line="360" w:lineRule="auto"/>
              <w:rPr>
                <w:kern w:val="0"/>
                <w:sz w:val="24"/>
              </w:rPr>
            </w:pPr>
            <w:r>
              <w:rPr>
                <w:rFonts w:hint="eastAsia"/>
                <w:kern w:val="0"/>
                <w:sz w:val="24"/>
              </w:rPr>
              <w:t>审查文件名称：关于《河北围场经济开发区总体规划（2021-2035年）环境影响报告书》的审查意见</w:t>
            </w:r>
          </w:p>
          <w:p w14:paraId="4317DF07">
            <w:pPr>
              <w:autoSpaceDE w:val="0"/>
              <w:autoSpaceDN w:val="0"/>
              <w:adjustRightInd w:val="0"/>
              <w:snapToGrid w:val="0"/>
              <w:spacing w:line="360" w:lineRule="auto"/>
              <w:rPr>
                <w:kern w:val="0"/>
                <w:sz w:val="24"/>
              </w:rPr>
            </w:pPr>
            <w:r>
              <w:rPr>
                <w:rFonts w:hint="eastAsia"/>
                <w:kern w:val="0"/>
                <w:sz w:val="24"/>
              </w:rPr>
              <w:t>审查文号：冀环环评函〔2023〕1602号</w:t>
            </w:r>
          </w:p>
        </w:tc>
      </w:tr>
      <w:tr w14:paraId="0B4790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699" w:type="dxa"/>
            <w:vAlign w:val="center"/>
          </w:tcPr>
          <w:p w14:paraId="48D25446">
            <w:pPr>
              <w:autoSpaceDE w:val="0"/>
              <w:autoSpaceDN w:val="0"/>
              <w:adjustRightInd w:val="0"/>
              <w:snapToGrid w:val="0"/>
              <w:jc w:val="center"/>
              <w:rPr>
                <w:rFonts w:ascii="宋体" w:hAnsi="宋体" w:cs="宋体"/>
                <w:b/>
                <w:kern w:val="0"/>
                <w:sz w:val="24"/>
              </w:rPr>
            </w:pPr>
            <w:r>
              <w:rPr>
                <w:rFonts w:hint="eastAsia" w:ascii="宋体" w:hAnsi="宋体" w:cs="宋体"/>
                <w:b/>
                <w:kern w:val="0"/>
                <w:sz w:val="24"/>
              </w:rPr>
              <w:t>规划及规划环境影响评价符合性分析</w:t>
            </w:r>
          </w:p>
        </w:tc>
        <w:tc>
          <w:tcPr>
            <w:tcW w:w="8171" w:type="dxa"/>
            <w:vAlign w:val="center"/>
          </w:tcPr>
          <w:p w14:paraId="54BF916B">
            <w:pPr>
              <w:autoSpaceDE w:val="0"/>
              <w:autoSpaceDN w:val="0"/>
              <w:adjustRightInd w:val="0"/>
              <w:snapToGrid w:val="0"/>
              <w:spacing w:before="120" w:beforeLines="50" w:line="360" w:lineRule="auto"/>
              <w:ind w:firstLine="482" w:firstLineChars="200"/>
              <w:rPr>
                <w:b/>
                <w:kern w:val="0"/>
                <w:sz w:val="24"/>
              </w:rPr>
            </w:pPr>
            <w:r>
              <w:rPr>
                <w:rFonts w:hint="eastAsia"/>
                <w:b/>
                <w:kern w:val="0"/>
                <w:sz w:val="24"/>
              </w:rPr>
              <w:t>1、规划符合性分析</w:t>
            </w:r>
          </w:p>
          <w:p w14:paraId="12A9D25A">
            <w:pPr>
              <w:autoSpaceDE w:val="0"/>
              <w:autoSpaceDN w:val="0"/>
              <w:adjustRightInd w:val="0"/>
              <w:snapToGrid w:val="0"/>
              <w:spacing w:line="360" w:lineRule="auto"/>
              <w:ind w:firstLine="480" w:firstLineChars="200"/>
              <w:rPr>
                <w:rFonts w:hint="eastAsia"/>
                <w:kern w:val="0"/>
                <w:sz w:val="24"/>
                <w:lang w:eastAsia="zh-CN"/>
              </w:rPr>
            </w:pPr>
            <w:r>
              <w:rPr>
                <w:rFonts w:hint="eastAsia"/>
                <w:kern w:val="0"/>
                <w:sz w:val="24"/>
              </w:rPr>
              <w:t>根据《河北围场经济开发区总体规划（2023-2035年）》，规划形成“三区一轴多组团”珠链式空间布局</w:t>
            </w:r>
            <w:r>
              <w:rPr>
                <w:rFonts w:hint="eastAsia"/>
                <w:kern w:val="0"/>
                <w:sz w:val="24"/>
                <w:lang w:eastAsia="zh-CN"/>
              </w:rPr>
              <w:t>；“三区”指北部经济活跃区（区块1）、中部科教研学区（区块2）和南部现代工业商贸物流区（区块3）。</w:t>
            </w:r>
          </w:p>
          <w:p w14:paraId="47AB926D">
            <w:pPr>
              <w:autoSpaceDE w:val="0"/>
              <w:autoSpaceDN w:val="0"/>
              <w:adjustRightInd w:val="0"/>
              <w:snapToGrid w:val="0"/>
              <w:spacing w:line="360" w:lineRule="auto"/>
              <w:ind w:firstLine="480" w:firstLineChars="200"/>
              <w:rPr>
                <w:rFonts w:hint="eastAsia"/>
                <w:kern w:val="0"/>
                <w:sz w:val="24"/>
                <w:lang w:eastAsia="zh-CN"/>
              </w:rPr>
            </w:pPr>
            <w:r>
              <w:rPr>
                <w:rFonts w:hint="eastAsia"/>
                <w:kern w:val="0"/>
                <w:sz w:val="24"/>
                <w:lang w:eastAsia="zh-CN"/>
              </w:rPr>
              <w:t>“一轴”指沿G111和S254连接而成的发展轴线。</w:t>
            </w:r>
          </w:p>
          <w:p w14:paraId="5D37535A">
            <w:pPr>
              <w:autoSpaceDE w:val="0"/>
              <w:autoSpaceDN w:val="0"/>
              <w:adjustRightInd w:val="0"/>
              <w:snapToGrid w:val="0"/>
              <w:spacing w:line="360" w:lineRule="auto"/>
              <w:ind w:firstLine="480" w:firstLineChars="200"/>
              <w:rPr>
                <w:kern w:val="0"/>
                <w:sz w:val="24"/>
              </w:rPr>
            </w:pPr>
            <w:r>
              <w:rPr>
                <w:rFonts w:hint="eastAsia"/>
                <w:kern w:val="0"/>
                <w:sz w:val="24"/>
                <w:lang w:eastAsia="zh-CN"/>
              </w:rPr>
              <w:t>“多组团”指根据现状产业分布及规划发展，形成的包括农产品医药加工产业组团、汽贸货运产业组团、林木加工产业组团、智慧物流产业组团、科教研学产业组团、食品医药产业组团、新材料产业组团、物流工贸产业组团和智能制造产业组团形成的多个功能组团</w:t>
            </w:r>
            <w:r>
              <w:rPr>
                <w:rFonts w:hint="eastAsia"/>
                <w:kern w:val="0"/>
                <w:sz w:val="24"/>
              </w:rPr>
              <w:t>。</w:t>
            </w:r>
          </w:p>
          <w:p w14:paraId="5322053A">
            <w:pPr>
              <w:autoSpaceDE w:val="0"/>
              <w:autoSpaceDN w:val="0"/>
              <w:adjustRightInd w:val="0"/>
              <w:snapToGrid w:val="0"/>
              <w:spacing w:line="360" w:lineRule="auto"/>
              <w:ind w:firstLine="480" w:firstLineChars="200"/>
              <w:rPr>
                <w:rFonts w:hint="eastAsia"/>
                <w:kern w:val="0"/>
                <w:sz w:val="24"/>
                <w:lang w:val="en-US" w:eastAsia="zh-CN"/>
              </w:rPr>
            </w:pPr>
            <w:r>
              <w:rPr>
                <w:rFonts w:hint="eastAsia"/>
                <w:kern w:val="0"/>
                <w:sz w:val="24"/>
                <w:lang w:val="en-US" w:eastAsia="zh-CN"/>
              </w:rPr>
              <w:t>北部经济活跃区又分为农产品医药加工产业组团、汽贸货运产业组团、林木加工产业组团、智慧物流产业组团。</w:t>
            </w:r>
          </w:p>
          <w:p w14:paraId="1BE6B98D">
            <w:pPr>
              <w:autoSpaceDE w:val="0"/>
              <w:autoSpaceDN w:val="0"/>
              <w:adjustRightInd w:val="0"/>
              <w:snapToGrid w:val="0"/>
              <w:spacing w:line="360" w:lineRule="auto"/>
              <w:ind w:firstLine="480" w:firstLineChars="200"/>
              <w:rPr>
                <w:rFonts w:hint="eastAsia"/>
                <w:kern w:val="0"/>
                <w:sz w:val="24"/>
                <w:lang w:val="en-US" w:eastAsia="zh-CN"/>
              </w:rPr>
            </w:pPr>
            <w:r>
              <w:rPr>
                <w:rFonts w:hint="eastAsia"/>
                <w:kern w:val="0"/>
                <w:sz w:val="24"/>
              </w:rPr>
              <w:t>拟建项目位于</w:t>
            </w:r>
            <w:r>
              <w:rPr>
                <w:rFonts w:hint="eastAsia"/>
                <w:kern w:val="0"/>
                <w:sz w:val="24"/>
                <w:lang w:val="en-US" w:eastAsia="zh-CN"/>
              </w:rPr>
              <w:t>围场满族蒙古族自治县半截塔镇什八克村</w:t>
            </w:r>
            <w:r>
              <w:rPr>
                <w:rFonts w:hint="eastAsia"/>
                <w:kern w:val="0"/>
                <w:sz w:val="24"/>
              </w:rPr>
              <w:t>，属于</w:t>
            </w:r>
            <w:r>
              <w:rPr>
                <w:rFonts w:hint="eastAsia"/>
                <w:kern w:val="0"/>
                <w:sz w:val="24"/>
                <w:lang w:val="en-US" w:eastAsia="zh-CN"/>
              </w:rPr>
              <w:t>北部经济活跃区-农产品医药加工产业组团</w:t>
            </w:r>
            <w:r>
              <w:rPr>
                <w:rFonts w:hint="eastAsia"/>
                <w:kern w:val="0"/>
                <w:sz w:val="24"/>
              </w:rPr>
              <w:t>。</w:t>
            </w:r>
          </w:p>
          <w:p w14:paraId="6B26C1EE">
            <w:pPr>
              <w:autoSpaceDE w:val="0"/>
              <w:autoSpaceDN w:val="0"/>
              <w:adjustRightInd w:val="0"/>
              <w:snapToGrid w:val="0"/>
              <w:spacing w:line="360" w:lineRule="auto"/>
              <w:ind w:firstLine="480" w:firstLineChars="200"/>
              <w:rPr>
                <w:rFonts w:hint="eastAsia"/>
                <w:kern w:val="0"/>
                <w:sz w:val="24"/>
                <w:lang w:val="en-US" w:eastAsia="zh-CN"/>
              </w:rPr>
            </w:pPr>
            <w:r>
              <w:rPr>
                <w:rFonts w:hint="eastAsia"/>
                <w:kern w:val="0"/>
                <w:sz w:val="24"/>
                <w:lang w:eastAsia="zh-CN"/>
              </w:rPr>
              <w:t>（</w:t>
            </w:r>
            <w:r>
              <w:rPr>
                <w:rFonts w:hint="eastAsia"/>
                <w:kern w:val="0"/>
                <w:sz w:val="24"/>
                <w:lang w:val="en-US" w:eastAsia="zh-CN"/>
              </w:rPr>
              <w:t>1</w:t>
            </w:r>
            <w:r>
              <w:rPr>
                <w:rFonts w:hint="eastAsia"/>
                <w:kern w:val="0"/>
                <w:sz w:val="24"/>
                <w:lang w:eastAsia="zh-CN"/>
              </w:rPr>
              <w:t>）</w:t>
            </w:r>
            <w:r>
              <w:rPr>
                <w:rFonts w:hint="eastAsia"/>
                <w:kern w:val="0"/>
                <w:sz w:val="24"/>
                <w:lang w:val="en-US" w:eastAsia="zh-CN"/>
              </w:rPr>
              <w:t>规划符合性分析</w:t>
            </w:r>
          </w:p>
          <w:p w14:paraId="1A9595AF">
            <w:pPr>
              <w:autoSpaceDE w:val="0"/>
              <w:autoSpaceDN w:val="0"/>
              <w:adjustRightInd w:val="0"/>
              <w:snapToGrid w:val="0"/>
              <w:spacing w:line="360" w:lineRule="auto"/>
              <w:ind w:firstLine="480" w:firstLineChars="200"/>
              <w:rPr>
                <w:rFonts w:hint="eastAsia"/>
                <w:kern w:val="0"/>
                <w:sz w:val="24"/>
                <w:highlight w:val="none"/>
                <w:lang w:val="en-US" w:eastAsia="zh-CN"/>
              </w:rPr>
            </w:pPr>
            <w:r>
              <w:rPr>
                <w:rFonts w:hint="eastAsia"/>
                <w:kern w:val="0"/>
                <w:sz w:val="24"/>
                <w:highlight w:val="none"/>
                <w:lang w:val="en-US" w:eastAsia="zh-CN"/>
              </w:rPr>
              <w:t>根据经济开发区供热规划，规划开发区采用以区域供热设施及分布式燃气锅炉供热为主的供热结构，近期使用其它能源供热为补充；规划农产品医药加工产业组团设置集中供热，热源为2台40吨的燃煤锅炉。</w:t>
            </w:r>
          </w:p>
          <w:p w14:paraId="0DA9F9FA">
            <w:pPr>
              <w:autoSpaceDE w:val="0"/>
              <w:autoSpaceDN w:val="0"/>
              <w:adjustRightInd w:val="0"/>
              <w:snapToGrid w:val="0"/>
              <w:spacing w:line="360" w:lineRule="auto"/>
              <w:ind w:firstLine="480" w:firstLineChars="200"/>
              <w:rPr>
                <w:rFonts w:hint="default"/>
                <w:kern w:val="0"/>
                <w:sz w:val="24"/>
                <w:lang w:val="en-US" w:eastAsia="zh-CN"/>
              </w:rPr>
            </w:pPr>
            <w:bookmarkStart w:id="6" w:name="OLE_LINK19"/>
            <w:r>
              <w:rPr>
                <w:rFonts w:hint="eastAsia"/>
                <w:kern w:val="0"/>
                <w:sz w:val="24"/>
                <w:highlight w:val="none"/>
                <w:lang w:val="en-US" w:eastAsia="zh-CN"/>
              </w:rPr>
              <w:t>承德泓辉双合淀粉有限公司11t/h及4t/h生物质沼气两用锅炉各1台，根据规划环评，集中供热实施后，现有两台锅炉转为备用。因此，在薯类产品集中生产季以及集中供暖期等园区热源厂集中供热期间，企业所在片区均为集中供热，承德泓辉双合淀粉有限公司现有两台锅炉无法使用，导致沼气资源无法消纳，造成沼气资源浪费，因此本项目新增2t/h沼气锅炉对沼气进行资源化利用。同时，沼气锅炉属于规划环评中所提出的分布式燃气锅炉</w:t>
            </w:r>
            <w:bookmarkEnd w:id="6"/>
            <w:r>
              <w:rPr>
                <w:rFonts w:hint="eastAsia"/>
                <w:kern w:val="0"/>
                <w:sz w:val="24"/>
              </w:rPr>
              <w:t>。</w:t>
            </w:r>
          </w:p>
          <w:p w14:paraId="0CCA3C22">
            <w:pPr>
              <w:autoSpaceDE w:val="0"/>
              <w:autoSpaceDN w:val="0"/>
              <w:adjustRightInd w:val="0"/>
              <w:snapToGrid w:val="0"/>
              <w:spacing w:line="360" w:lineRule="auto"/>
              <w:jc w:val="center"/>
              <w:rPr>
                <w:kern w:val="0"/>
                <w:sz w:val="24"/>
              </w:rPr>
            </w:pPr>
            <w:r>
              <w:drawing>
                <wp:inline distT="0" distB="0" distL="114300" distR="114300">
                  <wp:extent cx="5050790" cy="3148965"/>
                  <wp:effectExtent l="0" t="0" r="16510" b="1333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8"/>
                          <a:stretch>
                            <a:fillRect/>
                          </a:stretch>
                        </pic:blipFill>
                        <pic:spPr>
                          <a:xfrm>
                            <a:off x="0" y="0"/>
                            <a:ext cx="5050790" cy="3148965"/>
                          </a:xfrm>
                          <a:prstGeom prst="rect">
                            <a:avLst/>
                          </a:prstGeom>
                          <a:noFill/>
                          <a:ln>
                            <a:noFill/>
                          </a:ln>
                        </pic:spPr>
                      </pic:pic>
                    </a:graphicData>
                  </a:graphic>
                </wp:inline>
              </w:drawing>
            </w:r>
          </w:p>
          <w:p w14:paraId="63874555">
            <w:pPr>
              <w:pStyle w:val="50"/>
              <w:widowControl w:val="0"/>
              <w:numPr>
                <w:ilvl w:val="0"/>
                <w:numId w:val="3"/>
              </w:numPr>
              <w:spacing w:line="360" w:lineRule="auto"/>
              <w:ind w:left="0" w:firstLine="0" w:firstLineChars="0"/>
              <w:jc w:val="center"/>
              <w:rPr>
                <w:rFonts w:ascii="宋体" w:hAnsi="宋体" w:eastAsia="宋体"/>
                <w:b/>
                <w:color w:val="000000" w:themeColor="text1"/>
                <w:sz w:val="21"/>
                <w14:textFill>
                  <w14:solidFill>
                    <w14:schemeClr w14:val="tx1"/>
                  </w14:solidFill>
                </w14:textFill>
              </w:rPr>
            </w:pPr>
            <w:r>
              <w:rPr>
                <w:rFonts w:hint="eastAsia" w:ascii="宋体" w:hAnsi="宋体" w:eastAsia="宋体"/>
                <w:b/>
                <w:color w:val="000000" w:themeColor="text1"/>
                <w:sz w:val="21"/>
                <w14:textFill>
                  <w14:solidFill>
                    <w14:schemeClr w14:val="tx1"/>
                  </w14:solidFill>
                </w14:textFill>
              </w:rPr>
              <w:t>开发区产业布局规划示意图</w:t>
            </w:r>
          </w:p>
          <w:p w14:paraId="3E8E3D8B">
            <w:pPr>
              <w:autoSpaceDE w:val="0"/>
              <w:autoSpaceDN w:val="0"/>
              <w:adjustRightInd w:val="0"/>
              <w:snapToGrid w:val="0"/>
              <w:spacing w:line="360" w:lineRule="auto"/>
              <w:ind w:firstLine="480" w:firstLineChars="200"/>
              <w:rPr>
                <w:sz w:val="24"/>
              </w:rPr>
            </w:pPr>
            <w:r>
              <w:rPr>
                <w:rFonts w:hint="eastAsia"/>
                <w:sz w:val="24"/>
              </w:rPr>
              <w:t>（2）土地利用规划：</w:t>
            </w:r>
          </w:p>
          <w:p w14:paraId="2A8977C8">
            <w:pPr>
              <w:autoSpaceDE w:val="0"/>
              <w:autoSpaceDN w:val="0"/>
              <w:adjustRightInd w:val="0"/>
              <w:snapToGrid w:val="0"/>
              <w:spacing w:line="360" w:lineRule="auto"/>
              <w:jc w:val="center"/>
              <w:rPr>
                <w:sz w:val="24"/>
              </w:rPr>
            </w:pPr>
            <w:r>
              <w:rPr>
                <w:sz w:val="24"/>
              </w:rPr>
              <mc:AlternateContent>
                <mc:Choice Requires="wps">
                  <w:drawing>
                    <wp:anchor distT="0" distB="0" distL="114300" distR="114300" simplePos="0" relativeHeight="251659264" behindDoc="0" locked="0" layoutInCell="1" allowOverlap="1">
                      <wp:simplePos x="0" y="0"/>
                      <wp:positionH relativeFrom="column">
                        <wp:posOffset>2145030</wp:posOffset>
                      </wp:positionH>
                      <wp:positionV relativeFrom="paragraph">
                        <wp:posOffset>1634490</wp:posOffset>
                      </wp:positionV>
                      <wp:extent cx="161925" cy="143510"/>
                      <wp:effectExtent l="15240" t="14605" r="32385" b="13335"/>
                      <wp:wrapNone/>
                      <wp:docPr id="63" name="五角星 63"/>
                      <wp:cNvGraphicFramePr/>
                      <a:graphic xmlns:a="http://schemas.openxmlformats.org/drawingml/2006/main">
                        <a:graphicData uri="http://schemas.microsoft.com/office/word/2010/wordprocessingShape">
                          <wps:wsp>
                            <wps:cNvSpPr/>
                            <wps:spPr>
                              <a:xfrm>
                                <a:off x="0" y="0"/>
                                <a:ext cx="161925" cy="143510"/>
                              </a:xfrm>
                              <a:prstGeom prst="star5">
                                <a:avLst/>
                              </a:prstGeom>
                              <a:solidFill>
                                <a:srgbClr val="FF0000"/>
                              </a:solidFill>
                              <a:ln w="9525" cap="flat" cmpd="sng">
                                <a:solidFill>
                                  <a:srgbClr val="FF0000"/>
                                </a:solidFill>
                                <a:prstDash val="solid"/>
                                <a:miter/>
                                <a:headEnd type="none" w="med" len="med"/>
                                <a:tailEnd type="none" w="med" len="med"/>
                              </a:ln>
                            </wps:spPr>
                            <wps:txbx>
                              <w:txbxContent>
                                <w:p w14:paraId="07AE1C29">
                                  <w:pPr>
                                    <w:ind w:firstLine="480"/>
                                  </w:pPr>
                                </w:p>
                              </w:txbxContent>
                            </wps:txbx>
                            <wps:bodyPr upright="1"/>
                          </wps:wsp>
                        </a:graphicData>
                      </a:graphic>
                    </wp:anchor>
                  </w:drawing>
                </mc:Choice>
                <mc:Fallback>
                  <w:pict>
                    <v:shape id="_x0000_s1026" o:spid="_x0000_s1026" style="position:absolute;left:0pt;margin-left:168.9pt;margin-top:128.7pt;height:11.3pt;width:12.75pt;z-index:251659264;mso-width-relative:page;mso-height-relative:page;" fillcolor="#FF0000" filled="t" stroked="t" coordsize="161925,143510" o:gfxdata="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QREJGNgAAAALAQAADwAAAAAAAAABACAAAAAiAAAA&#10;ZHJzL2Rvd25yZXYueG1sUEsBAhQAFAAAAAgAh07iQGk8E10HAgAALgQAAA4AAAAAAAAAAQAgAAAA&#10;JwEAAGRycy9lMm9Eb2MueG1sUEsFBgAAAAAGAAYAWQEAAKAFAAAAAA==&#10;" path="m0,54815l61850,54816,80962,0,100074,54816,161924,54815,111886,88693,130999,143509,80962,109631,30925,143509,50038,88693xe">
                      <v:path textboxrect="0,0,161925,143510" o:connectlocs="80962,0;0,54815;30925,143509;130999,143509;161924,54815" o:connectangles="247,164,82,82,0"/>
                      <v:fill on="t" focussize="0,0"/>
                      <v:stroke color="#FF0000" joinstyle="miter"/>
                      <v:imagedata o:title=""/>
                      <o:lock v:ext="edit" aspectratio="f"/>
                      <v:textbox>
                        <w:txbxContent>
                          <w:p w14:paraId="07AE1C29">
                            <w:pPr>
                              <w:ind w:firstLine="480"/>
                            </w:pPr>
                          </w:p>
                        </w:txbxContent>
                      </v:textbox>
                    </v:shape>
                  </w:pict>
                </mc:Fallback>
              </mc:AlternateContent>
            </w:r>
            <w:r>
              <w:rPr>
                <w:sz w:val="24"/>
              </w:rPr>
              <mc:AlternateContent>
                <mc:Choice Requires="wps">
                  <w:drawing>
                    <wp:anchor distT="0" distB="0" distL="114300" distR="114300" simplePos="0" relativeHeight="251660288" behindDoc="0" locked="0" layoutInCell="1" allowOverlap="1">
                      <wp:simplePos x="0" y="0"/>
                      <wp:positionH relativeFrom="column">
                        <wp:posOffset>1291590</wp:posOffset>
                      </wp:positionH>
                      <wp:positionV relativeFrom="paragraph">
                        <wp:posOffset>942340</wp:posOffset>
                      </wp:positionV>
                      <wp:extent cx="1052195" cy="327660"/>
                      <wp:effectExtent l="4445" t="5080" r="10160" b="410210"/>
                      <wp:wrapNone/>
                      <wp:docPr id="448" name="矩形标注 448"/>
                      <wp:cNvGraphicFramePr/>
                      <a:graphic xmlns:a="http://schemas.openxmlformats.org/drawingml/2006/main">
                        <a:graphicData uri="http://schemas.microsoft.com/office/word/2010/wordprocessingShape">
                          <wps:wsp>
                            <wps:cNvSpPr/>
                            <wps:spPr>
                              <a:xfrm>
                                <a:off x="0" y="0"/>
                                <a:ext cx="1052195" cy="327660"/>
                              </a:xfrm>
                              <a:prstGeom prst="wedgeRectCallout">
                                <a:avLst>
                                  <a:gd name="adj1" fmla="val 34188"/>
                                  <a:gd name="adj2" fmla="val 165310"/>
                                </a:avLst>
                              </a:prstGeom>
                              <a:solidFill>
                                <a:srgbClr val="FFFFFF"/>
                              </a:solidFill>
                              <a:ln w="9525" cap="flat" cmpd="sng">
                                <a:solidFill>
                                  <a:srgbClr val="000000"/>
                                </a:solidFill>
                                <a:prstDash val="solid"/>
                                <a:miter/>
                                <a:headEnd type="none" w="med" len="med"/>
                                <a:tailEnd type="none" w="med" len="med"/>
                              </a:ln>
                            </wps:spPr>
                            <wps:txbx>
                              <w:txbxContent>
                                <w:p w14:paraId="344977D7">
                                  <w:r>
                                    <w:rPr>
                                      <w:rFonts w:hint="eastAsia"/>
                                    </w:rPr>
                                    <w:t>项目所在地</w:t>
                                  </w:r>
                                </w:p>
                              </w:txbxContent>
                            </wps:txbx>
                            <wps:bodyPr upright="1"/>
                          </wps:wsp>
                        </a:graphicData>
                      </a:graphic>
                    </wp:anchor>
                  </w:drawing>
                </mc:Choice>
                <mc:Fallback>
                  <w:pict>
                    <v:shape id="_x0000_s1026" o:spid="_x0000_s1026" o:spt="61" type="#_x0000_t61" style="position:absolute;left:0pt;margin-left:101.7pt;margin-top:74.2pt;height:25.8pt;width:82.85pt;z-index:251660288;mso-width-relative:page;mso-height-relative:page;" fillcolor="#FFFFFF" filled="t" stroked="t" coordsize="21600,21600" o:gfxdata="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B0jWWdgAAAALAQAADwAAAAAAAAABACAAAAAiAAAAZHJz&#10;L2Rvd25yZXYueG1sUEsBAhQAFAAAAAgAh07iQEB5mYU9AgAAkQQAAA4AAAAAAAAAAQAgAAAAJwEA&#10;AGRycy9lMm9Eb2MueG1sUEsFBgAAAAAGAAYAWQEAANYFAAAAAA==&#10;" adj="18185,46507">
                      <v:fill on="t" focussize="0,0"/>
                      <v:stroke color="#000000" joinstyle="miter"/>
                      <v:imagedata o:title=""/>
                      <o:lock v:ext="edit" aspectratio="f"/>
                      <v:textbox>
                        <w:txbxContent>
                          <w:p w14:paraId="344977D7">
                            <w:r>
                              <w:rPr>
                                <w:rFonts w:hint="eastAsia"/>
                              </w:rPr>
                              <w:t>项目所在地</w:t>
                            </w:r>
                          </w:p>
                        </w:txbxContent>
                      </v:textbox>
                    </v:shape>
                  </w:pict>
                </mc:Fallback>
              </mc:AlternateContent>
            </w:r>
            <w:r>
              <w:drawing>
                <wp:inline distT="0" distB="0" distL="114300" distR="114300">
                  <wp:extent cx="4743450" cy="6553200"/>
                  <wp:effectExtent l="0" t="0" r="0" b="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9"/>
                          <a:stretch>
                            <a:fillRect/>
                          </a:stretch>
                        </pic:blipFill>
                        <pic:spPr>
                          <a:xfrm>
                            <a:off x="0" y="0"/>
                            <a:ext cx="4743450" cy="6553200"/>
                          </a:xfrm>
                          <a:prstGeom prst="rect">
                            <a:avLst/>
                          </a:prstGeom>
                          <a:noFill/>
                          <a:ln>
                            <a:noFill/>
                          </a:ln>
                        </pic:spPr>
                      </pic:pic>
                    </a:graphicData>
                  </a:graphic>
                </wp:inline>
              </w:drawing>
            </w:r>
          </w:p>
          <w:p w14:paraId="01B8464E">
            <w:pPr>
              <w:pStyle w:val="50"/>
              <w:widowControl w:val="0"/>
              <w:numPr>
                <w:ilvl w:val="0"/>
                <w:numId w:val="3"/>
              </w:numPr>
              <w:spacing w:line="360" w:lineRule="auto"/>
              <w:ind w:left="0" w:firstLine="0" w:firstLineChars="0"/>
              <w:jc w:val="center"/>
              <w:rPr>
                <w:rFonts w:ascii="宋体" w:hAnsi="宋体" w:eastAsia="宋体"/>
                <w:b/>
                <w:color w:val="000000" w:themeColor="text1"/>
                <w:sz w:val="21"/>
                <w14:textFill>
                  <w14:solidFill>
                    <w14:schemeClr w14:val="tx1"/>
                  </w14:solidFill>
                </w14:textFill>
              </w:rPr>
            </w:pPr>
            <w:r>
              <w:rPr>
                <w:rFonts w:hint="eastAsia" w:ascii="宋体" w:hAnsi="宋体" w:eastAsia="宋体"/>
                <w:b/>
                <w:color w:val="000000" w:themeColor="text1"/>
                <w:sz w:val="21"/>
                <w14:textFill>
                  <w14:solidFill>
                    <w14:schemeClr w14:val="tx1"/>
                  </w14:solidFill>
                </w14:textFill>
              </w:rPr>
              <w:t>项目选址与开发区土地利用规划关系示意图</w:t>
            </w:r>
          </w:p>
          <w:p w14:paraId="21D6E31A">
            <w:pPr>
              <w:autoSpaceDE w:val="0"/>
              <w:autoSpaceDN w:val="0"/>
              <w:adjustRightInd w:val="0"/>
              <w:snapToGrid w:val="0"/>
              <w:spacing w:before="120" w:beforeLines="50" w:line="360" w:lineRule="auto"/>
              <w:ind w:firstLine="480" w:firstLineChars="200"/>
              <w:rPr>
                <w:rFonts w:hint="eastAsia"/>
                <w:sz w:val="24"/>
              </w:rPr>
            </w:pPr>
            <w:r>
              <w:rPr>
                <w:rFonts w:hint="eastAsia"/>
                <w:sz w:val="24"/>
                <w:lang w:val="en-US" w:eastAsia="zh-CN"/>
              </w:rPr>
              <w:t>根据开发区总体规划，项目占地范围土地利用规划为工业用地，项目的建设不改变土地性质，项目用地符合《河北围场经济开发区总体规划（2023-2035年）》。</w:t>
            </w:r>
          </w:p>
          <w:p w14:paraId="5767EFF0">
            <w:pPr>
              <w:autoSpaceDE w:val="0"/>
              <w:autoSpaceDN w:val="0"/>
              <w:adjustRightInd w:val="0"/>
              <w:snapToGrid w:val="0"/>
              <w:spacing w:line="360" w:lineRule="auto"/>
              <w:ind w:firstLine="482" w:firstLineChars="200"/>
              <w:rPr>
                <w:b/>
                <w:kern w:val="0"/>
                <w:sz w:val="24"/>
              </w:rPr>
            </w:pPr>
            <w:r>
              <w:rPr>
                <w:rFonts w:hint="eastAsia"/>
                <w:b/>
                <w:kern w:val="0"/>
                <w:sz w:val="24"/>
              </w:rPr>
              <w:t>2、规划环境影响评价符合性分析</w:t>
            </w:r>
          </w:p>
          <w:p w14:paraId="0498AD7C">
            <w:pPr>
              <w:autoSpaceDE w:val="0"/>
              <w:autoSpaceDN w:val="0"/>
              <w:adjustRightInd w:val="0"/>
              <w:snapToGrid w:val="0"/>
              <w:spacing w:line="360" w:lineRule="auto"/>
              <w:ind w:firstLine="480" w:firstLineChars="200"/>
              <w:rPr>
                <w:kern w:val="0"/>
                <w:sz w:val="24"/>
              </w:rPr>
            </w:pPr>
            <w:r>
              <w:rPr>
                <w:rFonts w:hint="eastAsia"/>
                <w:sz w:val="24"/>
              </w:rPr>
              <w:t>项目与《河北围场经济开发区总体规划（2023-2035年）环境影响报告书》中开发区总体生态环境准入清单符合性分析见下表。</w:t>
            </w:r>
          </w:p>
          <w:p w14:paraId="0A78C724">
            <w:pPr>
              <w:pStyle w:val="50"/>
              <w:numPr>
                <w:ilvl w:val="0"/>
                <w:numId w:val="4"/>
              </w:numPr>
              <w:ind w:left="0" w:firstLine="0" w:firstLineChars="0"/>
              <w:jc w:val="center"/>
              <w:rPr>
                <w:rFonts w:ascii="Times New Roman" w:hAnsi="Times New Roman" w:eastAsia="宋体"/>
                <w:b/>
                <w:bCs/>
                <w:sz w:val="21"/>
                <w:szCs w:val="21"/>
              </w:rPr>
            </w:pPr>
            <w:r>
              <w:rPr>
                <w:rFonts w:hint="eastAsia" w:ascii="Times New Roman" w:hAnsi="Times New Roman" w:eastAsia="宋体"/>
                <w:b/>
                <w:bCs/>
                <w:sz w:val="21"/>
                <w:szCs w:val="21"/>
              </w:rPr>
              <w:t>项目与开发区总体生态环境准入清单符合性分析</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8"/>
              <w:gridCol w:w="4590"/>
              <w:gridCol w:w="2487"/>
            </w:tblGrid>
            <w:tr w14:paraId="0DBDB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Align w:val="center"/>
                </w:tcPr>
                <w:p w14:paraId="45FCB0FB">
                  <w:pPr>
                    <w:autoSpaceDE w:val="0"/>
                    <w:autoSpaceDN w:val="0"/>
                    <w:jc w:val="center"/>
                    <w:rPr>
                      <w:b/>
                      <w:bCs/>
                      <w:kern w:val="21"/>
                      <w:sz w:val="18"/>
                      <w:szCs w:val="21"/>
                    </w:rPr>
                  </w:pPr>
                  <w:r>
                    <w:rPr>
                      <w:b/>
                      <w:bCs/>
                      <w:kern w:val="21"/>
                      <w:sz w:val="18"/>
                      <w:szCs w:val="21"/>
                    </w:rPr>
                    <w:t>清单类型</w:t>
                  </w:r>
                </w:p>
              </w:tc>
              <w:tc>
                <w:tcPr>
                  <w:tcW w:w="4590" w:type="dxa"/>
                  <w:vAlign w:val="center"/>
                </w:tcPr>
                <w:p w14:paraId="0A1E6B86">
                  <w:pPr>
                    <w:autoSpaceDE w:val="0"/>
                    <w:autoSpaceDN w:val="0"/>
                    <w:jc w:val="center"/>
                    <w:rPr>
                      <w:b/>
                      <w:bCs/>
                      <w:kern w:val="21"/>
                      <w:szCs w:val="21"/>
                    </w:rPr>
                  </w:pPr>
                  <w:r>
                    <w:rPr>
                      <w:b/>
                      <w:bCs/>
                      <w:kern w:val="21"/>
                      <w:szCs w:val="21"/>
                    </w:rPr>
                    <w:t>准入要求</w:t>
                  </w:r>
                </w:p>
              </w:tc>
              <w:tc>
                <w:tcPr>
                  <w:tcW w:w="2487" w:type="dxa"/>
                  <w:vAlign w:val="center"/>
                </w:tcPr>
                <w:p w14:paraId="4C0F9B17">
                  <w:pPr>
                    <w:autoSpaceDE w:val="0"/>
                    <w:autoSpaceDN w:val="0"/>
                    <w:jc w:val="center"/>
                    <w:rPr>
                      <w:b/>
                      <w:bCs/>
                      <w:kern w:val="21"/>
                      <w:szCs w:val="21"/>
                    </w:rPr>
                  </w:pPr>
                  <w:r>
                    <w:rPr>
                      <w:b/>
                      <w:bCs/>
                      <w:kern w:val="21"/>
                      <w:szCs w:val="21"/>
                    </w:rPr>
                    <w:t>符合性分析</w:t>
                  </w:r>
                </w:p>
              </w:tc>
            </w:tr>
            <w:tr w14:paraId="037B0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restart"/>
                  <w:vAlign w:val="center"/>
                </w:tcPr>
                <w:p w14:paraId="4116BAE2">
                  <w:pPr>
                    <w:autoSpaceDE w:val="0"/>
                    <w:autoSpaceDN w:val="0"/>
                    <w:jc w:val="center"/>
                    <w:rPr>
                      <w:kern w:val="21"/>
                      <w:szCs w:val="21"/>
                    </w:rPr>
                  </w:pPr>
                  <w:r>
                    <w:rPr>
                      <w:kern w:val="21"/>
                      <w:szCs w:val="21"/>
                    </w:rPr>
                    <w:t>空间布局约束</w:t>
                  </w:r>
                </w:p>
              </w:tc>
              <w:tc>
                <w:tcPr>
                  <w:tcW w:w="4590" w:type="dxa"/>
                  <w:vAlign w:val="center"/>
                </w:tcPr>
                <w:p w14:paraId="200C4EBD">
                  <w:pPr>
                    <w:autoSpaceDE w:val="0"/>
                    <w:autoSpaceDN w:val="0"/>
                    <w:jc w:val="center"/>
                    <w:rPr>
                      <w:kern w:val="21"/>
                      <w:szCs w:val="21"/>
                    </w:rPr>
                  </w:pPr>
                  <w:r>
                    <w:rPr>
                      <w:rFonts w:hint="eastAsia"/>
                      <w:kern w:val="21"/>
                      <w:szCs w:val="21"/>
                    </w:rPr>
                    <w:t>在公路两侧建筑控制线范围内，禁止建设除附属设施外的其他永久性建筑物、构筑物和设施；禁止在规划绿地范围内开展与绿地无关的建设活动；禁止违规占用河道管理范围及国家重点公益林；</w:t>
                  </w:r>
                </w:p>
              </w:tc>
              <w:tc>
                <w:tcPr>
                  <w:tcW w:w="2487" w:type="dxa"/>
                  <w:vAlign w:val="center"/>
                </w:tcPr>
                <w:p w14:paraId="13356BF3">
                  <w:pPr>
                    <w:autoSpaceDE w:val="0"/>
                    <w:autoSpaceDN w:val="0"/>
                    <w:jc w:val="center"/>
                    <w:rPr>
                      <w:rFonts w:hint="eastAsia" w:eastAsia="宋体"/>
                      <w:kern w:val="21"/>
                      <w:szCs w:val="21"/>
                      <w:lang w:val="en-US" w:eastAsia="zh-CN"/>
                    </w:rPr>
                  </w:pPr>
                  <w:r>
                    <w:rPr>
                      <w:rFonts w:hint="eastAsia"/>
                      <w:kern w:val="21"/>
                      <w:szCs w:val="21"/>
                      <w:lang w:val="en-US" w:eastAsia="zh-CN"/>
                    </w:rPr>
                    <w:t>本项目不新增占地，不占用</w:t>
                  </w:r>
                  <w:r>
                    <w:rPr>
                      <w:rFonts w:hint="eastAsia"/>
                      <w:kern w:val="21"/>
                      <w:szCs w:val="21"/>
                    </w:rPr>
                    <w:t>公路两侧建筑控制线</w:t>
                  </w:r>
                  <w:r>
                    <w:rPr>
                      <w:rFonts w:hint="eastAsia"/>
                      <w:kern w:val="21"/>
                      <w:szCs w:val="21"/>
                      <w:lang w:eastAsia="zh-CN"/>
                    </w:rPr>
                    <w:t>、</w:t>
                  </w:r>
                  <w:r>
                    <w:rPr>
                      <w:rFonts w:hint="eastAsia"/>
                      <w:kern w:val="21"/>
                      <w:szCs w:val="21"/>
                    </w:rPr>
                    <w:t>规划绿地</w:t>
                  </w:r>
                  <w:r>
                    <w:rPr>
                      <w:rFonts w:hint="eastAsia"/>
                      <w:kern w:val="21"/>
                      <w:szCs w:val="21"/>
                      <w:lang w:val="en-US" w:eastAsia="zh-CN"/>
                    </w:rPr>
                    <w:t>和</w:t>
                  </w:r>
                  <w:r>
                    <w:rPr>
                      <w:rFonts w:hint="eastAsia"/>
                      <w:kern w:val="21"/>
                      <w:szCs w:val="21"/>
                    </w:rPr>
                    <w:t>河道管理范围及国家重点公益林</w:t>
                  </w:r>
                </w:p>
              </w:tc>
            </w:tr>
            <w:tr w14:paraId="047F1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20E60249">
                  <w:pPr>
                    <w:autoSpaceDE w:val="0"/>
                    <w:autoSpaceDN w:val="0"/>
                    <w:jc w:val="center"/>
                    <w:rPr>
                      <w:kern w:val="21"/>
                      <w:szCs w:val="21"/>
                      <w:highlight w:val="green"/>
                    </w:rPr>
                  </w:pPr>
                </w:p>
              </w:tc>
              <w:tc>
                <w:tcPr>
                  <w:tcW w:w="4590" w:type="dxa"/>
                  <w:vAlign w:val="center"/>
                </w:tcPr>
                <w:p w14:paraId="32F27B12">
                  <w:pPr>
                    <w:autoSpaceDE w:val="0"/>
                    <w:autoSpaceDN w:val="0"/>
                    <w:jc w:val="center"/>
                    <w:rPr>
                      <w:kern w:val="21"/>
                      <w:szCs w:val="21"/>
                    </w:rPr>
                  </w:pPr>
                  <w:r>
                    <w:rPr>
                      <w:rFonts w:hint="eastAsia"/>
                      <w:kern w:val="21"/>
                      <w:szCs w:val="21"/>
                    </w:rPr>
                    <w:t>涉风险物质企业应在建设项目环评、安评阶段进一步详细论证其风险状态下的影响范围，新增风险源的大气毒性终点浓度-1范围内不得有常驻居民，具体控制距离根据项目环评的风险分析结论确定</w:t>
                  </w:r>
                  <w:r>
                    <w:rPr>
                      <w:kern w:val="21"/>
                      <w:szCs w:val="21"/>
                    </w:rPr>
                    <w:t>；</w:t>
                  </w:r>
                </w:p>
              </w:tc>
              <w:tc>
                <w:tcPr>
                  <w:tcW w:w="2487" w:type="dxa"/>
                  <w:vAlign w:val="center"/>
                </w:tcPr>
                <w:p w14:paraId="1B681F22">
                  <w:pPr>
                    <w:autoSpaceDE w:val="0"/>
                    <w:autoSpaceDN w:val="0"/>
                    <w:jc w:val="center"/>
                    <w:rPr>
                      <w:rFonts w:hint="default" w:eastAsia="宋体"/>
                      <w:kern w:val="21"/>
                      <w:szCs w:val="21"/>
                      <w:lang w:val="en-US" w:eastAsia="zh-CN"/>
                    </w:rPr>
                  </w:pPr>
                  <w:r>
                    <w:rPr>
                      <w:rFonts w:hint="eastAsia"/>
                      <w:kern w:val="21"/>
                      <w:szCs w:val="21"/>
                      <w:lang w:val="en-US" w:eastAsia="zh-CN"/>
                    </w:rPr>
                    <w:t>本项目涉及的风险物质为沼气，经Q值计算可知，</w:t>
                  </w:r>
                  <w:r>
                    <w:rPr>
                      <w:rFonts w:hint="eastAsia" w:ascii="Times New Roman" w:hAnsi="Times New Roman" w:eastAsia="宋体" w:cs="Times New Roman"/>
                      <w:kern w:val="21"/>
                      <w:szCs w:val="21"/>
                      <w:lang w:val="en-US" w:eastAsia="zh-CN"/>
                    </w:rPr>
                    <w:t>Q＜1，为简单分析，项目运营后将严格按照本环评提出的风险防范措施进行管理</w:t>
                  </w:r>
                </w:p>
              </w:tc>
            </w:tr>
            <w:tr w14:paraId="26CBA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1B2ED842">
                  <w:pPr>
                    <w:autoSpaceDE w:val="0"/>
                    <w:autoSpaceDN w:val="0"/>
                    <w:jc w:val="center"/>
                    <w:rPr>
                      <w:kern w:val="21"/>
                      <w:szCs w:val="21"/>
                      <w:highlight w:val="green"/>
                    </w:rPr>
                  </w:pPr>
                </w:p>
              </w:tc>
              <w:tc>
                <w:tcPr>
                  <w:tcW w:w="4590" w:type="dxa"/>
                  <w:vAlign w:val="center"/>
                </w:tcPr>
                <w:p w14:paraId="6F2B100D">
                  <w:pPr>
                    <w:autoSpaceDE w:val="0"/>
                    <w:autoSpaceDN w:val="0"/>
                    <w:jc w:val="center"/>
                    <w:rPr>
                      <w:kern w:val="21"/>
                      <w:szCs w:val="21"/>
                    </w:rPr>
                  </w:pPr>
                  <w:r>
                    <w:rPr>
                      <w:rFonts w:hint="eastAsia"/>
                      <w:kern w:val="21"/>
                      <w:szCs w:val="21"/>
                    </w:rPr>
                    <w:t>开发区位于弱包气防护性能区，入区企业应按照污染物类型、污染控制难易程度等设置重点防渗区或一般防渗区</w:t>
                  </w:r>
                  <w:r>
                    <w:rPr>
                      <w:kern w:val="21"/>
                      <w:szCs w:val="21"/>
                    </w:rPr>
                    <w:t>；</w:t>
                  </w:r>
                </w:p>
              </w:tc>
              <w:tc>
                <w:tcPr>
                  <w:tcW w:w="2487" w:type="dxa"/>
                  <w:vAlign w:val="center"/>
                </w:tcPr>
                <w:p w14:paraId="6213A5C7">
                  <w:pPr>
                    <w:autoSpaceDE w:val="0"/>
                    <w:autoSpaceDN w:val="0"/>
                    <w:jc w:val="center"/>
                    <w:rPr>
                      <w:rFonts w:hint="default" w:eastAsia="宋体"/>
                      <w:kern w:val="21"/>
                      <w:szCs w:val="21"/>
                      <w:lang w:val="en-US" w:eastAsia="zh-CN"/>
                    </w:rPr>
                  </w:pPr>
                  <w:r>
                    <w:rPr>
                      <w:rFonts w:hint="eastAsia"/>
                      <w:kern w:val="21"/>
                      <w:szCs w:val="21"/>
                      <w:lang w:val="en-US" w:eastAsia="zh-CN"/>
                    </w:rPr>
                    <w:t>本项目</w:t>
                  </w:r>
                  <w:r>
                    <w:rPr>
                      <w:rFonts w:hint="eastAsia" w:ascii="Times New Roman" w:hAnsi="Times New Roman" w:eastAsia="宋体" w:cs="Times New Roman"/>
                      <w:kern w:val="21"/>
                      <w:szCs w:val="21"/>
                      <w:lang w:val="en-US" w:eastAsia="zh-CN"/>
                    </w:rPr>
                    <w:t>对锅炉房地面进行一般地面硬化；对厂区道路等区域进行一般地面硬化</w:t>
                  </w:r>
                </w:p>
              </w:tc>
            </w:tr>
            <w:tr w14:paraId="44911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restart"/>
                  <w:vAlign w:val="center"/>
                </w:tcPr>
                <w:p w14:paraId="45A238B2">
                  <w:pPr>
                    <w:autoSpaceDE w:val="0"/>
                    <w:autoSpaceDN w:val="0"/>
                    <w:jc w:val="center"/>
                    <w:rPr>
                      <w:kern w:val="21"/>
                      <w:szCs w:val="21"/>
                    </w:rPr>
                  </w:pPr>
                  <w:r>
                    <w:rPr>
                      <w:kern w:val="21"/>
                      <w:szCs w:val="21"/>
                    </w:rPr>
                    <w:t>污染物排放管控</w:t>
                  </w:r>
                </w:p>
              </w:tc>
              <w:tc>
                <w:tcPr>
                  <w:tcW w:w="4590" w:type="dxa"/>
                  <w:vAlign w:val="center"/>
                </w:tcPr>
                <w:p w14:paraId="70D74970">
                  <w:pPr>
                    <w:autoSpaceDE w:val="0"/>
                    <w:autoSpaceDN w:val="0"/>
                    <w:jc w:val="both"/>
                    <w:rPr>
                      <w:rFonts w:hint="eastAsia"/>
                      <w:kern w:val="21"/>
                      <w:szCs w:val="21"/>
                    </w:rPr>
                  </w:pPr>
                  <w:r>
                    <w:rPr>
                      <w:rFonts w:hint="eastAsia"/>
                      <w:kern w:val="21"/>
                      <w:szCs w:val="21"/>
                    </w:rPr>
                    <w:t>污染物排放：</w:t>
                  </w:r>
                </w:p>
                <w:p w14:paraId="17F00978">
                  <w:pPr>
                    <w:autoSpaceDE w:val="0"/>
                    <w:autoSpaceDN w:val="0"/>
                    <w:jc w:val="center"/>
                    <w:rPr>
                      <w:rFonts w:hint="eastAsia" w:eastAsia="宋体"/>
                      <w:kern w:val="21"/>
                      <w:szCs w:val="21"/>
                      <w:lang w:eastAsia="zh-CN"/>
                    </w:rPr>
                  </w:pPr>
                  <w:r>
                    <w:rPr>
                      <w:rFonts w:hint="eastAsia"/>
                      <w:kern w:val="21"/>
                      <w:szCs w:val="21"/>
                    </w:rPr>
                    <w:t>废气：污染物允许排放量：颗粒物99.566t/a、二氧化硫84.012t/a、氮氧化物183.142t/a、VOCS341.411t/a、氨4.347t/a、硫化氢0.125t/a、甲醛1.872t/a、酚类0.641t/a；存量源削减量：颗粒物0.558t/a、二氧化硫5.879t/a、氮氧化物7.951t/a、VOCS69.239t/a；新增源控制量：颗粒物76.575t/a、二氧化硫70.031t/a、氮氧化物143.904t/a、VOCS254.265t/a，氨4.206t/a、硫化氢0.113t/a、TVOC30.654t/a、甲醛1.553t/a、酚类0.472t/a</w:t>
                  </w:r>
                  <w:r>
                    <w:rPr>
                      <w:rFonts w:hint="eastAsia"/>
                      <w:kern w:val="21"/>
                      <w:szCs w:val="21"/>
                      <w:lang w:eastAsia="zh-CN"/>
                    </w:rPr>
                    <w:t>。</w:t>
                  </w:r>
                </w:p>
                <w:p w14:paraId="001F23EF">
                  <w:pPr>
                    <w:autoSpaceDE w:val="0"/>
                    <w:autoSpaceDN w:val="0"/>
                    <w:jc w:val="center"/>
                    <w:rPr>
                      <w:rFonts w:hint="eastAsia"/>
                      <w:kern w:val="21"/>
                      <w:szCs w:val="21"/>
                    </w:rPr>
                  </w:pPr>
                  <w:r>
                    <w:rPr>
                      <w:rFonts w:hint="eastAsia"/>
                      <w:kern w:val="21"/>
                      <w:szCs w:val="21"/>
                    </w:rPr>
                    <w:t>废水：污染物允许排放量：COD134.338t/a、氨氮13.434t/a、总磷1.343t/a、汞0.003t/a、砷0.269t/a、氰化物1.343t/a；存量源削减量：COD49.269t/a、氨氮4.927t/a、总磷0.493t/a、汞0.001t/a、砷0.098t/a、氰化物0.492t/a；新增源控制量：</w:t>
                  </w:r>
                </w:p>
                <w:p w14:paraId="0B9D02A4">
                  <w:pPr>
                    <w:autoSpaceDE w:val="0"/>
                    <w:autoSpaceDN w:val="0"/>
                    <w:jc w:val="center"/>
                    <w:rPr>
                      <w:rFonts w:hint="eastAsia"/>
                      <w:kern w:val="21"/>
                      <w:szCs w:val="21"/>
                    </w:rPr>
                  </w:pPr>
                  <w:bookmarkStart w:id="7" w:name="OLE_LINK13"/>
                  <w:r>
                    <w:rPr>
                      <w:rFonts w:hint="eastAsia"/>
                      <w:kern w:val="21"/>
                      <w:szCs w:val="21"/>
                    </w:rPr>
                    <w:t>COD</w:t>
                  </w:r>
                  <w:bookmarkEnd w:id="7"/>
                  <w:r>
                    <w:rPr>
                      <w:rFonts w:hint="eastAsia"/>
                      <w:kern w:val="21"/>
                      <w:szCs w:val="21"/>
                    </w:rPr>
                    <w:t>85.069t/a、氨氮8.507t/a、总磷0.851t/a、汞0.002t/a、砷0.171t/a、氰化物0.851t/a</w:t>
                  </w:r>
                </w:p>
                <w:p w14:paraId="52914ADB">
                  <w:pPr>
                    <w:autoSpaceDE w:val="0"/>
                    <w:autoSpaceDN w:val="0"/>
                    <w:jc w:val="center"/>
                    <w:rPr>
                      <w:rFonts w:hint="eastAsia"/>
                      <w:kern w:val="21"/>
                      <w:szCs w:val="21"/>
                    </w:rPr>
                  </w:pPr>
                  <w:r>
                    <w:rPr>
                      <w:rFonts w:hint="eastAsia"/>
                      <w:kern w:val="21"/>
                      <w:szCs w:val="21"/>
                    </w:rPr>
                    <w:t>碳排放及强度：碳排放强度0.723t/万元工业增加值；</w:t>
                  </w:r>
                </w:p>
                <w:p w14:paraId="7CFF453B">
                  <w:pPr>
                    <w:autoSpaceDE w:val="0"/>
                    <w:autoSpaceDN w:val="0"/>
                    <w:jc w:val="both"/>
                    <w:rPr>
                      <w:rFonts w:hint="eastAsia"/>
                      <w:kern w:val="21"/>
                      <w:szCs w:val="21"/>
                    </w:rPr>
                  </w:pPr>
                  <w:r>
                    <w:rPr>
                      <w:rFonts w:hint="eastAsia"/>
                      <w:kern w:val="21"/>
                      <w:szCs w:val="21"/>
                    </w:rPr>
                    <w:t>污染物排放强度：</w:t>
                  </w:r>
                </w:p>
                <w:p w14:paraId="04FFEA52">
                  <w:pPr>
                    <w:autoSpaceDE w:val="0"/>
                    <w:autoSpaceDN w:val="0"/>
                    <w:jc w:val="center"/>
                    <w:rPr>
                      <w:rFonts w:hint="eastAsia"/>
                      <w:kern w:val="21"/>
                      <w:szCs w:val="21"/>
                    </w:rPr>
                  </w:pPr>
                  <w:r>
                    <w:rPr>
                      <w:rFonts w:hint="eastAsia"/>
                      <w:kern w:val="21"/>
                      <w:szCs w:val="21"/>
                    </w:rPr>
                    <w:t>淀粉工业（待最新清洁生产或行业政策发布后，按最新要求实施）：废水产生量（末端处理前）≤4.0m</w:t>
                  </w:r>
                  <w:r>
                    <w:rPr>
                      <w:rFonts w:hint="eastAsia"/>
                      <w:kern w:val="21"/>
                      <w:szCs w:val="21"/>
                      <w:vertAlign w:val="superscript"/>
                    </w:rPr>
                    <w:t>3</w:t>
                  </w:r>
                  <w:r>
                    <w:rPr>
                      <w:rFonts w:hint="eastAsia"/>
                      <w:kern w:val="21"/>
                      <w:szCs w:val="21"/>
                    </w:rPr>
                    <w:t>/t；化学需氧量产生量（末端处理前）≤24kg/t；氨氮产生量（末端处理前）≤0.24kg/t。</w:t>
                  </w:r>
                </w:p>
                <w:p w14:paraId="7B65CBC5">
                  <w:pPr>
                    <w:autoSpaceDE w:val="0"/>
                    <w:autoSpaceDN w:val="0"/>
                    <w:jc w:val="center"/>
                    <w:rPr>
                      <w:kern w:val="21"/>
                      <w:szCs w:val="21"/>
                    </w:rPr>
                  </w:pPr>
                  <w:r>
                    <w:rPr>
                      <w:rFonts w:hint="eastAsia"/>
                      <w:kern w:val="21"/>
                      <w:szCs w:val="21"/>
                    </w:rPr>
                    <w:t>白酒工业（待最新清洁生产或行业政策发布后，按最新要求实施）：废水产生量（末端处理前）≤18m</w:t>
                  </w:r>
                  <w:r>
                    <w:rPr>
                      <w:rFonts w:hint="eastAsia"/>
                      <w:kern w:val="21"/>
                      <w:szCs w:val="21"/>
                      <w:vertAlign w:val="superscript"/>
                    </w:rPr>
                    <w:t>3</w:t>
                  </w:r>
                  <w:r>
                    <w:rPr>
                      <w:rFonts w:hint="eastAsia"/>
                      <w:kern w:val="21"/>
                      <w:szCs w:val="21"/>
                    </w:rPr>
                    <w:t>/kL（清香型）、≤24m</w:t>
                  </w:r>
                  <w:r>
                    <w:rPr>
                      <w:rFonts w:hint="eastAsia"/>
                      <w:kern w:val="21"/>
                      <w:szCs w:val="21"/>
                      <w:vertAlign w:val="superscript"/>
                    </w:rPr>
                    <w:t>3</w:t>
                  </w:r>
                  <w:r>
                    <w:rPr>
                      <w:rFonts w:hint="eastAsia"/>
                      <w:kern w:val="21"/>
                      <w:szCs w:val="21"/>
                    </w:rPr>
                    <w:t>/kL（浓/酱香型）；化学需氧量产生量（末端处理前）≤100kg/kL（清香型）、≤120kg/kL（浓/酱香型）；BOD</w:t>
                  </w:r>
                  <w:r>
                    <w:rPr>
                      <w:rFonts w:hint="eastAsia"/>
                      <w:kern w:val="21"/>
                      <w:szCs w:val="21"/>
                      <w:vertAlign w:val="subscript"/>
                    </w:rPr>
                    <w:t>5</w:t>
                  </w:r>
                  <w:r>
                    <w:rPr>
                      <w:rFonts w:hint="eastAsia"/>
                      <w:kern w:val="21"/>
                      <w:szCs w:val="21"/>
                    </w:rPr>
                    <w:t>产生量（末端处理前）≤55kg/kL（清香型）、≤65kg/kL（浓/酱香型）；固态酒糟（末端处理前）≤5t/kL（清香型）、≤7t/kL（浓香型）、≤9t/kL（酱香型）。</w:t>
                  </w:r>
                </w:p>
              </w:tc>
              <w:tc>
                <w:tcPr>
                  <w:tcW w:w="2487" w:type="dxa"/>
                  <w:vAlign w:val="center"/>
                </w:tcPr>
                <w:p w14:paraId="0CDE766F">
                  <w:pPr>
                    <w:autoSpaceDE w:val="0"/>
                    <w:autoSpaceDN w:val="0"/>
                    <w:jc w:val="center"/>
                    <w:rPr>
                      <w:rFonts w:hint="default" w:eastAsia="宋体"/>
                      <w:lang w:val="en-US" w:eastAsia="zh-CN"/>
                    </w:rPr>
                  </w:pPr>
                  <w:r>
                    <w:rPr>
                      <w:rFonts w:hint="eastAsia"/>
                      <w:kern w:val="21"/>
                      <w:szCs w:val="21"/>
                      <w:lang w:val="en-US" w:eastAsia="zh-CN"/>
                    </w:rPr>
                    <w:t>本项目颗粒物排放量0.039t/a，二氧化硫0.069t/a，氮氧化物0.265t/a，</w:t>
                  </w:r>
                  <w:r>
                    <w:rPr>
                      <w:rFonts w:hint="eastAsia"/>
                      <w:kern w:val="21"/>
                      <w:szCs w:val="21"/>
                    </w:rPr>
                    <w:t>COD</w:t>
                  </w:r>
                  <w:r>
                    <w:rPr>
                      <w:rFonts w:hint="eastAsia"/>
                      <w:kern w:val="21"/>
                      <w:szCs w:val="21"/>
                      <w:lang w:val="en-US" w:eastAsia="zh-CN"/>
                    </w:rPr>
                    <w:t>0.011t/a，远小于新增源控制量</w:t>
                  </w:r>
                </w:p>
              </w:tc>
            </w:tr>
            <w:tr w14:paraId="28D6A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03B46C4B">
                  <w:pPr>
                    <w:autoSpaceDE w:val="0"/>
                    <w:autoSpaceDN w:val="0"/>
                    <w:jc w:val="center"/>
                    <w:rPr>
                      <w:kern w:val="21"/>
                      <w:szCs w:val="21"/>
                    </w:rPr>
                  </w:pPr>
                </w:p>
              </w:tc>
              <w:tc>
                <w:tcPr>
                  <w:tcW w:w="4590" w:type="dxa"/>
                  <w:vAlign w:val="center"/>
                </w:tcPr>
                <w:p w14:paraId="6CBDD3AD">
                  <w:pPr>
                    <w:autoSpaceDE w:val="0"/>
                    <w:autoSpaceDN w:val="0"/>
                    <w:rPr>
                      <w:rFonts w:hint="eastAsia"/>
                      <w:kern w:val="21"/>
                      <w:szCs w:val="21"/>
                    </w:rPr>
                  </w:pPr>
                  <w:r>
                    <w:rPr>
                      <w:rFonts w:hint="eastAsia"/>
                      <w:kern w:val="21"/>
                      <w:szCs w:val="21"/>
                    </w:rPr>
                    <w:t>现有源提标升级改造及新增源排放标准要求：</w:t>
                  </w:r>
                </w:p>
                <w:p w14:paraId="57B94903">
                  <w:pPr>
                    <w:autoSpaceDE w:val="0"/>
                    <w:autoSpaceDN w:val="0"/>
                    <w:rPr>
                      <w:rFonts w:hint="eastAsia"/>
                      <w:kern w:val="21"/>
                      <w:szCs w:val="21"/>
                    </w:rPr>
                  </w:pPr>
                  <w:r>
                    <w:rPr>
                      <w:rFonts w:hint="eastAsia"/>
                      <w:kern w:val="21"/>
                      <w:szCs w:val="21"/>
                    </w:rPr>
                    <w:t>①污染治理水平应满足排污许可证申请核发技术规范相关行业要求的可行技术；</w:t>
                  </w:r>
                </w:p>
                <w:p w14:paraId="5BD520C7">
                  <w:pPr>
                    <w:autoSpaceDE w:val="0"/>
                    <w:autoSpaceDN w:val="0"/>
                    <w:rPr>
                      <w:rFonts w:hint="eastAsia"/>
                      <w:kern w:val="21"/>
                      <w:szCs w:val="21"/>
                    </w:rPr>
                  </w:pPr>
                  <w:r>
                    <w:rPr>
                      <w:rFonts w:hint="eastAsia"/>
                      <w:kern w:val="21"/>
                      <w:szCs w:val="21"/>
                    </w:rPr>
                    <w:t>②严格执行区域大气污染物特别排放限值（无特别排放限值的除外），其中锅炉执行《锅炉大气污染物排放标准》（DB13/5161-2020），水泥制品行业执行《水泥工业大气污染物超低排放标准（DB13/2167-2020）》；工业炉窑废气执行河北省地方标准《工业炉窑大气污染物排放标准》（DB13/1640-2012）要求，涉VOCs排放工业企业污染物排行应达到河北省地方标准《工业企业挥发性有机物排放控制标准》（DB13/2322-2016）和《挥发性有机物无组织排放控制标准》（GB37822-2019）相关排放标准要求；</w:t>
                  </w:r>
                </w:p>
                <w:p w14:paraId="737B39C0">
                  <w:pPr>
                    <w:autoSpaceDE w:val="0"/>
                    <w:autoSpaceDN w:val="0"/>
                    <w:rPr>
                      <w:rFonts w:hint="eastAsia"/>
                      <w:kern w:val="21"/>
                      <w:szCs w:val="21"/>
                    </w:rPr>
                  </w:pPr>
                  <w:r>
                    <w:rPr>
                      <w:rFonts w:hint="eastAsia"/>
                      <w:kern w:val="21"/>
                      <w:szCs w:val="21"/>
                    </w:rPr>
                    <w:t>③开发区进一步提高对VOCS排放的管控，切实保障VOCS废气稳定达标排放；</w:t>
                  </w:r>
                </w:p>
                <w:p w14:paraId="38566EA7">
                  <w:pPr>
                    <w:autoSpaceDE w:val="0"/>
                    <w:autoSpaceDN w:val="0"/>
                    <w:jc w:val="center"/>
                    <w:rPr>
                      <w:rFonts w:hint="eastAsia"/>
                      <w:kern w:val="21"/>
                      <w:szCs w:val="21"/>
                    </w:rPr>
                  </w:pPr>
                  <w:r>
                    <w:rPr>
                      <w:rFonts w:hint="eastAsia"/>
                      <w:kern w:val="21"/>
                      <w:szCs w:val="21"/>
                    </w:rPr>
                    <w:t>④鼓励排污单位实施生产工艺提升改造、治理设施提标改造、清洁能源替代等重点减排工程</w:t>
                  </w:r>
                </w:p>
              </w:tc>
              <w:tc>
                <w:tcPr>
                  <w:tcW w:w="2487" w:type="dxa"/>
                  <w:vAlign w:val="center"/>
                </w:tcPr>
                <w:p w14:paraId="791AD5F2">
                  <w:pPr>
                    <w:autoSpaceDE w:val="0"/>
                    <w:autoSpaceDN w:val="0"/>
                    <w:jc w:val="center"/>
                    <w:rPr>
                      <w:rFonts w:hint="eastAsia" w:ascii="Times New Roman" w:hAnsi="Times New Roman" w:eastAsia="宋体" w:cs="Times New Roman"/>
                      <w:kern w:val="21"/>
                      <w:szCs w:val="21"/>
                      <w:lang w:val="en-US" w:eastAsia="zh-CN"/>
                    </w:rPr>
                  </w:pPr>
                  <w:r>
                    <w:rPr>
                      <w:rFonts w:hint="eastAsia" w:ascii="Times New Roman" w:hAnsi="Times New Roman" w:eastAsia="宋体" w:cs="Times New Roman"/>
                      <w:kern w:val="21"/>
                      <w:szCs w:val="21"/>
                      <w:lang w:val="en-US" w:eastAsia="zh-CN"/>
                    </w:rPr>
                    <w:t>①本企业已取得排污许可证；</w:t>
                  </w:r>
                </w:p>
                <w:p w14:paraId="748786C6">
                  <w:pPr>
                    <w:autoSpaceDE w:val="0"/>
                    <w:autoSpaceDN w:val="0"/>
                    <w:jc w:val="center"/>
                    <w:rPr>
                      <w:rFonts w:hint="eastAsia" w:ascii="Times New Roman" w:hAnsi="Times New Roman" w:eastAsia="宋体" w:cs="Times New Roman"/>
                      <w:kern w:val="21"/>
                      <w:szCs w:val="21"/>
                      <w:lang w:val="en-US" w:eastAsia="zh-CN"/>
                    </w:rPr>
                  </w:pPr>
                  <w:r>
                    <w:rPr>
                      <w:rFonts w:hint="eastAsia" w:ascii="Times New Roman" w:hAnsi="Times New Roman" w:eastAsia="宋体" w:cs="Times New Roman"/>
                      <w:kern w:val="21"/>
                      <w:szCs w:val="21"/>
                      <w:lang w:val="en-US" w:eastAsia="zh-CN"/>
                    </w:rPr>
                    <w:t>②本项目</w:t>
                  </w:r>
                  <w:r>
                    <w:rPr>
                      <w:rFonts w:hint="eastAsia" w:cs="Times New Roman"/>
                      <w:kern w:val="21"/>
                      <w:szCs w:val="21"/>
                      <w:lang w:val="en-US" w:eastAsia="zh-CN"/>
                    </w:rPr>
                    <w:t>锅炉废气</w:t>
                  </w:r>
                  <w:r>
                    <w:rPr>
                      <w:rFonts w:hint="eastAsia" w:ascii="Times New Roman" w:hAnsi="Times New Roman" w:eastAsia="宋体" w:cs="Times New Roman"/>
                      <w:kern w:val="21"/>
                      <w:szCs w:val="21"/>
                      <w:lang w:val="en-US" w:eastAsia="zh-CN"/>
                    </w:rPr>
                    <w:t>执行《锅炉大气污染物排放标准》（DB13/5161-2020）</w:t>
                  </w:r>
                </w:p>
                <w:p w14:paraId="62FEC215">
                  <w:pPr>
                    <w:autoSpaceDE w:val="0"/>
                    <w:autoSpaceDN w:val="0"/>
                    <w:jc w:val="center"/>
                    <w:rPr>
                      <w:rFonts w:hint="eastAsia" w:ascii="Times New Roman" w:hAnsi="Times New Roman" w:eastAsia="宋体" w:cs="Times New Roman"/>
                      <w:kern w:val="21"/>
                      <w:szCs w:val="21"/>
                      <w:lang w:val="en-US" w:eastAsia="zh-CN"/>
                    </w:rPr>
                  </w:pPr>
                  <w:r>
                    <w:rPr>
                      <w:rFonts w:hint="eastAsia" w:ascii="Times New Roman" w:hAnsi="Times New Roman" w:eastAsia="宋体" w:cs="Times New Roman"/>
                      <w:kern w:val="21"/>
                      <w:szCs w:val="21"/>
                      <w:lang w:val="en-US" w:eastAsia="zh-CN"/>
                    </w:rPr>
                    <w:t>③不涉及；</w:t>
                  </w:r>
                </w:p>
                <w:p w14:paraId="6460428A">
                  <w:pPr>
                    <w:autoSpaceDE w:val="0"/>
                    <w:autoSpaceDN w:val="0"/>
                    <w:jc w:val="center"/>
                    <w:rPr>
                      <w:rFonts w:hint="default"/>
                      <w:lang w:val="en-US" w:eastAsia="zh-CN"/>
                    </w:rPr>
                  </w:pPr>
                  <w:r>
                    <w:rPr>
                      <w:rFonts w:hint="eastAsia" w:ascii="Times New Roman" w:hAnsi="Times New Roman" w:eastAsia="宋体" w:cs="Times New Roman"/>
                      <w:kern w:val="21"/>
                      <w:szCs w:val="21"/>
                      <w:lang w:val="en-US" w:eastAsia="zh-CN"/>
                    </w:rPr>
                    <w:t>④不涉及。</w:t>
                  </w:r>
                </w:p>
              </w:tc>
            </w:tr>
            <w:tr w14:paraId="4A71F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0194FACE">
                  <w:pPr>
                    <w:autoSpaceDE w:val="0"/>
                    <w:autoSpaceDN w:val="0"/>
                    <w:jc w:val="center"/>
                    <w:rPr>
                      <w:kern w:val="21"/>
                      <w:szCs w:val="21"/>
                    </w:rPr>
                  </w:pPr>
                </w:p>
              </w:tc>
              <w:tc>
                <w:tcPr>
                  <w:tcW w:w="4590" w:type="dxa"/>
                  <w:vAlign w:val="center"/>
                </w:tcPr>
                <w:p w14:paraId="2D5D6934">
                  <w:pPr>
                    <w:autoSpaceDE w:val="0"/>
                    <w:autoSpaceDN w:val="0"/>
                    <w:jc w:val="center"/>
                    <w:rPr>
                      <w:rFonts w:hint="eastAsia"/>
                      <w:kern w:val="21"/>
                      <w:szCs w:val="21"/>
                    </w:rPr>
                  </w:pPr>
                  <w:r>
                    <w:rPr>
                      <w:rFonts w:hint="eastAsia"/>
                      <w:kern w:val="21"/>
                      <w:szCs w:val="21"/>
                    </w:rPr>
                    <w:t>开发区内各企业污水需通过自建污水处理设施处理满足行业相关要求后排入集中污水处理</w:t>
                  </w:r>
                </w:p>
              </w:tc>
              <w:tc>
                <w:tcPr>
                  <w:tcW w:w="2487" w:type="dxa"/>
                  <w:vAlign w:val="center"/>
                </w:tcPr>
                <w:p w14:paraId="761C8819">
                  <w:pPr>
                    <w:autoSpaceDE w:val="0"/>
                    <w:autoSpaceDN w:val="0"/>
                    <w:jc w:val="center"/>
                    <w:rPr>
                      <w:rFonts w:hint="default" w:eastAsia="宋体"/>
                      <w:kern w:val="21"/>
                      <w:szCs w:val="21"/>
                      <w:lang w:val="en-US" w:eastAsia="zh-CN"/>
                    </w:rPr>
                  </w:pPr>
                  <w:r>
                    <w:rPr>
                      <w:rFonts w:hint="eastAsia"/>
                      <w:kern w:val="21"/>
                      <w:szCs w:val="21"/>
                      <w:lang w:val="en-US" w:eastAsia="zh-CN"/>
                    </w:rPr>
                    <w:t>本项目废水经自建污水处理站处理后满足《城镇污水处理厂污染物排放标准》（GB18918-2002）表1中一级A标准排入蚁蚂吐河</w:t>
                  </w:r>
                </w:p>
              </w:tc>
            </w:tr>
            <w:tr w14:paraId="304FE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8" w:type="dxa"/>
                  <w:vMerge w:val="continue"/>
                  <w:vAlign w:val="center"/>
                </w:tcPr>
                <w:p w14:paraId="1C1C8F3B">
                  <w:pPr>
                    <w:autoSpaceDE w:val="0"/>
                    <w:autoSpaceDN w:val="0"/>
                    <w:jc w:val="center"/>
                    <w:rPr>
                      <w:kern w:val="21"/>
                      <w:szCs w:val="21"/>
                      <w:highlight w:val="green"/>
                    </w:rPr>
                  </w:pPr>
                </w:p>
              </w:tc>
              <w:tc>
                <w:tcPr>
                  <w:tcW w:w="4590" w:type="dxa"/>
                  <w:vAlign w:val="center"/>
                </w:tcPr>
                <w:p w14:paraId="0A928AC5">
                  <w:pPr>
                    <w:autoSpaceDE w:val="0"/>
                    <w:autoSpaceDN w:val="0"/>
                    <w:rPr>
                      <w:kern w:val="21"/>
                      <w:szCs w:val="21"/>
                    </w:rPr>
                  </w:pPr>
                  <w:r>
                    <w:rPr>
                      <w:rFonts w:hint="eastAsia"/>
                      <w:kern w:val="21"/>
                      <w:szCs w:val="21"/>
                    </w:rPr>
                    <w:t>涉及含重金属生产废水企业应在车间配套建设废水处理措施，确保车间排放口一类污染物达标</w:t>
                  </w:r>
                </w:p>
              </w:tc>
              <w:tc>
                <w:tcPr>
                  <w:tcW w:w="2487" w:type="dxa"/>
                  <w:vAlign w:val="center"/>
                </w:tcPr>
                <w:p w14:paraId="32E257D2">
                  <w:pPr>
                    <w:autoSpaceDE w:val="0"/>
                    <w:autoSpaceDN w:val="0"/>
                    <w:jc w:val="center"/>
                    <w:rPr>
                      <w:kern w:val="21"/>
                      <w:szCs w:val="21"/>
                    </w:rPr>
                  </w:pPr>
                  <w:r>
                    <w:rPr>
                      <w:rFonts w:hint="eastAsia"/>
                      <w:kern w:val="21"/>
                      <w:szCs w:val="21"/>
                    </w:rPr>
                    <w:t>项目行业不</w:t>
                  </w:r>
                  <w:r>
                    <w:rPr>
                      <w:kern w:val="21"/>
                      <w:szCs w:val="21"/>
                    </w:rPr>
                    <w:t>属于重</w:t>
                  </w:r>
                  <w:r>
                    <w:rPr>
                      <w:rFonts w:hint="eastAsia"/>
                      <w:kern w:val="21"/>
                      <w:szCs w:val="21"/>
                      <w:lang w:val="en-US" w:eastAsia="zh-CN"/>
                    </w:rPr>
                    <w:t>金属行业</w:t>
                  </w:r>
                  <w:r>
                    <w:rPr>
                      <w:kern w:val="21"/>
                      <w:szCs w:val="21"/>
                    </w:rPr>
                    <w:t>。</w:t>
                  </w:r>
                </w:p>
              </w:tc>
            </w:tr>
            <w:tr w14:paraId="37131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restart"/>
                  <w:vAlign w:val="center"/>
                </w:tcPr>
                <w:p w14:paraId="05265E37">
                  <w:pPr>
                    <w:autoSpaceDE w:val="0"/>
                    <w:autoSpaceDN w:val="0"/>
                    <w:jc w:val="center"/>
                    <w:rPr>
                      <w:kern w:val="21"/>
                      <w:szCs w:val="21"/>
                    </w:rPr>
                  </w:pPr>
                  <w:r>
                    <w:rPr>
                      <w:kern w:val="21"/>
                      <w:szCs w:val="21"/>
                    </w:rPr>
                    <w:t>环境风险防控</w:t>
                  </w:r>
                </w:p>
              </w:tc>
              <w:tc>
                <w:tcPr>
                  <w:tcW w:w="4590" w:type="dxa"/>
                  <w:vAlign w:val="center"/>
                </w:tcPr>
                <w:p w14:paraId="2BF92219">
                  <w:pPr>
                    <w:autoSpaceDE w:val="0"/>
                    <w:autoSpaceDN w:val="0"/>
                    <w:jc w:val="center"/>
                    <w:rPr>
                      <w:kern w:val="21"/>
                      <w:szCs w:val="21"/>
                    </w:rPr>
                  </w:pPr>
                  <w:r>
                    <w:rPr>
                      <w:rFonts w:hint="eastAsia"/>
                      <w:kern w:val="21"/>
                      <w:szCs w:val="21"/>
                    </w:rPr>
                    <w:t>涉及有毒有害、易燃易爆物质的新建、改扩建项目，严控准入要求，设置危险品泄漏自动报警系统。入区项目应做好应急预案的制定、备案、修订等工作，严格落实各项环境风险防范措施和污染应急预案，加强风险事故情况下的环境污染防范措施和应急处置，并定期进行演练</w:t>
                  </w:r>
                  <w:r>
                    <w:rPr>
                      <w:kern w:val="21"/>
                      <w:szCs w:val="21"/>
                    </w:rPr>
                    <w:t>。</w:t>
                  </w:r>
                </w:p>
              </w:tc>
              <w:tc>
                <w:tcPr>
                  <w:tcW w:w="2487" w:type="dxa"/>
                  <w:vAlign w:val="center"/>
                </w:tcPr>
                <w:p w14:paraId="0F9DE2D1">
                  <w:pPr>
                    <w:autoSpaceDE w:val="0"/>
                    <w:autoSpaceDN w:val="0"/>
                    <w:jc w:val="center"/>
                    <w:rPr>
                      <w:kern w:val="21"/>
                      <w:szCs w:val="21"/>
                    </w:rPr>
                  </w:pPr>
                  <w:r>
                    <w:rPr>
                      <w:rFonts w:hint="eastAsia"/>
                      <w:kern w:val="21"/>
                      <w:szCs w:val="21"/>
                      <w:highlight w:val="none"/>
                    </w:rPr>
                    <w:t>项目企业</w:t>
                  </w:r>
                  <w:r>
                    <w:rPr>
                      <w:rFonts w:hint="eastAsia"/>
                      <w:kern w:val="21"/>
                      <w:szCs w:val="21"/>
                      <w:highlight w:val="none"/>
                      <w:lang w:val="en-US" w:eastAsia="zh-CN"/>
                    </w:rPr>
                    <w:t>已</w:t>
                  </w:r>
                  <w:r>
                    <w:rPr>
                      <w:kern w:val="21"/>
                      <w:szCs w:val="21"/>
                      <w:highlight w:val="none"/>
                    </w:rPr>
                    <w:t>编制《环境风险应急预案》，</w:t>
                  </w:r>
                  <w:r>
                    <w:rPr>
                      <w:rFonts w:hint="eastAsia"/>
                      <w:kern w:val="21"/>
                      <w:szCs w:val="21"/>
                      <w:highlight w:val="none"/>
                      <w:lang w:val="en-US" w:eastAsia="zh-CN"/>
                    </w:rPr>
                    <w:t>并取得备案，</w:t>
                  </w:r>
                  <w:r>
                    <w:rPr>
                      <w:kern w:val="21"/>
                      <w:szCs w:val="21"/>
                      <w:highlight w:val="none"/>
                    </w:rPr>
                    <w:t>成立应急组织机构，定期开展应急演练</w:t>
                  </w:r>
                  <w:r>
                    <w:rPr>
                      <w:kern w:val="21"/>
                      <w:szCs w:val="21"/>
                    </w:rPr>
                    <w:t>。</w:t>
                  </w:r>
                </w:p>
              </w:tc>
            </w:tr>
            <w:tr w14:paraId="59EBC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1083E42B">
                  <w:pPr>
                    <w:autoSpaceDE w:val="0"/>
                    <w:autoSpaceDN w:val="0"/>
                    <w:jc w:val="center"/>
                    <w:rPr>
                      <w:kern w:val="21"/>
                      <w:szCs w:val="21"/>
                    </w:rPr>
                  </w:pPr>
                </w:p>
              </w:tc>
              <w:tc>
                <w:tcPr>
                  <w:tcW w:w="4590" w:type="dxa"/>
                  <w:vAlign w:val="center"/>
                </w:tcPr>
                <w:p w14:paraId="15C802A4">
                  <w:pPr>
                    <w:autoSpaceDE w:val="0"/>
                    <w:autoSpaceDN w:val="0"/>
                    <w:jc w:val="center"/>
                    <w:rPr>
                      <w:rFonts w:hint="eastAsia"/>
                      <w:kern w:val="21"/>
                      <w:szCs w:val="21"/>
                    </w:rPr>
                  </w:pPr>
                  <w:r>
                    <w:rPr>
                      <w:rFonts w:hint="eastAsia"/>
                      <w:kern w:val="21"/>
                      <w:szCs w:val="21"/>
                    </w:rPr>
                    <w:t>合理布置产生有害因素的生产单元，入区项目选址需满足环境风险预测有毒有害物质毒性浓度1范围内无敏感点</w:t>
                  </w:r>
                </w:p>
              </w:tc>
              <w:tc>
                <w:tcPr>
                  <w:tcW w:w="2487" w:type="dxa"/>
                  <w:vAlign w:val="center"/>
                </w:tcPr>
                <w:p w14:paraId="0D68C643">
                  <w:pPr>
                    <w:autoSpaceDE w:val="0"/>
                    <w:autoSpaceDN w:val="0"/>
                    <w:jc w:val="center"/>
                    <w:rPr>
                      <w:rFonts w:hint="eastAsia" w:eastAsia="宋体"/>
                      <w:kern w:val="21"/>
                      <w:szCs w:val="21"/>
                      <w:lang w:val="en-US" w:eastAsia="zh-CN"/>
                    </w:rPr>
                  </w:pPr>
                  <w:r>
                    <w:rPr>
                      <w:rFonts w:hint="eastAsia"/>
                      <w:kern w:val="21"/>
                      <w:szCs w:val="21"/>
                      <w:lang w:val="en-US" w:eastAsia="zh-CN"/>
                    </w:rPr>
                    <w:t>不涉及</w:t>
                  </w:r>
                </w:p>
              </w:tc>
            </w:tr>
            <w:tr w14:paraId="17271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5DE3A222">
                  <w:pPr>
                    <w:autoSpaceDE w:val="0"/>
                    <w:autoSpaceDN w:val="0"/>
                    <w:jc w:val="center"/>
                    <w:rPr>
                      <w:kern w:val="21"/>
                      <w:szCs w:val="21"/>
                    </w:rPr>
                  </w:pPr>
                </w:p>
              </w:tc>
              <w:tc>
                <w:tcPr>
                  <w:tcW w:w="4590" w:type="dxa"/>
                  <w:vAlign w:val="center"/>
                </w:tcPr>
                <w:p w14:paraId="31F701F0">
                  <w:pPr>
                    <w:autoSpaceDE w:val="0"/>
                    <w:autoSpaceDN w:val="0"/>
                    <w:jc w:val="center"/>
                    <w:rPr>
                      <w:rFonts w:hint="eastAsia"/>
                      <w:kern w:val="21"/>
                      <w:szCs w:val="21"/>
                    </w:rPr>
                  </w:pPr>
                  <w:r>
                    <w:rPr>
                      <w:rFonts w:hint="eastAsia"/>
                      <w:kern w:val="21"/>
                      <w:szCs w:val="21"/>
                    </w:rPr>
                    <w:t>严格落实建设项目环评及其批复、规划环评及其批复文件要求的环境风险防范措施</w:t>
                  </w:r>
                </w:p>
              </w:tc>
              <w:tc>
                <w:tcPr>
                  <w:tcW w:w="2487" w:type="dxa"/>
                  <w:vAlign w:val="center"/>
                </w:tcPr>
                <w:p w14:paraId="07FDC571">
                  <w:pPr>
                    <w:autoSpaceDE w:val="0"/>
                    <w:autoSpaceDN w:val="0"/>
                    <w:jc w:val="center"/>
                    <w:rPr>
                      <w:rFonts w:hint="default" w:eastAsia="宋体"/>
                      <w:kern w:val="21"/>
                      <w:szCs w:val="21"/>
                      <w:lang w:val="en-US" w:eastAsia="zh-CN"/>
                    </w:rPr>
                  </w:pPr>
                  <w:r>
                    <w:rPr>
                      <w:rFonts w:hint="eastAsia"/>
                      <w:kern w:val="21"/>
                      <w:szCs w:val="21"/>
                      <w:lang w:val="en-US" w:eastAsia="zh-CN"/>
                    </w:rPr>
                    <w:t>本项目运营期将严格落实</w:t>
                  </w:r>
                  <w:r>
                    <w:rPr>
                      <w:rFonts w:hint="eastAsia"/>
                      <w:kern w:val="21"/>
                      <w:szCs w:val="21"/>
                    </w:rPr>
                    <w:t>环评及其批复</w:t>
                  </w:r>
                  <w:r>
                    <w:rPr>
                      <w:rFonts w:hint="eastAsia"/>
                      <w:kern w:val="21"/>
                      <w:szCs w:val="21"/>
                      <w:lang w:eastAsia="zh-CN"/>
                    </w:rPr>
                    <w:t>、</w:t>
                  </w:r>
                  <w:r>
                    <w:rPr>
                      <w:rFonts w:hint="eastAsia"/>
                      <w:kern w:val="21"/>
                      <w:szCs w:val="21"/>
                      <w:lang w:val="en-US" w:eastAsia="zh-CN"/>
                    </w:rPr>
                    <w:t>规划环评及其批复文件要求的环境风险防范措施</w:t>
                  </w:r>
                </w:p>
              </w:tc>
            </w:tr>
            <w:tr w14:paraId="20A14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4603E6C0">
                  <w:pPr>
                    <w:autoSpaceDE w:val="0"/>
                    <w:autoSpaceDN w:val="0"/>
                    <w:jc w:val="center"/>
                    <w:rPr>
                      <w:kern w:val="21"/>
                      <w:szCs w:val="21"/>
                    </w:rPr>
                  </w:pPr>
                </w:p>
              </w:tc>
              <w:tc>
                <w:tcPr>
                  <w:tcW w:w="4590" w:type="dxa"/>
                  <w:vAlign w:val="center"/>
                </w:tcPr>
                <w:p w14:paraId="557BBDC9">
                  <w:pPr>
                    <w:autoSpaceDE w:val="0"/>
                    <w:autoSpaceDN w:val="0"/>
                    <w:jc w:val="center"/>
                    <w:rPr>
                      <w:rFonts w:hint="eastAsia"/>
                      <w:kern w:val="21"/>
                      <w:szCs w:val="21"/>
                    </w:rPr>
                  </w:pPr>
                  <w:r>
                    <w:rPr>
                      <w:rFonts w:hint="eastAsia"/>
                      <w:kern w:val="21"/>
                      <w:szCs w:val="21"/>
                    </w:rPr>
                    <w:t>产生危险废物的单位应当按照国家有关规定制定危险废物管理计划，建立危险废物管理台账，如实记录危险废物的种类、产生量、流向、贮存、处置等信息，危险废物的种类、产生量、流向、贮存、利用、处置等有关信息应当通过固体废物管理信息系统进行申报，确保实现闭环管理，鼓励采用电子地磅、视频监控、电子标签等集成智能监控手段，推动实现危险废物全过程监控和信息化追溯，做到全过程监管</w:t>
                  </w:r>
                </w:p>
              </w:tc>
              <w:tc>
                <w:tcPr>
                  <w:tcW w:w="2487" w:type="dxa"/>
                  <w:vAlign w:val="center"/>
                </w:tcPr>
                <w:p w14:paraId="3BC56BFD">
                  <w:pPr>
                    <w:autoSpaceDE w:val="0"/>
                    <w:autoSpaceDN w:val="0"/>
                    <w:jc w:val="center"/>
                    <w:rPr>
                      <w:rFonts w:hint="default" w:eastAsia="宋体"/>
                      <w:kern w:val="21"/>
                      <w:szCs w:val="21"/>
                      <w:lang w:val="en-US" w:eastAsia="zh-CN"/>
                    </w:rPr>
                  </w:pPr>
                  <w:r>
                    <w:rPr>
                      <w:rFonts w:hint="eastAsia"/>
                      <w:kern w:val="21"/>
                      <w:szCs w:val="21"/>
                      <w:lang w:val="en-US" w:eastAsia="zh-CN"/>
                    </w:rPr>
                    <w:t>本项目危险废物临时贮存于危废间内，</w:t>
                  </w:r>
                  <w:r>
                    <w:rPr>
                      <w:rFonts w:hint="eastAsia"/>
                      <w:szCs w:val="21"/>
                      <w:lang w:val="en-US" w:eastAsia="zh-CN"/>
                    </w:rPr>
                    <w:t>定期交由承德双然环保科技有限公司运输处置；并建立危废管理台账和危废管理计划</w:t>
                  </w:r>
                </w:p>
              </w:tc>
            </w:tr>
            <w:tr w14:paraId="512BA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03F3AE62">
                  <w:pPr>
                    <w:autoSpaceDE w:val="0"/>
                    <w:autoSpaceDN w:val="0"/>
                    <w:jc w:val="center"/>
                    <w:rPr>
                      <w:kern w:val="21"/>
                      <w:szCs w:val="21"/>
                    </w:rPr>
                  </w:pPr>
                </w:p>
              </w:tc>
              <w:tc>
                <w:tcPr>
                  <w:tcW w:w="4590" w:type="dxa"/>
                  <w:vAlign w:val="center"/>
                </w:tcPr>
                <w:p w14:paraId="2308286B">
                  <w:pPr>
                    <w:autoSpaceDE w:val="0"/>
                    <w:autoSpaceDN w:val="0"/>
                    <w:jc w:val="center"/>
                    <w:rPr>
                      <w:rFonts w:hint="eastAsia"/>
                      <w:kern w:val="21"/>
                      <w:szCs w:val="21"/>
                    </w:rPr>
                  </w:pPr>
                  <w:r>
                    <w:rPr>
                      <w:rFonts w:hint="eastAsia"/>
                      <w:kern w:val="21"/>
                      <w:szCs w:val="21"/>
                    </w:rPr>
                    <w:t>各企业做好分区防渗，强化土壤及地下水环境监管</w:t>
                  </w:r>
                </w:p>
              </w:tc>
              <w:tc>
                <w:tcPr>
                  <w:tcW w:w="2487" w:type="dxa"/>
                  <w:vAlign w:val="center"/>
                </w:tcPr>
                <w:p w14:paraId="588F835B">
                  <w:pPr>
                    <w:autoSpaceDE w:val="0"/>
                    <w:autoSpaceDN w:val="0"/>
                    <w:jc w:val="center"/>
                    <w:rPr>
                      <w:rFonts w:hint="default" w:eastAsia="宋体"/>
                      <w:kern w:val="21"/>
                      <w:szCs w:val="21"/>
                      <w:lang w:val="en-US" w:eastAsia="zh-CN"/>
                    </w:rPr>
                  </w:pPr>
                  <w:r>
                    <w:rPr>
                      <w:rFonts w:hint="eastAsia"/>
                      <w:kern w:val="21"/>
                      <w:szCs w:val="21"/>
                      <w:lang w:val="en-US" w:eastAsia="zh-CN"/>
                    </w:rPr>
                    <w:t>本项目不涉及土壤及地下水污染途径</w:t>
                  </w:r>
                </w:p>
              </w:tc>
            </w:tr>
            <w:tr w14:paraId="0F973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868" w:type="dxa"/>
                  <w:vMerge w:val="continue"/>
                  <w:vAlign w:val="center"/>
                </w:tcPr>
                <w:p w14:paraId="31A1EF01">
                  <w:pPr>
                    <w:autoSpaceDE w:val="0"/>
                    <w:autoSpaceDN w:val="0"/>
                    <w:jc w:val="center"/>
                    <w:rPr>
                      <w:kern w:val="21"/>
                      <w:szCs w:val="21"/>
                    </w:rPr>
                  </w:pPr>
                </w:p>
              </w:tc>
              <w:tc>
                <w:tcPr>
                  <w:tcW w:w="4590" w:type="dxa"/>
                  <w:vAlign w:val="center"/>
                </w:tcPr>
                <w:p w14:paraId="30BCDC87">
                  <w:pPr>
                    <w:autoSpaceDE w:val="0"/>
                    <w:autoSpaceDN w:val="0"/>
                    <w:jc w:val="center"/>
                    <w:rPr>
                      <w:rFonts w:hint="eastAsia"/>
                      <w:kern w:val="21"/>
                      <w:szCs w:val="21"/>
                    </w:rPr>
                  </w:pPr>
                  <w:r>
                    <w:rPr>
                      <w:rFonts w:hint="eastAsia"/>
                      <w:kern w:val="21"/>
                      <w:szCs w:val="21"/>
                    </w:rPr>
                    <w:t>严格落实规划环评及其批复文件制定的环境风险防范措施</w:t>
                  </w:r>
                </w:p>
              </w:tc>
              <w:tc>
                <w:tcPr>
                  <w:tcW w:w="2487" w:type="dxa"/>
                  <w:vAlign w:val="center"/>
                </w:tcPr>
                <w:p w14:paraId="1969A87C">
                  <w:pPr>
                    <w:autoSpaceDE w:val="0"/>
                    <w:autoSpaceDN w:val="0"/>
                    <w:jc w:val="center"/>
                    <w:rPr>
                      <w:rFonts w:hint="default"/>
                      <w:kern w:val="21"/>
                      <w:szCs w:val="21"/>
                      <w:lang w:val="en-US"/>
                    </w:rPr>
                  </w:pPr>
                  <w:r>
                    <w:rPr>
                      <w:rFonts w:hint="eastAsia"/>
                      <w:kern w:val="21"/>
                      <w:szCs w:val="21"/>
                      <w:lang w:val="en-US" w:eastAsia="zh-CN"/>
                    </w:rPr>
                    <w:t>本项目严格落实</w:t>
                  </w:r>
                  <w:r>
                    <w:rPr>
                      <w:rFonts w:hint="eastAsia"/>
                      <w:kern w:val="21"/>
                      <w:szCs w:val="21"/>
                    </w:rPr>
                    <w:t>规划环评及其批复文件制定的环境风险防范措施</w:t>
                  </w:r>
                </w:p>
              </w:tc>
            </w:tr>
            <w:tr w14:paraId="0B83D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6F4EF425">
                  <w:pPr>
                    <w:autoSpaceDE w:val="0"/>
                    <w:autoSpaceDN w:val="0"/>
                    <w:jc w:val="center"/>
                    <w:rPr>
                      <w:kern w:val="21"/>
                      <w:szCs w:val="21"/>
                    </w:rPr>
                  </w:pPr>
                </w:p>
              </w:tc>
              <w:tc>
                <w:tcPr>
                  <w:tcW w:w="4590" w:type="dxa"/>
                  <w:vAlign w:val="center"/>
                </w:tcPr>
                <w:p w14:paraId="0D77FE9E">
                  <w:pPr>
                    <w:autoSpaceDE w:val="0"/>
                    <w:autoSpaceDN w:val="0"/>
                    <w:jc w:val="center"/>
                    <w:rPr>
                      <w:kern w:val="21"/>
                      <w:szCs w:val="21"/>
                    </w:rPr>
                  </w:pPr>
                  <w:r>
                    <w:rPr>
                      <w:rFonts w:hint="eastAsia"/>
                      <w:kern w:val="21"/>
                      <w:szCs w:val="21"/>
                    </w:rPr>
                    <w:t>限制建设排放《有毒有害水污染物名录》、《有毒有害气体大气污染物名录》中所列有毒有害污染物的项目。限制建设《环境保护综合名录》中“高污染、高环境风险”产品与工艺装备</w:t>
                  </w:r>
                  <w:r>
                    <w:rPr>
                      <w:kern w:val="21"/>
                      <w:szCs w:val="21"/>
                    </w:rPr>
                    <w:t>。</w:t>
                  </w:r>
                </w:p>
              </w:tc>
              <w:tc>
                <w:tcPr>
                  <w:tcW w:w="2487" w:type="dxa"/>
                  <w:vAlign w:val="center"/>
                </w:tcPr>
                <w:p w14:paraId="4F6FB51C">
                  <w:pPr>
                    <w:autoSpaceDE w:val="0"/>
                    <w:autoSpaceDN w:val="0"/>
                    <w:jc w:val="center"/>
                    <w:rPr>
                      <w:rFonts w:hint="default" w:eastAsia="宋体"/>
                      <w:kern w:val="21"/>
                      <w:szCs w:val="21"/>
                      <w:lang w:val="en-US" w:eastAsia="zh-CN"/>
                    </w:rPr>
                  </w:pPr>
                  <w:r>
                    <w:rPr>
                      <w:rFonts w:hint="eastAsia"/>
                      <w:kern w:val="21"/>
                      <w:szCs w:val="21"/>
                      <w:lang w:val="en-US" w:eastAsia="zh-CN"/>
                    </w:rPr>
                    <w:t>不涉及</w:t>
                  </w:r>
                </w:p>
              </w:tc>
            </w:tr>
            <w:tr w14:paraId="6E6B9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restart"/>
                  <w:vAlign w:val="center"/>
                </w:tcPr>
                <w:p w14:paraId="5C1489F9">
                  <w:pPr>
                    <w:autoSpaceDE w:val="0"/>
                    <w:autoSpaceDN w:val="0"/>
                    <w:jc w:val="center"/>
                    <w:rPr>
                      <w:kern w:val="21"/>
                      <w:szCs w:val="21"/>
                    </w:rPr>
                  </w:pPr>
                  <w:r>
                    <w:rPr>
                      <w:kern w:val="21"/>
                      <w:szCs w:val="21"/>
                    </w:rPr>
                    <w:t>资源开发利用要求</w:t>
                  </w:r>
                </w:p>
              </w:tc>
              <w:tc>
                <w:tcPr>
                  <w:tcW w:w="4590" w:type="dxa"/>
                  <w:vAlign w:val="center"/>
                </w:tcPr>
                <w:p w14:paraId="1AFE0481">
                  <w:pPr>
                    <w:autoSpaceDE w:val="0"/>
                    <w:autoSpaceDN w:val="0"/>
                    <w:jc w:val="center"/>
                    <w:rPr>
                      <w:kern w:val="21"/>
                      <w:szCs w:val="21"/>
                    </w:rPr>
                  </w:pPr>
                  <w:r>
                    <w:rPr>
                      <w:rFonts w:hint="eastAsia"/>
                      <w:kern w:val="21"/>
                      <w:szCs w:val="21"/>
                    </w:rPr>
                    <w:t>规划入区项目采用资源利用率高、污染物产生量小的清洁生产技术、工艺和设备，单位产品物耗、能耗、水耗、资源综合利用和污染物排放量等指标达到清洁生产先进水平</w:t>
                  </w:r>
                  <w:r>
                    <w:rPr>
                      <w:kern w:val="21"/>
                      <w:szCs w:val="21"/>
                    </w:rPr>
                    <w:t>。</w:t>
                  </w:r>
                </w:p>
              </w:tc>
              <w:tc>
                <w:tcPr>
                  <w:tcW w:w="2487" w:type="dxa"/>
                  <w:vAlign w:val="center"/>
                </w:tcPr>
                <w:p w14:paraId="1DFF83AF">
                  <w:pPr>
                    <w:autoSpaceDE w:val="0"/>
                    <w:autoSpaceDN w:val="0"/>
                    <w:jc w:val="center"/>
                    <w:rPr>
                      <w:rFonts w:hint="default" w:eastAsia="宋体"/>
                      <w:kern w:val="21"/>
                      <w:szCs w:val="21"/>
                      <w:lang w:val="en-US" w:eastAsia="zh-CN"/>
                    </w:rPr>
                  </w:pPr>
                  <w:r>
                    <w:rPr>
                      <w:rFonts w:hint="eastAsia"/>
                      <w:kern w:val="21"/>
                      <w:szCs w:val="21"/>
                      <w:lang w:val="en-US" w:eastAsia="zh-CN"/>
                    </w:rPr>
                    <w:t>无本行业清洁生产指标</w:t>
                  </w:r>
                </w:p>
              </w:tc>
            </w:tr>
            <w:tr w14:paraId="2FCB7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2CB8F012">
                  <w:pPr>
                    <w:autoSpaceDE w:val="0"/>
                    <w:autoSpaceDN w:val="0"/>
                    <w:jc w:val="center"/>
                    <w:rPr>
                      <w:kern w:val="21"/>
                      <w:szCs w:val="21"/>
                    </w:rPr>
                  </w:pPr>
                </w:p>
              </w:tc>
              <w:tc>
                <w:tcPr>
                  <w:tcW w:w="4590" w:type="dxa"/>
                  <w:vAlign w:val="center"/>
                </w:tcPr>
                <w:p w14:paraId="0862EB50">
                  <w:pPr>
                    <w:autoSpaceDE w:val="0"/>
                    <w:autoSpaceDN w:val="0"/>
                    <w:jc w:val="center"/>
                    <w:rPr>
                      <w:kern w:val="21"/>
                      <w:szCs w:val="21"/>
                    </w:rPr>
                  </w:pPr>
                  <w:r>
                    <w:rPr>
                      <w:rFonts w:hint="eastAsia"/>
                      <w:kern w:val="21"/>
                      <w:szCs w:val="21"/>
                    </w:rPr>
                    <w:t>开发区土地资源上线（工业用地282.33hm</w:t>
                  </w:r>
                  <w:r>
                    <w:rPr>
                      <w:rFonts w:hint="eastAsia"/>
                      <w:kern w:val="21"/>
                      <w:szCs w:val="21"/>
                      <w:vertAlign w:val="superscript"/>
                    </w:rPr>
                    <w:t>2</w:t>
                  </w:r>
                  <w:r>
                    <w:rPr>
                      <w:rFonts w:hint="eastAsia"/>
                      <w:kern w:val="21"/>
                      <w:szCs w:val="21"/>
                    </w:rPr>
                    <w:t>）、地下水资源上线（374.063万m</w:t>
                  </w:r>
                  <w:r>
                    <w:rPr>
                      <w:rFonts w:hint="eastAsia"/>
                      <w:kern w:val="21"/>
                      <w:szCs w:val="21"/>
                      <w:vertAlign w:val="superscript"/>
                    </w:rPr>
                    <w:t>3</w:t>
                  </w:r>
                  <w:r>
                    <w:rPr>
                      <w:rFonts w:hint="eastAsia"/>
                      <w:kern w:val="21"/>
                      <w:szCs w:val="21"/>
                    </w:rPr>
                    <w:t>/a）、能源利用上线（综合能耗10.8737万tec）</w:t>
                  </w:r>
                </w:p>
              </w:tc>
              <w:tc>
                <w:tcPr>
                  <w:tcW w:w="2487" w:type="dxa"/>
                  <w:vAlign w:val="center"/>
                </w:tcPr>
                <w:p w14:paraId="041B1C38">
                  <w:pPr>
                    <w:autoSpaceDE w:val="0"/>
                    <w:autoSpaceDN w:val="0"/>
                    <w:jc w:val="center"/>
                    <w:rPr>
                      <w:kern w:val="21"/>
                      <w:szCs w:val="21"/>
                    </w:rPr>
                  </w:pPr>
                  <w:r>
                    <w:rPr>
                      <w:rFonts w:hint="eastAsia"/>
                      <w:kern w:val="21"/>
                      <w:szCs w:val="21"/>
                      <w:lang w:val="en-US" w:eastAsia="zh-CN"/>
                    </w:rPr>
                    <w:t>本项目不新增占地，利用现有占地进行建设</w:t>
                  </w:r>
                </w:p>
              </w:tc>
            </w:tr>
            <w:tr w14:paraId="1F300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6749B8E6">
                  <w:pPr>
                    <w:autoSpaceDE w:val="0"/>
                    <w:autoSpaceDN w:val="0"/>
                    <w:jc w:val="center"/>
                    <w:rPr>
                      <w:kern w:val="21"/>
                      <w:szCs w:val="21"/>
                    </w:rPr>
                  </w:pPr>
                </w:p>
              </w:tc>
              <w:tc>
                <w:tcPr>
                  <w:tcW w:w="4590" w:type="dxa"/>
                  <w:vAlign w:val="center"/>
                </w:tcPr>
                <w:p w14:paraId="15E9866A">
                  <w:pPr>
                    <w:autoSpaceDE w:val="0"/>
                    <w:autoSpaceDN w:val="0"/>
                    <w:jc w:val="center"/>
                    <w:rPr>
                      <w:kern w:val="21"/>
                      <w:szCs w:val="21"/>
                    </w:rPr>
                  </w:pPr>
                  <w:r>
                    <w:rPr>
                      <w:rFonts w:hint="eastAsia"/>
                      <w:kern w:val="21"/>
                      <w:szCs w:val="21"/>
                    </w:rPr>
                    <w:t>新建耗煤项目应严格执行煤炭减量替代；在建耗煤项目年煤炭消耗量应满足河北省发展和改革委员会节能中心下达的要求</w:t>
                  </w:r>
                </w:p>
              </w:tc>
              <w:tc>
                <w:tcPr>
                  <w:tcW w:w="2487" w:type="dxa"/>
                  <w:vAlign w:val="center"/>
                </w:tcPr>
                <w:p w14:paraId="7A6FC526">
                  <w:pPr>
                    <w:autoSpaceDE w:val="0"/>
                    <w:autoSpaceDN w:val="0"/>
                    <w:jc w:val="center"/>
                    <w:rPr>
                      <w:rFonts w:hint="default" w:eastAsia="宋体"/>
                      <w:kern w:val="21"/>
                      <w:szCs w:val="21"/>
                      <w:lang w:val="en-US" w:eastAsia="zh-CN"/>
                    </w:rPr>
                  </w:pPr>
                  <w:r>
                    <w:rPr>
                      <w:rFonts w:hint="eastAsia"/>
                      <w:kern w:val="21"/>
                      <w:szCs w:val="21"/>
                      <w:lang w:val="en-US" w:eastAsia="zh-CN"/>
                    </w:rPr>
                    <w:t>不涉及</w:t>
                  </w:r>
                </w:p>
              </w:tc>
            </w:tr>
            <w:tr w14:paraId="27E95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2ACE964A">
                  <w:pPr>
                    <w:autoSpaceDE w:val="0"/>
                    <w:autoSpaceDN w:val="0"/>
                    <w:jc w:val="center"/>
                    <w:rPr>
                      <w:kern w:val="21"/>
                      <w:szCs w:val="21"/>
                    </w:rPr>
                  </w:pPr>
                </w:p>
              </w:tc>
              <w:tc>
                <w:tcPr>
                  <w:tcW w:w="4590" w:type="dxa"/>
                  <w:vAlign w:val="center"/>
                </w:tcPr>
                <w:p w14:paraId="49895155">
                  <w:pPr>
                    <w:autoSpaceDE w:val="0"/>
                    <w:autoSpaceDN w:val="0"/>
                    <w:jc w:val="center"/>
                    <w:rPr>
                      <w:kern w:val="21"/>
                      <w:szCs w:val="21"/>
                    </w:rPr>
                  </w:pPr>
                  <w:r>
                    <w:rPr>
                      <w:rFonts w:hint="eastAsia"/>
                      <w:kern w:val="21"/>
                      <w:szCs w:val="21"/>
                    </w:rPr>
                    <w:t>入区项目应符合水资源管理制度的要求</w:t>
                  </w:r>
                </w:p>
              </w:tc>
              <w:tc>
                <w:tcPr>
                  <w:tcW w:w="2487" w:type="dxa"/>
                  <w:vAlign w:val="center"/>
                </w:tcPr>
                <w:p w14:paraId="35B74765">
                  <w:pPr>
                    <w:autoSpaceDE w:val="0"/>
                    <w:autoSpaceDN w:val="0"/>
                    <w:jc w:val="center"/>
                    <w:rPr>
                      <w:rFonts w:hint="default" w:eastAsia="宋体"/>
                      <w:kern w:val="21"/>
                      <w:szCs w:val="21"/>
                      <w:lang w:val="en-US" w:eastAsia="zh-CN"/>
                    </w:rPr>
                  </w:pPr>
                  <w:r>
                    <w:rPr>
                      <w:rFonts w:hint="eastAsia"/>
                      <w:kern w:val="21"/>
                      <w:szCs w:val="21"/>
                      <w:lang w:val="en-US" w:eastAsia="zh-CN"/>
                    </w:rPr>
                    <w:t>本项目符合水源管理制度要求</w:t>
                  </w:r>
                </w:p>
              </w:tc>
            </w:tr>
            <w:tr w14:paraId="44EBA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7B25B61D">
                  <w:pPr>
                    <w:autoSpaceDE w:val="0"/>
                    <w:autoSpaceDN w:val="0"/>
                    <w:jc w:val="center"/>
                    <w:rPr>
                      <w:kern w:val="21"/>
                      <w:szCs w:val="21"/>
                    </w:rPr>
                  </w:pPr>
                </w:p>
              </w:tc>
              <w:tc>
                <w:tcPr>
                  <w:tcW w:w="4590" w:type="dxa"/>
                  <w:vAlign w:val="center"/>
                </w:tcPr>
                <w:p w14:paraId="523D133F">
                  <w:pPr>
                    <w:autoSpaceDE w:val="0"/>
                    <w:autoSpaceDN w:val="0"/>
                    <w:jc w:val="center"/>
                    <w:rPr>
                      <w:rFonts w:hint="eastAsia"/>
                      <w:kern w:val="21"/>
                      <w:szCs w:val="21"/>
                    </w:rPr>
                  </w:pPr>
                  <w:r>
                    <w:rPr>
                      <w:rFonts w:hint="eastAsia"/>
                      <w:kern w:val="21"/>
                      <w:szCs w:val="21"/>
                    </w:rPr>
                    <w:t>开发区新入驻项目（淀粉企业、白酒企业）取水量应达到《清洁生产标准淀粉工业》（HJ/T445-2008）、《清洁生产标准白酒制造业》（HJ/T402-2007）中二级及以上标准要求，即淀粉工业取水量≤4.5m</w:t>
                  </w:r>
                  <w:r>
                    <w:rPr>
                      <w:rFonts w:hint="eastAsia"/>
                      <w:kern w:val="21"/>
                      <w:szCs w:val="21"/>
                      <w:vertAlign w:val="superscript"/>
                    </w:rPr>
                    <w:t>3</w:t>
                  </w:r>
                  <w:r>
                    <w:rPr>
                      <w:rFonts w:hint="eastAsia"/>
                      <w:kern w:val="21"/>
                      <w:szCs w:val="21"/>
                    </w:rPr>
                    <w:t>/t，白酒（清香型）工业取</w:t>
                  </w:r>
                </w:p>
                <w:p w14:paraId="316F3C23">
                  <w:pPr>
                    <w:autoSpaceDE w:val="0"/>
                    <w:autoSpaceDN w:val="0"/>
                    <w:jc w:val="center"/>
                    <w:rPr>
                      <w:kern w:val="21"/>
                      <w:szCs w:val="21"/>
                    </w:rPr>
                  </w:pPr>
                  <w:r>
                    <w:rPr>
                      <w:rFonts w:hint="eastAsia"/>
                      <w:kern w:val="21"/>
                      <w:szCs w:val="21"/>
                    </w:rPr>
                    <w:t>水量≤20t/kL、白酒（浓/酱香型）工业取水量≤30t/kL。（待最新清洁生产或行业政策发布后，按最新要求实施）</w:t>
                  </w:r>
                </w:p>
              </w:tc>
              <w:tc>
                <w:tcPr>
                  <w:tcW w:w="2487" w:type="dxa"/>
                  <w:vAlign w:val="center"/>
                </w:tcPr>
                <w:p w14:paraId="582239E3">
                  <w:pPr>
                    <w:autoSpaceDE w:val="0"/>
                    <w:autoSpaceDN w:val="0"/>
                    <w:jc w:val="center"/>
                    <w:rPr>
                      <w:rFonts w:hint="default" w:eastAsia="宋体"/>
                      <w:kern w:val="21"/>
                      <w:szCs w:val="21"/>
                      <w:lang w:val="en-US" w:eastAsia="zh-CN"/>
                    </w:rPr>
                  </w:pPr>
                  <w:r>
                    <w:rPr>
                      <w:rFonts w:hint="eastAsia"/>
                      <w:kern w:val="21"/>
                      <w:szCs w:val="21"/>
                      <w:lang w:val="en-US" w:eastAsia="zh-CN"/>
                    </w:rPr>
                    <w:t>本企业为现有企业</w:t>
                  </w:r>
                </w:p>
              </w:tc>
            </w:tr>
            <w:tr w14:paraId="71D6A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restart"/>
                  <w:vAlign w:val="center"/>
                </w:tcPr>
                <w:p w14:paraId="39121B1C">
                  <w:pPr>
                    <w:autoSpaceDE w:val="0"/>
                    <w:autoSpaceDN w:val="0"/>
                    <w:jc w:val="center"/>
                    <w:rPr>
                      <w:rFonts w:hint="eastAsia" w:eastAsia="宋体"/>
                      <w:kern w:val="21"/>
                      <w:szCs w:val="21"/>
                      <w:lang w:val="en-US" w:eastAsia="zh-CN"/>
                    </w:rPr>
                  </w:pPr>
                  <w:r>
                    <w:rPr>
                      <w:rFonts w:hint="eastAsia"/>
                      <w:kern w:val="21"/>
                      <w:szCs w:val="21"/>
                      <w:lang w:val="en-US" w:eastAsia="zh-CN"/>
                    </w:rPr>
                    <w:t>其他</w:t>
                  </w:r>
                </w:p>
              </w:tc>
              <w:tc>
                <w:tcPr>
                  <w:tcW w:w="4590" w:type="dxa"/>
                  <w:vAlign w:val="center"/>
                </w:tcPr>
                <w:p w14:paraId="09E2701C">
                  <w:pPr>
                    <w:autoSpaceDE w:val="0"/>
                    <w:autoSpaceDN w:val="0"/>
                    <w:jc w:val="center"/>
                    <w:rPr>
                      <w:kern w:val="21"/>
                      <w:szCs w:val="21"/>
                    </w:rPr>
                  </w:pPr>
                  <w:r>
                    <w:rPr>
                      <w:rFonts w:hint="eastAsia"/>
                      <w:kern w:val="21"/>
                      <w:szCs w:val="21"/>
                    </w:rPr>
                    <w:t>严格落实国家、河北省及承德市最新产业目录准入要求</w:t>
                  </w:r>
                </w:p>
              </w:tc>
              <w:tc>
                <w:tcPr>
                  <w:tcW w:w="2487" w:type="dxa"/>
                  <w:vAlign w:val="center"/>
                </w:tcPr>
                <w:p w14:paraId="33B29BDB">
                  <w:pPr>
                    <w:autoSpaceDE w:val="0"/>
                    <w:autoSpaceDN w:val="0"/>
                    <w:jc w:val="center"/>
                    <w:rPr>
                      <w:rFonts w:hint="default" w:eastAsia="宋体"/>
                      <w:kern w:val="21"/>
                      <w:szCs w:val="21"/>
                      <w:lang w:val="en-US" w:eastAsia="zh-CN"/>
                    </w:rPr>
                  </w:pPr>
                  <w:r>
                    <w:rPr>
                      <w:rFonts w:hint="eastAsia"/>
                      <w:kern w:val="21"/>
                      <w:szCs w:val="21"/>
                      <w:lang w:val="en-US" w:eastAsia="zh-CN"/>
                    </w:rPr>
                    <w:t>本项目符合最新产业目录准入要求</w:t>
                  </w:r>
                </w:p>
              </w:tc>
            </w:tr>
            <w:tr w14:paraId="74E3D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4AA334E5">
                  <w:pPr>
                    <w:autoSpaceDE w:val="0"/>
                    <w:autoSpaceDN w:val="0"/>
                    <w:jc w:val="center"/>
                    <w:rPr>
                      <w:kern w:val="21"/>
                      <w:szCs w:val="21"/>
                    </w:rPr>
                  </w:pPr>
                </w:p>
              </w:tc>
              <w:tc>
                <w:tcPr>
                  <w:tcW w:w="4590" w:type="dxa"/>
                  <w:vAlign w:val="center"/>
                </w:tcPr>
                <w:p w14:paraId="45219C24">
                  <w:pPr>
                    <w:autoSpaceDE w:val="0"/>
                    <w:autoSpaceDN w:val="0"/>
                    <w:jc w:val="center"/>
                    <w:rPr>
                      <w:kern w:val="21"/>
                      <w:szCs w:val="21"/>
                    </w:rPr>
                  </w:pPr>
                  <w:r>
                    <w:rPr>
                      <w:rFonts w:hint="eastAsia"/>
                      <w:kern w:val="21"/>
                      <w:szCs w:val="21"/>
                    </w:rPr>
                    <w:t>原则上禁止建设不符合开发区产业发展方向或上下游产业的项目</w:t>
                  </w:r>
                </w:p>
              </w:tc>
              <w:tc>
                <w:tcPr>
                  <w:tcW w:w="2487" w:type="dxa"/>
                  <w:vAlign w:val="center"/>
                </w:tcPr>
                <w:p w14:paraId="33F3C6D9">
                  <w:pPr>
                    <w:autoSpaceDE w:val="0"/>
                    <w:autoSpaceDN w:val="0"/>
                    <w:jc w:val="center"/>
                    <w:rPr>
                      <w:rFonts w:hint="default" w:eastAsia="宋体"/>
                      <w:kern w:val="21"/>
                      <w:szCs w:val="21"/>
                      <w:lang w:val="en-US" w:eastAsia="zh-CN"/>
                    </w:rPr>
                  </w:pPr>
                  <w:r>
                    <w:rPr>
                      <w:rFonts w:hint="eastAsia"/>
                      <w:kern w:val="21"/>
                      <w:szCs w:val="21"/>
                      <w:lang w:val="en-US" w:eastAsia="zh-CN"/>
                    </w:rPr>
                    <w:t>本项目符合开发区产业发展方向</w:t>
                  </w:r>
                </w:p>
              </w:tc>
            </w:tr>
            <w:tr w14:paraId="67F95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10300D4E">
                  <w:pPr>
                    <w:autoSpaceDE w:val="0"/>
                    <w:autoSpaceDN w:val="0"/>
                    <w:jc w:val="center"/>
                    <w:rPr>
                      <w:kern w:val="21"/>
                      <w:szCs w:val="21"/>
                    </w:rPr>
                  </w:pPr>
                </w:p>
              </w:tc>
              <w:tc>
                <w:tcPr>
                  <w:tcW w:w="4590" w:type="dxa"/>
                  <w:vAlign w:val="center"/>
                </w:tcPr>
                <w:p w14:paraId="3A9158AA">
                  <w:pPr>
                    <w:autoSpaceDE w:val="0"/>
                    <w:autoSpaceDN w:val="0"/>
                    <w:jc w:val="center"/>
                    <w:rPr>
                      <w:kern w:val="21"/>
                      <w:szCs w:val="21"/>
                    </w:rPr>
                  </w:pPr>
                  <w:r>
                    <w:rPr>
                      <w:rFonts w:hint="eastAsia"/>
                      <w:kern w:val="21"/>
                      <w:szCs w:val="21"/>
                    </w:rPr>
                    <w:t>禁止建设生产和使用高VOCs含量的溶剂型涂料、油墨、胶粘剂等项目</w:t>
                  </w:r>
                </w:p>
              </w:tc>
              <w:tc>
                <w:tcPr>
                  <w:tcW w:w="2487" w:type="dxa"/>
                  <w:vAlign w:val="center"/>
                </w:tcPr>
                <w:p w14:paraId="537E519A">
                  <w:pPr>
                    <w:autoSpaceDE w:val="0"/>
                    <w:autoSpaceDN w:val="0"/>
                    <w:jc w:val="center"/>
                    <w:rPr>
                      <w:rFonts w:hint="eastAsia" w:eastAsia="宋体"/>
                      <w:kern w:val="21"/>
                      <w:szCs w:val="21"/>
                      <w:lang w:val="en-US" w:eastAsia="zh-CN"/>
                    </w:rPr>
                  </w:pPr>
                  <w:r>
                    <w:rPr>
                      <w:rFonts w:hint="eastAsia"/>
                      <w:kern w:val="21"/>
                      <w:szCs w:val="21"/>
                      <w:lang w:val="en-US" w:eastAsia="zh-CN"/>
                    </w:rPr>
                    <w:t>不涉及</w:t>
                  </w:r>
                </w:p>
              </w:tc>
            </w:tr>
            <w:tr w14:paraId="24575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trPr>
              <w:tc>
                <w:tcPr>
                  <w:tcW w:w="868" w:type="dxa"/>
                  <w:vMerge w:val="continue"/>
                  <w:vAlign w:val="center"/>
                </w:tcPr>
                <w:p w14:paraId="699C8435">
                  <w:pPr>
                    <w:autoSpaceDE w:val="0"/>
                    <w:autoSpaceDN w:val="0"/>
                    <w:jc w:val="center"/>
                    <w:rPr>
                      <w:kern w:val="21"/>
                      <w:szCs w:val="21"/>
                    </w:rPr>
                  </w:pPr>
                </w:p>
              </w:tc>
              <w:tc>
                <w:tcPr>
                  <w:tcW w:w="4590" w:type="dxa"/>
                  <w:vAlign w:val="center"/>
                </w:tcPr>
                <w:p w14:paraId="396E890A">
                  <w:pPr>
                    <w:autoSpaceDE w:val="0"/>
                    <w:autoSpaceDN w:val="0"/>
                    <w:jc w:val="center"/>
                    <w:rPr>
                      <w:kern w:val="21"/>
                      <w:szCs w:val="21"/>
                    </w:rPr>
                  </w:pPr>
                  <w:r>
                    <w:rPr>
                      <w:rFonts w:hint="eastAsia"/>
                      <w:kern w:val="21"/>
                      <w:szCs w:val="21"/>
                    </w:rPr>
                    <w:t>开发区入园项目严格遵守规划产业布局及用地布局要求</w:t>
                  </w:r>
                </w:p>
              </w:tc>
              <w:tc>
                <w:tcPr>
                  <w:tcW w:w="2487" w:type="dxa"/>
                  <w:vAlign w:val="center"/>
                </w:tcPr>
                <w:p w14:paraId="2F1BF7E3">
                  <w:pPr>
                    <w:autoSpaceDE w:val="0"/>
                    <w:autoSpaceDN w:val="0"/>
                    <w:jc w:val="center"/>
                    <w:rPr>
                      <w:rFonts w:hint="default" w:eastAsia="宋体"/>
                      <w:kern w:val="21"/>
                      <w:szCs w:val="21"/>
                      <w:lang w:val="en-US" w:eastAsia="zh-CN"/>
                    </w:rPr>
                  </w:pPr>
                  <w:r>
                    <w:rPr>
                      <w:rFonts w:hint="eastAsia"/>
                      <w:kern w:val="21"/>
                      <w:szCs w:val="21"/>
                      <w:lang w:val="en-US" w:eastAsia="zh-CN"/>
                    </w:rPr>
                    <w:t>本项目不新增占地，利用现有占地进行建设</w:t>
                  </w:r>
                </w:p>
              </w:tc>
            </w:tr>
            <w:tr w14:paraId="6A053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65E144FF">
                  <w:pPr>
                    <w:autoSpaceDE w:val="0"/>
                    <w:autoSpaceDN w:val="0"/>
                    <w:jc w:val="center"/>
                    <w:rPr>
                      <w:kern w:val="21"/>
                      <w:szCs w:val="21"/>
                    </w:rPr>
                  </w:pPr>
                </w:p>
              </w:tc>
              <w:tc>
                <w:tcPr>
                  <w:tcW w:w="4590" w:type="dxa"/>
                  <w:vAlign w:val="center"/>
                </w:tcPr>
                <w:p w14:paraId="3CC919E5">
                  <w:pPr>
                    <w:autoSpaceDE w:val="0"/>
                    <w:autoSpaceDN w:val="0"/>
                    <w:jc w:val="center"/>
                    <w:rPr>
                      <w:kern w:val="21"/>
                      <w:szCs w:val="21"/>
                    </w:rPr>
                  </w:pPr>
                  <w:r>
                    <w:rPr>
                      <w:rFonts w:hint="eastAsia"/>
                      <w:kern w:val="21"/>
                      <w:szCs w:val="21"/>
                    </w:rPr>
                    <w:t>开发区入园项目应充分考虑环境保护要求，控制好与周边敏感点之间的防护距离</w:t>
                  </w:r>
                </w:p>
              </w:tc>
              <w:tc>
                <w:tcPr>
                  <w:tcW w:w="2487" w:type="dxa"/>
                  <w:vAlign w:val="center"/>
                </w:tcPr>
                <w:p w14:paraId="05C7364C">
                  <w:pPr>
                    <w:autoSpaceDE w:val="0"/>
                    <w:autoSpaceDN w:val="0"/>
                    <w:jc w:val="center"/>
                    <w:rPr>
                      <w:rFonts w:hint="default" w:eastAsia="宋体"/>
                      <w:kern w:val="21"/>
                      <w:szCs w:val="21"/>
                      <w:lang w:val="en-US" w:eastAsia="zh-CN"/>
                    </w:rPr>
                  </w:pPr>
                  <w:r>
                    <w:rPr>
                      <w:rFonts w:hint="eastAsia"/>
                      <w:kern w:val="21"/>
                      <w:szCs w:val="21"/>
                      <w:lang w:val="en-US" w:eastAsia="zh-CN"/>
                    </w:rPr>
                    <w:t>本项目不新增占地，利用现有占地进行建设，与周边敏感点之间较远</w:t>
                  </w:r>
                </w:p>
              </w:tc>
            </w:tr>
            <w:tr w14:paraId="06347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26F0BE03">
                  <w:pPr>
                    <w:autoSpaceDE w:val="0"/>
                    <w:autoSpaceDN w:val="0"/>
                    <w:jc w:val="center"/>
                    <w:rPr>
                      <w:kern w:val="21"/>
                      <w:szCs w:val="21"/>
                    </w:rPr>
                  </w:pPr>
                </w:p>
              </w:tc>
              <w:tc>
                <w:tcPr>
                  <w:tcW w:w="4590" w:type="dxa"/>
                  <w:vAlign w:val="center"/>
                </w:tcPr>
                <w:p w14:paraId="062E1669">
                  <w:pPr>
                    <w:autoSpaceDE w:val="0"/>
                    <w:autoSpaceDN w:val="0"/>
                    <w:jc w:val="center"/>
                    <w:rPr>
                      <w:kern w:val="21"/>
                      <w:szCs w:val="21"/>
                    </w:rPr>
                  </w:pPr>
                  <w:r>
                    <w:rPr>
                      <w:rFonts w:hint="eastAsia"/>
                      <w:kern w:val="21"/>
                      <w:szCs w:val="21"/>
                    </w:rPr>
                    <w:t>严格落实最新规划环评及其批复文件制定的环境准入要求</w:t>
                  </w:r>
                </w:p>
              </w:tc>
              <w:tc>
                <w:tcPr>
                  <w:tcW w:w="2487" w:type="dxa"/>
                  <w:vAlign w:val="center"/>
                </w:tcPr>
                <w:p w14:paraId="001B3BE9">
                  <w:pPr>
                    <w:autoSpaceDE w:val="0"/>
                    <w:autoSpaceDN w:val="0"/>
                    <w:jc w:val="center"/>
                    <w:rPr>
                      <w:rFonts w:hint="default" w:eastAsia="宋体"/>
                      <w:kern w:val="21"/>
                      <w:szCs w:val="21"/>
                      <w:lang w:val="en-US" w:eastAsia="zh-CN"/>
                    </w:rPr>
                  </w:pPr>
                  <w:r>
                    <w:rPr>
                      <w:rFonts w:hint="eastAsia"/>
                      <w:kern w:val="21"/>
                      <w:szCs w:val="21"/>
                      <w:lang w:val="en-US" w:eastAsia="zh-CN"/>
                    </w:rPr>
                    <w:t>本项目符合规划环评及其批复的环境准入要求</w:t>
                  </w:r>
                </w:p>
              </w:tc>
            </w:tr>
          </w:tbl>
          <w:p w14:paraId="77A6CB46">
            <w:pPr>
              <w:autoSpaceDE w:val="0"/>
              <w:autoSpaceDN w:val="0"/>
              <w:adjustRightInd w:val="0"/>
              <w:snapToGrid w:val="0"/>
              <w:spacing w:before="120" w:beforeLines="50" w:line="360" w:lineRule="auto"/>
              <w:ind w:firstLine="480" w:firstLineChars="200"/>
              <w:rPr>
                <w:sz w:val="24"/>
              </w:rPr>
            </w:pPr>
            <w:r>
              <w:rPr>
                <w:rFonts w:hint="eastAsia"/>
                <w:sz w:val="24"/>
              </w:rPr>
              <w:t>综上所述，项目</w:t>
            </w:r>
            <w:r>
              <w:rPr>
                <w:sz w:val="24"/>
              </w:rPr>
              <w:t>符合《</w:t>
            </w:r>
            <w:r>
              <w:rPr>
                <w:rFonts w:hint="eastAsia"/>
                <w:sz w:val="24"/>
              </w:rPr>
              <w:t>河北围场经济开发区总体规划（2023-2035年）环境影响报告书</w:t>
            </w:r>
            <w:r>
              <w:rPr>
                <w:sz w:val="24"/>
              </w:rPr>
              <w:t>》中的要求。</w:t>
            </w:r>
          </w:p>
          <w:p w14:paraId="0AEBB79C">
            <w:pPr>
              <w:autoSpaceDE w:val="0"/>
              <w:autoSpaceDN w:val="0"/>
              <w:adjustRightInd w:val="0"/>
              <w:snapToGrid w:val="0"/>
              <w:spacing w:line="360" w:lineRule="auto"/>
              <w:ind w:firstLine="482" w:firstLineChars="200"/>
              <w:rPr>
                <w:b/>
                <w:kern w:val="0"/>
                <w:sz w:val="24"/>
              </w:rPr>
            </w:pPr>
            <w:r>
              <w:rPr>
                <w:b/>
                <w:kern w:val="0"/>
                <w:sz w:val="24"/>
              </w:rPr>
              <w:t>3</w:t>
            </w:r>
            <w:r>
              <w:rPr>
                <w:rFonts w:hint="eastAsia"/>
                <w:b/>
                <w:kern w:val="0"/>
                <w:sz w:val="24"/>
              </w:rPr>
              <w:t>、规划环境影响评价结论及审查意见符合性分析</w:t>
            </w:r>
          </w:p>
          <w:p w14:paraId="5BB4C3C6">
            <w:pPr>
              <w:autoSpaceDE w:val="0"/>
              <w:autoSpaceDN w:val="0"/>
              <w:adjustRightInd w:val="0"/>
              <w:snapToGrid w:val="0"/>
              <w:spacing w:line="360" w:lineRule="auto"/>
              <w:ind w:firstLine="480" w:firstLineChars="200"/>
              <w:rPr>
                <w:kern w:val="0"/>
                <w:sz w:val="24"/>
              </w:rPr>
            </w:pPr>
            <w:r>
              <w:rPr>
                <w:rFonts w:hint="eastAsia"/>
                <w:kern w:val="0"/>
                <w:sz w:val="24"/>
              </w:rPr>
              <w:t>河北省生态环境厅关于《</w:t>
            </w:r>
            <w:r>
              <w:rPr>
                <w:rFonts w:hint="eastAsia"/>
                <w:sz w:val="24"/>
              </w:rPr>
              <w:t>河北围场经济开发区总体规划（2023-2035年）环境影响报告书</w:t>
            </w:r>
            <w:r>
              <w:rPr>
                <w:rFonts w:hint="eastAsia"/>
                <w:kern w:val="0"/>
                <w:sz w:val="24"/>
              </w:rPr>
              <w:t>》的审查意见（冀环环评函〔2023〕</w:t>
            </w:r>
            <w:r>
              <w:rPr>
                <w:rFonts w:hint="eastAsia"/>
                <w:kern w:val="0"/>
                <w:sz w:val="24"/>
                <w:lang w:val="en-US" w:eastAsia="zh-CN"/>
              </w:rPr>
              <w:t>1602</w:t>
            </w:r>
            <w:r>
              <w:rPr>
                <w:rFonts w:hint="eastAsia"/>
                <w:kern w:val="0"/>
                <w:sz w:val="24"/>
              </w:rPr>
              <w:t>号）指出，</w:t>
            </w:r>
            <w:r>
              <w:rPr>
                <w:rFonts w:hint="eastAsia"/>
                <w:kern w:val="0"/>
                <w:sz w:val="24"/>
                <w:highlight w:val="none"/>
              </w:rPr>
              <w:t>“严格环境准入条件，</w:t>
            </w:r>
            <w:r>
              <w:rPr>
                <w:rFonts w:hint="eastAsia"/>
                <w:kern w:val="0"/>
                <w:sz w:val="24"/>
                <w:highlight w:val="none"/>
                <w:lang w:val="en-US" w:eastAsia="zh-CN"/>
              </w:rPr>
              <w:t>落实生态环境准入要求</w:t>
            </w:r>
            <w:r>
              <w:rPr>
                <w:rFonts w:hint="eastAsia"/>
                <w:kern w:val="0"/>
                <w:sz w:val="24"/>
                <w:highlight w:val="none"/>
              </w:rPr>
              <w:t>。落实《报告书》提</w:t>
            </w:r>
            <w:r>
              <w:rPr>
                <w:rFonts w:hint="eastAsia"/>
                <w:kern w:val="0"/>
                <w:sz w:val="24"/>
              </w:rPr>
              <w:t>出的开发区生态环境准入要求和现有企业环境管理要求</w:t>
            </w:r>
            <w:r>
              <w:rPr>
                <w:rFonts w:hint="eastAsia"/>
                <w:kern w:val="0"/>
                <w:sz w:val="24"/>
                <w:lang w:eastAsia="zh-CN"/>
              </w:rPr>
              <w:t>；</w:t>
            </w:r>
            <w:r>
              <w:rPr>
                <w:rFonts w:hint="eastAsia"/>
                <w:kern w:val="0"/>
                <w:sz w:val="24"/>
                <w:lang w:val="en-US" w:eastAsia="zh-CN"/>
              </w:rPr>
              <w:t>严格落实地表水环境减缓对策及措施，进一步降低规划实施对地表水的影响；推进区域水资源集约节约利用，逐步增加再生水使用比例，严格控制新水用量；强化现有及入区企业污染物及碳排放控制要求，促进开发区产业转型升级与生态环境保护、人居环境安全相协调</w:t>
            </w:r>
            <w:r>
              <w:rPr>
                <w:rFonts w:hint="eastAsia"/>
                <w:kern w:val="0"/>
                <w:sz w:val="24"/>
              </w:rPr>
              <w:t>。”</w:t>
            </w:r>
          </w:p>
          <w:p w14:paraId="6BB66DB6">
            <w:pPr>
              <w:autoSpaceDE w:val="0"/>
              <w:autoSpaceDN w:val="0"/>
              <w:adjustRightInd w:val="0"/>
              <w:snapToGrid w:val="0"/>
              <w:spacing w:line="360" w:lineRule="auto"/>
              <w:ind w:firstLine="480" w:firstLineChars="200"/>
              <w:rPr>
                <w:rFonts w:hint="eastAsia" w:eastAsia="宋体"/>
                <w:kern w:val="0"/>
                <w:sz w:val="24"/>
                <w:lang w:eastAsia="zh-CN"/>
              </w:rPr>
            </w:pPr>
            <w:r>
              <w:rPr>
                <w:rFonts w:hint="eastAsia"/>
                <w:kern w:val="0"/>
                <w:sz w:val="24"/>
                <w:highlight w:val="none"/>
              </w:rPr>
              <w:t>项目建设符合开发区生态环境准入要求和现有企业环境管理要求，项目产生的废水经</w:t>
            </w:r>
            <w:r>
              <w:rPr>
                <w:rFonts w:hint="eastAsia"/>
                <w:kern w:val="0"/>
                <w:sz w:val="24"/>
                <w:highlight w:val="none"/>
                <w:lang w:val="en-US" w:eastAsia="zh-CN"/>
              </w:rPr>
              <w:t>本公司</w:t>
            </w:r>
            <w:r>
              <w:rPr>
                <w:rFonts w:hint="eastAsia"/>
                <w:kern w:val="0"/>
                <w:sz w:val="24"/>
                <w:highlight w:val="none"/>
              </w:rPr>
              <w:t>污水处理站处理</w:t>
            </w:r>
            <w:r>
              <w:rPr>
                <w:rFonts w:hint="eastAsia"/>
                <w:kern w:val="0"/>
                <w:sz w:val="24"/>
                <w:highlight w:val="none"/>
                <w:lang w:val="en-US" w:eastAsia="zh-CN"/>
              </w:rPr>
              <w:t>后排入蚁蚂吐河，出水满足《城镇污水处理厂污染物排放标准》（GB18918-2002）表1中一级A标准</w:t>
            </w:r>
            <w:r>
              <w:rPr>
                <w:rFonts w:hint="eastAsia"/>
                <w:kern w:val="0"/>
                <w:sz w:val="24"/>
                <w:highlight w:val="none"/>
              </w:rPr>
              <w:t>，符合园区审查意见</w:t>
            </w:r>
            <w:r>
              <w:rPr>
                <w:rFonts w:hint="eastAsia"/>
                <w:kern w:val="0"/>
                <w:sz w:val="24"/>
                <w:highlight w:val="none"/>
                <w:lang w:eastAsia="zh-CN"/>
              </w:rPr>
              <w:t>。</w:t>
            </w:r>
          </w:p>
          <w:p w14:paraId="670034B5">
            <w:pPr>
              <w:autoSpaceDE w:val="0"/>
              <w:autoSpaceDN w:val="0"/>
              <w:adjustRightInd w:val="0"/>
              <w:snapToGrid w:val="0"/>
              <w:spacing w:line="360" w:lineRule="auto"/>
              <w:rPr>
                <w:kern w:val="0"/>
                <w:sz w:val="24"/>
              </w:rPr>
            </w:pPr>
          </w:p>
          <w:p w14:paraId="01618271">
            <w:pPr>
              <w:pStyle w:val="2"/>
              <w:ind w:left="0" w:leftChars="0" w:firstLine="0" w:firstLineChars="0"/>
              <w:jc w:val="both"/>
              <w:rPr>
                <w:highlight w:val="green"/>
              </w:rPr>
            </w:pPr>
          </w:p>
          <w:p w14:paraId="04320F05">
            <w:pPr>
              <w:pStyle w:val="2"/>
              <w:ind w:left="0" w:leftChars="0" w:firstLine="0" w:firstLineChars="0"/>
              <w:jc w:val="both"/>
              <w:rPr>
                <w:highlight w:val="green"/>
              </w:rPr>
            </w:pPr>
          </w:p>
          <w:p w14:paraId="0B6750EB">
            <w:pPr>
              <w:autoSpaceDE w:val="0"/>
              <w:autoSpaceDN w:val="0"/>
              <w:adjustRightInd w:val="0"/>
              <w:snapToGrid w:val="0"/>
              <w:spacing w:line="360" w:lineRule="auto"/>
              <w:ind w:firstLine="480" w:firstLineChars="200"/>
              <w:rPr>
                <w:rFonts w:hint="eastAsia" w:eastAsia="宋体"/>
                <w:kern w:val="0"/>
                <w:sz w:val="24"/>
                <w:highlight w:val="green"/>
                <w:lang w:eastAsia="zh-CN"/>
              </w:rPr>
            </w:pPr>
          </w:p>
          <w:p w14:paraId="47F7DF8A">
            <w:pPr>
              <w:autoSpaceDE w:val="0"/>
              <w:autoSpaceDN w:val="0"/>
              <w:adjustRightInd w:val="0"/>
              <w:snapToGrid w:val="0"/>
              <w:spacing w:line="360" w:lineRule="auto"/>
              <w:ind w:firstLine="420" w:firstLineChars="200"/>
              <w:rPr>
                <w:highlight w:val="green"/>
              </w:rPr>
            </w:pPr>
          </w:p>
        </w:tc>
      </w:tr>
    </w:tbl>
    <w:p w14:paraId="46877FA5">
      <w:pPr>
        <w:pStyle w:val="2"/>
        <w:ind w:left="420"/>
      </w:pPr>
      <w:r>
        <w:br w:type="page"/>
      </w:r>
    </w:p>
    <w:tbl>
      <w:tblPr>
        <w:tblStyle w:val="23"/>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67"/>
        <w:gridCol w:w="8491"/>
      </w:tblGrid>
      <w:tr w14:paraId="253BFD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21" w:hRule="atLeast"/>
          <w:jc w:val="center"/>
        </w:trPr>
        <w:tc>
          <w:tcPr>
            <w:tcW w:w="313" w:type="pct"/>
            <w:vAlign w:val="center"/>
          </w:tcPr>
          <w:p w14:paraId="467B9A04">
            <w:pPr>
              <w:autoSpaceDE w:val="0"/>
              <w:autoSpaceDN w:val="0"/>
              <w:adjustRightInd w:val="0"/>
              <w:snapToGrid w:val="0"/>
              <w:jc w:val="center"/>
              <w:rPr>
                <w:rFonts w:ascii="宋体" w:hAnsi="宋体" w:cs="宋体"/>
                <w:b/>
                <w:kern w:val="0"/>
                <w:sz w:val="24"/>
                <w:highlight w:val="none"/>
              </w:rPr>
            </w:pPr>
            <w:r>
              <w:rPr>
                <w:rFonts w:hint="eastAsia" w:ascii="宋体" w:hAnsi="宋体" w:cs="宋体"/>
                <w:b/>
                <w:kern w:val="0"/>
                <w:sz w:val="24"/>
                <w:highlight w:val="none"/>
              </w:rPr>
              <w:t>其他符合性分析</w:t>
            </w:r>
          </w:p>
        </w:tc>
        <w:tc>
          <w:tcPr>
            <w:tcW w:w="4686" w:type="pct"/>
            <w:vAlign w:val="center"/>
          </w:tcPr>
          <w:p w14:paraId="41D16F01">
            <w:pPr>
              <w:spacing w:line="360" w:lineRule="auto"/>
              <w:ind w:firstLine="482" w:firstLineChars="200"/>
              <w:rPr>
                <w:b/>
                <w:sz w:val="24"/>
                <w:highlight w:val="none"/>
              </w:rPr>
            </w:pPr>
            <w:r>
              <w:rPr>
                <w:rFonts w:hint="eastAsia"/>
                <w:b/>
                <w:sz w:val="24"/>
                <w:highlight w:val="none"/>
                <w:lang w:val="en-US" w:eastAsia="zh-CN"/>
              </w:rPr>
              <w:t>1</w:t>
            </w:r>
            <w:r>
              <w:rPr>
                <w:b/>
                <w:sz w:val="24"/>
                <w:highlight w:val="none"/>
              </w:rPr>
              <w:t>．</w:t>
            </w:r>
            <w:r>
              <w:rPr>
                <w:rFonts w:hint="eastAsia"/>
                <w:b/>
                <w:sz w:val="24"/>
                <w:highlight w:val="none"/>
              </w:rPr>
              <w:t>项目与《市场准入负面清单（2</w:t>
            </w:r>
            <w:r>
              <w:rPr>
                <w:b/>
                <w:sz w:val="24"/>
                <w:highlight w:val="none"/>
              </w:rPr>
              <w:t>022</w:t>
            </w:r>
            <w:r>
              <w:rPr>
                <w:rFonts w:hint="eastAsia"/>
                <w:b/>
                <w:sz w:val="24"/>
                <w:highlight w:val="none"/>
              </w:rPr>
              <w:t>年版）》符合性分析：</w:t>
            </w:r>
          </w:p>
          <w:p w14:paraId="42EF2CE3">
            <w:pPr>
              <w:spacing w:line="360" w:lineRule="auto"/>
              <w:ind w:firstLine="48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根据“国家发展改革委商务部关于印发《市场准入负面清单（2022年版）》的通知（发改体改规[2022]397号）”，应严格落实“全国一张清单”管理要求，坚决维护市场准入负面清单制度的统一性、严肃性和权威性，确保“一单尽列、单外无单”。按照党中央、国务院要求编制的涉及行业性、领域性、区域性等方面，需要用负面清单管理思路或管理模式出台相关措施的，应纳入全国统一的市场准入负面清单。产业结构调整指导目录、政府核准的投资项目目录纳入市场准入负面清单，地方对两个目录有细化规定的，从其规定。地方国家重点生态功能区和农产品主产区产业准入负面清单（或禁止限制目录）及地方按照党中央、国务院要求制定的地方性产业结构禁止准入目录，统一纳入市场准入负面清单。</w:t>
            </w:r>
          </w:p>
          <w:p w14:paraId="71A5E168">
            <w:pPr>
              <w:spacing w:line="360" w:lineRule="auto"/>
              <w:ind w:firstLine="480"/>
              <w:rPr>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w:t>
            </w:r>
            <w:r>
              <w:rPr>
                <w:bCs/>
                <w:color w:val="000000" w:themeColor="text1"/>
                <w:sz w:val="24"/>
                <w:highlight w:val="none"/>
                <w14:textFill>
                  <w14:solidFill>
                    <w14:schemeClr w14:val="tx1"/>
                  </w14:solidFill>
                </w14:textFill>
              </w:rPr>
              <w:t>1</w:t>
            </w:r>
            <w:r>
              <w:rPr>
                <w:rFonts w:hint="eastAsia"/>
                <w:bCs/>
                <w:color w:val="000000" w:themeColor="text1"/>
                <w:sz w:val="24"/>
                <w:highlight w:val="none"/>
                <w14:textFill>
                  <w14:solidFill>
                    <w14:schemeClr w14:val="tx1"/>
                  </w14:solidFill>
                </w14:textFill>
              </w:rPr>
              <w:t>）禁止准入负面清单符合性分析</w:t>
            </w:r>
          </w:p>
          <w:p w14:paraId="73661E8A">
            <w:pPr>
              <w:spacing w:line="360" w:lineRule="auto"/>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根据《市场准入负面清单（2022年版）》，禁止准入类共6项，涉及生态环境保护的3项，符合性见下表。</w:t>
            </w:r>
          </w:p>
          <w:p w14:paraId="34CF2419">
            <w:pPr>
              <w:pStyle w:val="50"/>
              <w:numPr>
                <w:ilvl w:val="0"/>
                <w:numId w:val="4"/>
              </w:numPr>
              <w:spacing w:line="360" w:lineRule="auto"/>
              <w:ind w:firstLineChars="0"/>
              <w:jc w:val="center"/>
              <w:rPr>
                <w:rFonts w:ascii="Times New Roman" w:hAnsi="Times New Roman" w:eastAsia="宋体"/>
                <w:b/>
                <w:sz w:val="21"/>
                <w:szCs w:val="21"/>
                <w:highlight w:val="none"/>
              </w:rPr>
            </w:pPr>
            <w:r>
              <w:rPr>
                <w:rFonts w:hint="eastAsia" w:ascii="Times New Roman" w:hAnsi="Times New Roman" w:eastAsia="宋体"/>
                <w:b/>
                <w:bCs/>
                <w:sz w:val="21"/>
                <w:szCs w:val="21"/>
                <w:highlight w:val="none"/>
              </w:rPr>
              <w:t>项目与《市场准入负面清单（2022年版）》符合性分析情况一览表</w:t>
            </w:r>
          </w:p>
          <w:tbl>
            <w:tblPr>
              <w:tblStyle w:val="24"/>
              <w:tblW w:w="81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1464"/>
              <w:gridCol w:w="917"/>
              <w:gridCol w:w="2344"/>
              <w:gridCol w:w="2682"/>
            </w:tblGrid>
            <w:tr w14:paraId="199CC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14:paraId="43BC1D15">
                  <w:pPr>
                    <w:jc w:val="center"/>
                    <w:rPr>
                      <w:b/>
                      <w:color w:val="000000" w:themeColor="text1"/>
                      <w:szCs w:val="21"/>
                      <w:highlight w:val="none"/>
                      <w14:textFill>
                        <w14:solidFill>
                          <w14:schemeClr w14:val="tx1"/>
                        </w14:solidFill>
                      </w14:textFill>
                    </w:rPr>
                  </w:pPr>
                  <w:r>
                    <w:rPr>
                      <w:rFonts w:hint="eastAsia"/>
                      <w:b/>
                      <w:color w:val="000000" w:themeColor="text1"/>
                      <w:szCs w:val="21"/>
                      <w:highlight w:val="none"/>
                      <w14:textFill>
                        <w14:solidFill>
                          <w14:schemeClr w14:val="tx1"/>
                        </w14:solidFill>
                      </w14:textFill>
                    </w:rPr>
                    <w:t>项目号</w:t>
                  </w:r>
                </w:p>
              </w:tc>
              <w:tc>
                <w:tcPr>
                  <w:tcW w:w="1464" w:type="dxa"/>
                  <w:vAlign w:val="center"/>
                </w:tcPr>
                <w:p w14:paraId="22B47CC8">
                  <w:pPr>
                    <w:jc w:val="center"/>
                    <w:rPr>
                      <w:b/>
                      <w:color w:val="000000" w:themeColor="text1"/>
                      <w:szCs w:val="21"/>
                      <w:highlight w:val="none"/>
                      <w14:textFill>
                        <w14:solidFill>
                          <w14:schemeClr w14:val="tx1"/>
                        </w14:solidFill>
                      </w14:textFill>
                    </w:rPr>
                  </w:pPr>
                  <w:r>
                    <w:rPr>
                      <w:rFonts w:hint="eastAsia"/>
                      <w:b/>
                      <w:color w:val="000000" w:themeColor="text1"/>
                      <w:szCs w:val="21"/>
                      <w:highlight w:val="none"/>
                      <w14:textFill>
                        <w14:solidFill>
                          <w14:schemeClr w14:val="tx1"/>
                        </w14:solidFill>
                      </w14:textFill>
                    </w:rPr>
                    <w:t>禁止或许可事项</w:t>
                  </w:r>
                </w:p>
              </w:tc>
              <w:tc>
                <w:tcPr>
                  <w:tcW w:w="917" w:type="dxa"/>
                  <w:vAlign w:val="center"/>
                </w:tcPr>
                <w:p w14:paraId="0123C972">
                  <w:pPr>
                    <w:jc w:val="center"/>
                    <w:rPr>
                      <w:b/>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事项编码</w:t>
                  </w:r>
                </w:p>
              </w:tc>
              <w:tc>
                <w:tcPr>
                  <w:tcW w:w="2344" w:type="dxa"/>
                  <w:vAlign w:val="center"/>
                </w:tcPr>
                <w:p w14:paraId="54F3C426">
                  <w:pPr>
                    <w:jc w:val="center"/>
                    <w:rPr>
                      <w:b/>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禁止或许可准入措施描述</w:t>
                  </w:r>
                </w:p>
              </w:tc>
              <w:tc>
                <w:tcPr>
                  <w:tcW w:w="2682" w:type="dxa"/>
                  <w:vAlign w:val="center"/>
                </w:tcPr>
                <w:p w14:paraId="26B8C651">
                  <w:pPr>
                    <w:jc w:val="center"/>
                    <w:rPr>
                      <w:b/>
                      <w:color w:val="000000" w:themeColor="text1"/>
                      <w:szCs w:val="21"/>
                      <w:highlight w:val="none"/>
                      <w14:textFill>
                        <w14:solidFill>
                          <w14:schemeClr w14:val="tx1"/>
                        </w14:solidFill>
                      </w14:textFill>
                    </w:rPr>
                  </w:pPr>
                  <w:r>
                    <w:rPr>
                      <w:rFonts w:hint="eastAsia"/>
                      <w:b/>
                      <w:color w:val="000000" w:themeColor="text1"/>
                      <w:szCs w:val="21"/>
                      <w:highlight w:val="none"/>
                      <w14:textFill>
                        <w14:solidFill>
                          <w14:schemeClr w14:val="tx1"/>
                        </w14:solidFill>
                      </w14:textFill>
                    </w:rPr>
                    <w:t>工程符合性分析</w:t>
                  </w:r>
                </w:p>
              </w:tc>
            </w:tr>
            <w:tr w14:paraId="2C1E0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16" w:type="dxa"/>
                  <w:gridSpan w:val="5"/>
                  <w:vAlign w:val="center"/>
                </w:tcPr>
                <w:p w14:paraId="2FAD72E8">
                  <w:pPr>
                    <w:rPr>
                      <w:color w:val="000000"/>
                      <w:szCs w:val="21"/>
                      <w:highlight w:val="none"/>
                    </w:rPr>
                  </w:pPr>
                  <w:r>
                    <w:rPr>
                      <w:rFonts w:hint="eastAsia"/>
                      <w:color w:val="000000"/>
                      <w:szCs w:val="21"/>
                      <w:highlight w:val="none"/>
                    </w:rPr>
                    <w:t>一、禁止准入类</w:t>
                  </w:r>
                </w:p>
              </w:tc>
            </w:tr>
            <w:tr w14:paraId="03E44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6" w:hRule="atLeast"/>
                <w:jc w:val="center"/>
              </w:trPr>
              <w:tc>
                <w:tcPr>
                  <w:tcW w:w="709" w:type="dxa"/>
                  <w:vAlign w:val="center"/>
                </w:tcPr>
                <w:p w14:paraId="17EAF646">
                  <w:pPr>
                    <w:jc w:val="center"/>
                    <w:rPr>
                      <w:color w:val="000000"/>
                      <w:szCs w:val="21"/>
                      <w:highlight w:val="none"/>
                    </w:rPr>
                  </w:pPr>
                  <w:r>
                    <w:rPr>
                      <w:rFonts w:hint="eastAsia"/>
                      <w:color w:val="000000"/>
                      <w:szCs w:val="21"/>
                      <w:highlight w:val="none"/>
                    </w:rPr>
                    <w:t>1</w:t>
                  </w:r>
                </w:p>
              </w:tc>
              <w:tc>
                <w:tcPr>
                  <w:tcW w:w="1464" w:type="dxa"/>
                  <w:vAlign w:val="center"/>
                </w:tcPr>
                <w:p w14:paraId="2BF686E4">
                  <w:pPr>
                    <w:jc w:val="center"/>
                    <w:rPr>
                      <w:color w:val="000000"/>
                      <w:szCs w:val="21"/>
                      <w:highlight w:val="none"/>
                    </w:rPr>
                  </w:pPr>
                  <w:r>
                    <w:rPr>
                      <w:rFonts w:hint="eastAsia"/>
                      <w:color w:val="000000"/>
                      <w:szCs w:val="21"/>
                      <w:highlight w:val="none"/>
                    </w:rPr>
                    <w:t>法律、法规、国务院决定等明确设立且与市场准入相关的禁止性规定</w:t>
                  </w:r>
                </w:p>
              </w:tc>
              <w:tc>
                <w:tcPr>
                  <w:tcW w:w="917" w:type="dxa"/>
                  <w:vAlign w:val="center"/>
                </w:tcPr>
                <w:p w14:paraId="2BA199CB">
                  <w:pPr>
                    <w:jc w:val="center"/>
                    <w:rPr>
                      <w:color w:val="000000"/>
                      <w:szCs w:val="21"/>
                      <w:highlight w:val="none"/>
                    </w:rPr>
                  </w:pPr>
                  <w:r>
                    <w:rPr>
                      <w:color w:val="000000"/>
                      <w:szCs w:val="21"/>
                      <w:highlight w:val="none"/>
                    </w:rPr>
                    <w:t>100001</w:t>
                  </w:r>
                </w:p>
              </w:tc>
              <w:tc>
                <w:tcPr>
                  <w:tcW w:w="2344" w:type="dxa"/>
                  <w:vAlign w:val="center"/>
                </w:tcPr>
                <w:p w14:paraId="7195C6BA">
                  <w:pPr>
                    <w:jc w:val="center"/>
                    <w:rPr>
                      <w:color w:val="000000"/>
                      <w:szCs w:val="21"/>
                      <w:highlight w:val="none"/>
                    </w:rPr>
                  </w:pPr>
                  <w:r>
                    <w:rPr>
                      <w:color w:val="000000"/>
                      <w:szCs w:val="21"/>
                      <w:highlight w:val="none"/>
                    </w:rPr>
                    <w:t>法律、法规、国务院决定等明确设立，且与市场准入相关的禁止性规定（见附件）</w:t>
                  </w:r>
                </w:p>
              </w:tc>
              <w:tc>
                <w:tcPr>
                  <w:tcW w:w="2682" w:type="dxa"/>
                  <w:vAlign w:val="center"/>
                </w:tcPr>
                <w:p w14:paraId="19F5C070">
                  <w:pPr>
                    <w:jc w:val="center"/>
                    <w:rPr>
                      <w:color w:val="000000"/>
                      <w:szCs w:val="21"/>
                      <w:highlight w:val="none"/>
                    </w:rPr>
                  </w:pPr>
                  <w:r>
                    <w:rPr>
                      <w:rFonts w:hint="eastAsia"/>
                      <w:color w:val="000000"/>
                      <w:szCs w:val="21"/>
                      <w:highlight w:val="none"/>
                    </w:rPr>
                    <w:t>对照《国民经济行业分类》（G</w:t>
                  </w:r>
                  <w:r>
                    <w:rPr>
                      <w:color w:val="000000"/>
                      <w:szCs w:val="21"/>
                      <w:highlight w:val="none"/>
                    </w:rPr>
                    <w:t>B/T4754-2017</w:t>
                  </w:r>
                  <w:r>
                    <w:rPr>
                      <w:rFonts w:hint="eastAsia"/>
                      <w:color w:val="000000"/>
                      <w:szCs w:val="21"/>
                      <w:highlight w:val="none"/>
                    </w:rPr>
                    <w:t>），项目的行业类别属于：</w:t>
                  </w:r>
                  <w:r>
                    <w:rPr>
                      <w:rFonts w:hint="eastAsia"/>
                      <w:color w:val="000000"/>
                      <w:szCs w:val="21"/>
                      <w:highlight w:val="none"/>
                      <w:lang w:val="en-US" w:eastAsia="zh-CN"/>
                    </w:rPr>
                    <w:t>D4330热力生产和供应</w:t>
                  </w:r>
                  <w:r>
                    <w:rPr>
                      <w:rFonts w:hint="eastAsia"/>
                      <w:color w:val="000000"/>
                      <w:szCs w:val="21"/>
                      <w:highlight w:val="none"/>
                    </w:rPr>
                    <w:t>，经查阅与市场准入相关的禁止性规定，项目不属于禁止类。</w:t>
                  </w:r>
                </w:p>
              </w:tc>
            </w:tr>
            <w:tr w14:paraId="058E2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14:paraId="68858AAA">
                  <w:pPr>
                    <w:jc w:val="center"/>
                    <w:rPr>
                      <w:color w:val="000000"/>
                      <w:szCs w:val="21"/>
                      <w:highlight w:val="none"/>
                    </w:rPr>
                  </w:pPr>
                  <w:r>
                    <w:rPr>
                      <w:rFonts w:hint="eastAsia"/>
                      <w:color w:val="000000"/>
                      <w:szCs w:val="21"/>
                      <w:highlight w:val="none"/>
                    </w:rPr>
                    <w:t>2</w:t>
                  </w:r>
                </w:p>
              </w:tc>
              <w:tc>
                <w:tcPr>
                  <w:tcW w:w="1464" w:type="dxa"/>
                  <w:vAlign w:val="center"/>
                </w:tcPr>
                <w:p w14:paraId="66259643">
                  <w:pPr>
                    <w:jc w:val="center"/>
                    <w:rPr>
                      <w:color w:val="000000"/>
                      <w:szCs w:val="21"/>
                      <w:highlight w:val="none"/>
                    </w:rPr>
                  </w:pPr>
                  <w:r>
                    <w:rPr>
                      <w:color w:val="000000"/>
                      <w:szCs w:val="21"/>
                      <w:highlight w:val="none"/>
                    </w:rPr>
                    <w:t>国家产业政策明令淘汰和限制的产品、技术、工艺、设备及行为</w:t>
                  </w:r>
                </w:p>
              </w:tc>
              <w:tc>
                <w:tcPr>
                  <w:tcW w:w="917" w:type="dxa"/>
                  <w:vAlign w:val="center"/>
                </w:tcPr>
                <w:p w14:paraId="4B0287DE">
                  <w:pPr>
                    <w:jc w:val="center"/>
                    <w:rPr>
                      <w:color w:val="000000"/>
                      <w:szCs w:val="21"/>
                      <w:highlight w:val="none"/>
                    </w:rPr>
                  </w:pPr>
                  <w:r>
                    <w:rPr>
                      <w:color w:val="000000"/>
                      <w:szCs w:val="21"/>
                      <w:highlight w:val="none"/>
                    </w:rPr>
                    <w:t>100002</w:t>
                  </w:r>
                </w:p>
              </w:tc>
              <w:tc>
                <w:tcPr>
                  <w:tcW w:w="2344" w:type="dxa"/>
                  <w:vAlign w:val="center"/>
                </w:tcPr>
                <w:p w14:paraId="3B232F55">
                  <w:pPr>
                    <w:jc w:val="center"/>
                    <w:rPr>
                      <w:color w:val="000000"/>
                      <w:szCs w:val="21"/>
                      <w:highlight w:val="none"/>
                    </w:rPr>
                  </w:pPr>
                  <w:r>
                    <w:rPr>
                      <w:color w:val="000000"/>
                      <w:szCs w:val="21"/>
                      <w:highlight w:val="none"/>
                    </w:rPr>
                    <w:t>《产业结构调整指导目录》中的淘汰类项目，禁止投资；限制类项目，禁止新建禁止投资建设《汽车产业投资管理规定》所列的汽车投资禁止类事项</w:t>
                  </w:r>
                </w:p>
              </w:tc>
              <w:tc>
                <w:tcPr>
                  <w:tcW w:w="2682" w:type="dxa"/>
                  <w:vAlign w:val="center"/>
                </w:tcPr>
                <w:p w14:paraId="38C8AC7E">
                  <w:pPr>
                    <w:jc w:val="center"/>
                    <w:rPr>
                      <w:color w:val="000000"/>
                      <w:szCs w:val="21"/>
                      <w:highlight w:val="none"/>
                    </w:rPr>
                  </w:pPr>
                  <w:r>
                    <w:rPr>
                      <w:szCs w:val="21"/>
                      <w:highlight w:val="none"/>
                    </w:rPr>
                    <w:t>项目属于《产业结构调整指导目录</w:t>
                  </w:r>
                  <w:r>
                    <w:rPr>
                      <w:rFonts w:hint="eastAsia"/>
                      <w:szCs w:val="21"/>
                      <w:highlight w:val="none"/>
                    </w:rPr>
                    <w:t>（2024年本）</w:t>
                  </w:r>
                  <w:r>
                    <w:rPr>
                      <w:szCs w:val="21"/>
                      <w:highlight w:val="none"/>
                    </w:rPr>
                    <w:t>》中</w:t>
                  </w:r>
                  <w:r>
                    <w:rPr>
                      <w:rFonts w:hint="eastAsia"/>
                      <w:szCs w:val="21"/>
                      <w:highlight w:val="none"/>
                    </w:rPr>
                    <w:t>的允许类</w:t>
                  </w:r>
                  <w:r>
                    <w:rPr>
                      <w:szCs w:val="21"/>
                      <w:highlight w:val="none"/>
                    </w:rPr>
                    <w:t>项目，</w:t>
                  </w:r>
                  <w:r>
                    <w:rPr>
                      <w:rFonts w:hint="eastAsia"/>
                      <w:szCs w:val="21"/>
                      <w:highlight w:val="none"/>
                    </w:rPr>
                    <w:t>并且</w:t>
                  </w:r>
                  <w:r>
                    <w:rPr>
                      <w:szCs w:val="21"/>
                      <w:highlight w:val="none"/>
                    </w:rPr>
                    <w:t>已取得</w:t>
                  </w:r>
                  <w:r>
                    <w:rPr>
                      <w:rFonts w:hint="eastAsia"/>
                      <w:szCs w:val="21"/>
                      <w:highlight w:val="none"/>
                      <w:lang w:val="en-US" w:eastAsia="zh-CN"/>
                    </w:rPr>
                    <w:t>围场满族蒙古族</w:t>
                  </w:r>
                  <w:r>
                    <w:rPr>
                      <w:szCs w:val="21"/>
                      <w:highlight w:val="none"/>
                    </w:rPr>
                    <w:t>数据和政务服务局出具的备案文件（</w:t>
                  </w:r>
                  <w:r>
                    <w:rPr>
                      <w:rFonts w:hint="eastAsia"/>
                      <w:szCs w:val="21"/>
                      <w:highlight w:val="none"/>
                      <w:lang w:val="en-US" w:eastAsia="zh-CN"/>
                    </w:rPr>
                    <w:t>围</w:t>
                  </w:r>
                  <w:r>
                    <w:rPr>
                      <w:szCs w:val="21"/>
                      <w:highlight w:val="none"/>
                    </w:rPr>
                    <w:t>数政备变字</w:t>
                  </w:r>
                  <w:r>
                    <w:rPr>
                      <w:rFonts w:hint="eastAsia"/>
                      <w:szCs w:val="21"/>
                      <w:highlight w:val="none"/>
                    </w:rPr>
                    <w:t>〔</w:t>
                  </w:r>
                  <w:r>
                    <w:rPr>
                      <w:rFonts w:hint="eastAsia"/>
                      <w:szCs w:val="21"/>
                      <w:highlight w:val="none"/>
                      <w:lang w:val="en-US" w:eastAsia="zh-CN"/>
                    </w:rPr>
                    <w:t>2024</w:t>
                  </w:r>
                  <w:r>
                    <w:rPr>
                      <w:rFonts w:hint="eastAsia"/>
                      <w:szCs w:val="21"/>
                      <w:highlight w:val="none"/>
                    </w:rPr>
                    <w:t>〕</w:t>
                  </w:r>
                  <w:r>
                    <w:rPr>
                      <w:rFonts w:hint="eastAsia"/>
                      <w:szCs w:val="21"/>
                      <w:highlight w:val="none"/>
                      <w:lang w:val="en-US" w:eastAsia="zh-CN"/>
                    </w:rPr>
                    <w:t>50</w:t>
                  </w:r>
                  <w:r>
                    <w:rPr>
                      <w:rFonts w:hint="eastAsia"/>
                      <w:szCs w:val="21"/>
                      <w:highlight w:val="none"/>
                    </w:rPr>
                    <w:t>号</w:t>
                  </w:r>
                  <w:r>
                    <w:rPr>
                      <w:szCs w:val="21"/>
                      <w:highlight w:val="none"/>
                    </w:rPr>
                    <w:t>），符合产业政策要求。</w:t>
                  </w:r>
                </w:p>
              </w:tc>
            </w:tr>
            <w:tr w14:paraId="05498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14:paraId="38DC1788">
                  <w:pPr>
                    <w:jc w:val="center"/>
                    <w:rPr>
                      <w:color w:val="000000"/>
                      <w:szCs w:val="21"/>
                      <w:highlight w:val="none"/>
                    </w:rPr>
                  </w:pPr>
                  <w:r>
                    <w:rPr>
                      <w:color w:val="000000"/>
                      <w:szCs w:val="21"/>
                      <w:highlight w:val="none"/>
                    </w:rPr>
                    <w:t>3</w:t>
                  </w:r>
                </w:p>
              </w:tc>
              <w:tc>
                <w:tcPr>
                  <w:tcW w:w="1464" w:type="dxa"/>
                  <w:vAlign w:val="center"/>
                </w:tcPr>
                <w:p w14:paraId="6E7F8C6D">
                  <w:pPr>
                    <w:jc w:val="center"/>
                    <w:rPr>
                      <w:color w:val="000000"/>
                      <w:szCs w:val="21"/>
                      <w:highlight w:val="none"/>
                    </w:rPr>
                  </w:pPr>
                  <w:r>
                    <w:rPr>
                      <w:color w:val="000000"/>
                      <w:szCs w:val="21"/>
                      <w:highlight w:val="none"/>
                    </w:rPr>
                    <w:t>不符合主体功能区建设要求的各类开发活动</w:t>
                  </w:r>
                </w:p>
              </w:tc>
              <w:tc>
                <w:tcPr>
                  <w:tcW w:w="917" w:type="dxa"/>
                  <w:vAlign w:val="center"/>
                </w:tcPr>
                <w:p w14:paraId="2E3B3180">
                  <w:pPr>
                    <w:jc w:val="center"/>
                    <w:rPr>
                      <w:color w:val="000000"/>
                      <w:szCs w:val="21"/>
                      <w:highlight w:val="none"/>
                    </w:rPr>
                  </w:pPr>
                  <w:r>
                    <w:rPr>
                      <w:color w:val="000000"/>
                      <w:szCs w:val="21"/>
                      <w:highlight w:val="none"/>
                    </w:rPr>
                    <w:t>100003</w:t>
                  </w:r>
                </w:p>
              </w:tc>
              <w:tc>
                <w:tcPr>
                  <w:tcW w:w="2344" w:type="dxa"/>
                  <w:vAlign w:val="center"/>
                </w:tcPr>
                <w:p w14:paraId="2FE6D7BD">
                  <w:pPr>
                    <w:jc w:val="center"/>
                    <w:rPr>
                      <w:color w:val="000000"/>
                      <w:szCs w:val="21"/>
                      <w:highlight w:val="none"/>
                    </w:rPr>
                  </w:pPr>
                  <w:r>
                    <w:rPr>
                      <w:color w:val="000000"/>
                      <w:szCs w:val="21"/>
                      <w:highlight w:val="none"/>
                    </w:rPr>
                    <w:t>地方国家重点生态功能区产业准入负面清单（或禁止限制目录）、农产品主产区产业准入负面清单（或禁止限制目录）所列有关事项</w:t>
                  </w:r>
                </w:p>
              </w:tc>
              <w:tc>
                <w:tcPr>
                  <w:tcW w:w="2682" w:type="dxa"/>
                  <w:vAlign w:val="center"/>
                </w:tcPr>
                <w:p w14:paraId="45EF3824">
                  <w:pPr>
                    <w:jc w:val="center"/>
                    <w:rPr>
                      <w:color w:val="000000"/>
                      <w:szCs w:val="21"/>
                      <w:highlight w:val="none"/>
                    </w:rPr>
                  </w:pPr>
                  <w:r>
                    <w:rPr>
                      <w:rFonts w:hint="eastAsia"/>
                      <w:color w:val="000000"/>
                      <w:szCs w:val="21"/>
                      <w:highlight w:val="none"/>
                    </w:rPr>
                    <w:t>项目建设符合承德市人民政府关于发布《承德市生态环境分区管控准入清单（2023年版）》的通知，符合主体功能区建设要求。</w:t>
                  </w:r>
                </w:p>
              </w:tc>
            </w:tr>
          </w:tbl>
          <w:p w14:paraId="53A955C8">
            <w:pPr>
              <w:spacing w:before="120" w:beforeLines="50" w:line="360" w:lineRule="auto"/>
              <w:ind w:firstLine="482"/>
              <w:rPr>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w:t>
            </w:r>
            <w:r>
              <w:rPr>
                <w:bCs/>
                <w:color w:val="000000" w:themeColor="text1"/>
                <w:sz w:val="24"/>
                <w:highlight w:val="none"/>
                <w14:textFill>
                  <w14:solidFill>
                    <w14:schemeClr w14:val="tx1"/>
                  </w14:solidFill>
                </w14:textFill>
              </w:rPr>
              <w:t>2</w:t>
            </w:r>
            <w:r>
              <w:rPr>
                <w:rFonts w:hint="eastAsia"/>
                <w:bCs/>
                <w:color w:val="000000" w:themeColor="text1"/>
                <w:sz w:val="24"/>
                <w:highlight w:val="none"/>
                <w14:textFill>
                  <w14:solidFill>
                    <w14:schemeClr w14:val="tx1"/>
                  </w14:solidFill>
                </w14:textFill>
              </w:rPr>
              <w:t>）许可准入负面清单符合性分析</w:t>
            </w:r>
          </w:p>
          <w:p w14:paraId="1B32434A">
            <w:pPr>
              <w:spacing w:line="360" w:lineRule="auto"/>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经查阅《市场准入负面清单（2022年版）》中许可准入负面清单可知，共有21大类许可准入类项目，项目</w:t>
            </w:r>
            <w:r>
              <w:rPr>
                <w:rFonts w:hint="eastAsia"/>
                <w:color w:val="000000" w:themeColor="text1"/>
                <w:sz w:val="24"/>
                <w:highlight w:val="none"/>
                <w14:textFill>
                  <w14:solidFill>
                    <w14:schemeClr w14:val="tx1"/>
                  </w14:solidFill>
                </w14:textFill>
              </w:rPr>
              <w:t>的</w:t>
            </w:r>
            <w:r>
              <w:rPr>
                <w:color w:val="000000" w:themeColor="text1"/>
                <w:sz w:val="24"/>
                <w:highlight w:val="none"/>
                <w14:textFill>
                  <w14:solidFill>
                    <w14:schemeClr w14:val="tx1"/>
                  </w14:solidFill>
                </w14:textFill>
              </w:rPr>
              <w:t>行业</w:t>
            </w:r>
            <w:r>
              <w:rPr>
                <w:rFonts w:hint="eastAsia"/>
                <w:color w:val="000000" w:themeColor="text1"/>
                <w:sz w:val="24"/>
                <w:highlight w:val="none"/>
                <w14:textFill>
                  <w14:solidFill>
                    <w14:schemeClr w14:val="tx1"/>
                  </w14:solidFill>
                </w14:textFill>
              </w:rPr>
              <w:t>类别</w:t>
            </w:r>
            <w:r>
              <w:rPr>
                <w:color w:val="000000" w:themeColor="text1"/>
                <w:sz w:val="24"/>
                <w:highlight w:val="none"/>
                <w14:textFill>
                  <w14:solidFill>
                    <w14:schemeClr w14:val="tx1"/>
                  </w14:solidFill>
                </w14:textFill>
              </w:rPr>
              <w:t>属</w:t>
            </w:r>
            <w:r>
              <w:rPr>
                <w:rFonts w:hint="eastAsia"/>
                <w:color w:val="000000" w:themeColor="text1"/>
                <w:sz w:val="24"/>
                <w:highlight w:val="none"/>
                <w14:textFill>
                  <w14:solidFill>
                    <w14:schemeClr w14:val="tx1"/>
                  </w14:solidFill>
                </w14:textFill>
              </w:rPr>
              <w:t>于：D4330热力生产和供应</w:t>
            </w:r>
            <w:r>
              <w:rPr>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不</w:t>
            </w:r>
            <w:r>
              <w:rPr>
                <w:color w:val="000000" w:themeColor="text1"/>
                <w:sz w:val="24"/>
                <w:highlight w:val="none"/>
                <w14:textFill>
                  <w14:solidFill>
                    <w14:schemeClr w14:val="tx1"/>
                  </w14:solidFill>
                </w14:textFill>
              </w:rPr>
              <w:t>在21大类许可准入类项目之中，</w:t>
            </w:r>
            <w:r>
              <w:rPr>
                <w:rFonts w:hint="eastAsia"/>
                <w:color w:val="000000" w:themeColor="text1"/>
                <w:sz w:val="24"/>
                <w:highlight w:val="none"/>
                <w:lang w:val="en-US" w:eastAsia="zh-CN"/>
                <w14:textFill>
                  <w14:solidFill>
                    <w14:schemeClr w14:val="tx1"/>
                  </w14:solidFill>
                </w14:textFill>
              </w:rPr>
              <w:t>不</w:t>
            </w:r>
            <w:r>
              <w:rPr>
                <w:color w:val="000000" w:themeColor="text1"/>
                <w:sz w:val="24"/>
                <w:highlight w:val="none"/>
                <w14:textFill>
                  <w14:solidFill>
                    <w14:schemeClr w14:val="tx1"/>
                  </w14:solidFill>
                </w14:textFill>
              </w:rPr>
              <w:t>属于许可准入类项目。</w:t>
            </w:r>
          </w:p>
          <w:p w14:paraId="7A0EA4D8">
            <w:pPr>
              <w:spacing w:line="360" w:lineRule="auto"/>
              <w:ind w:firstLine="48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项目所属行业类别为“</w:t>
            </w:r>
            <w:r>
              <w:rPr>
                <w:rFonts w:hint="eastAsia"/>
                <w:color w:val="000000" w:themeColor="text1"/>
                <w:sz w:val="24"/>
                <w:highlight w:val="none"/>
                <w:lang w:val="en-US" w:eastAsia="zh-CN"/>
                <w14:textFill>
                  <w14:solidFill>
                    <w14:schemeClr w14:val="tx1"/>
                  </w14:solidFill>
                </w14:textFill>
              </w:rPr>
              <w:t>热力生产和供应</w:t>
            </w:r>
            <w:r>
              <w:rPr>
                <w:rFonts w:hint="eastAsia"/>
                <w:color w:val="000000" w:themeColor="text1"/>
                <w:sz w:val="24"/>
                <w:highlight w:val="none"/>
                <w14:textFill>
                  <w14:solidFill>
                    <w14:schemeClr w14:val="tx1"/>
                  </w14:solidFill>
                </w14:textFill>
              </w:rPr>
              <w:t>”，对照《产业结构调整指导目录（2024年本）》，项目不属于其规定的“鼓励类”、“限制类”和“淘汰类”项目</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因此，项目属于“允许类”项目；同时，项目已于2</w:t>
            </w:r>
            <w:r>
              <w:rPr>
                <w:color w:val="000000" w:themeColor="text1"/>
                <w:sz w:val="24"/>
                <w:highlight w:val="none"/>
                <w14:textFill>
                  <w14:solidFill>
                    <w14:schemeClr w14:val="tx1"/>
                  </w14:solidFill>
                </w14:textFill>
              </w:rPr>
              <w:t>024</w:t>
            </w:r>
            <w:r>
              <w:rPr>
                <w:rFonts w:hint="eastAsia"/>
                <w:color w:val="000000" w:themeColor="text1"/>
                <w:sz w:val="24"/>
                <w:highlight w:val="none"/>
                <w14:textFill>
                  <w14:solidFill>
                    <w14:schemeClr w14:val="tx1"/>
                  </w14:solidFill>
                </w14:textFill>
              </w:rPr>
              <w:t>年</w:t>
            </w:r>
            <w:r>
              <w:rPr>
                <w:color w:val="000000" w:themeColor="text1"/>
                <w:sz w:val="24"/>
                <w:highlight w:val="none"/>
                <w14:textFill>
                  <w14:solidFill>
                    <w14:schemeClr w14:val="tx1"/>
                  </w14:solidFill>
                </w14:textFill>
              </w:rPr>
              <w:t>9</w:t>
            </w:r>
            <w:r>
              <w:rPr>
                <w:rFonts w:hint="eastAsia"/>
                <w:color w:val="000000" w:themeColor="text1"/>
                <w:sz w:val="24"/>
                <w:highlight w:val="none"/>
                <w14:textFill>
                  <w14:solidFill>
                    <w14:schemeClr w14:val="tx1"/>
                  </w14:solidFill>
                </w14:textFill>
              </w:rPr>
              <w:t>月</w:t>
            </w:r>
            <w:r>
              <w:rPr>
                <w:rFonts w:hint="eastAsia"/>
                <w:color w:val="000000" w:themeColor="text1"/>
                <w:sz w:val="24"/>
                <w:highlight w:val="none"/>
                <w:lang w:val="en-US" w:eastAsia="zh-CN"/>
                <w14:textFill>
                  <w14:solidFill>
                    <w14:schemeClr w14:val="tx1"/>
                  </w14:solidFill>
                </w14:textFill>
              </w:rPr>
              <w:t>30</w:t>
            </w:r>
            <w:r>
              <w:rPr>
                <w:rFonts w:hint="eastAsia"/>
                <w:color w:val="000000" w:themeColor="text1"/>
                <w:sz w:val="24"/>
                <w:highlight w:val="none"/>
                <w14:textFill>
                  <w14:solidFill>
                    <w14:schemeClr w14:val="tx1"/>
                  </w14:solidFill>
                </w14:textFill>
              </w:rPr>
              <w:t>日取得了</w:t>
            </w:r>
            <w:r>
              <w:rPr>
                <w:rFonts w:hint="eastAsia"/>
                <w:color w:val="000000" w:themeColor="text1"/>
                <w:sz w:val="24"/>
                <w:highlight w:val="none"/>
                <w:lang w:val="en-US" w:eastAsia="zh-CN"/>
                <w14:textFill>
                  <w14:solidFill>
                    <w14:schemeClr w14:val="tx1"/>
                  </w14:solidFill>
                </w14:textFill>
              </w:rPr>
              <w:t>围场满族蒙古族</w:t>
            </w:r>
            <w:r>
              <w:rPr>
                <w:rFonts w:hint="eastAsia"/>
                <w:color w:val="000000" w:themeColor="text1"/>
                <w:sz w:val="24"/>
                <w:highlight w:val="none"/>
                <w14:textFill>
                  <w14:solidFill>
                    <w14:schemeClr w14:val="tx1"/>
                  </w14:solidFill>
                </w14:textFill>
              </w:rPr>
              <w:t>数据和政务服务局出具的《企业</w:t>
            </w:r>
            <w:r>
              <w:rPr>
                <w:color w:val="000000" w:themeColor="text1"/>
                <w:sz w:val="24"/>
                <w:highlight w:val="none"/>
                <w14:textFill>
                  <w14:solidFill>
                    <w14:schemeClr w14:val="tx1"/>
                  </w14:solidFill>
                </w14:textFill>
              </w:rPr>
              <w:t>投资</w:t>
            </w:r>
            <w:r>
              <w:rPr>
                <w:rFonts w:hint="eastAsia"/>
                <w:color w:val="000000" w:themeColor="text1"/>
                <w:sz w:val="24"/>
                <w:highlight w:val="none"/>
                <w14:textFill>
                  <w14:solidFill>
                    <w14:schemeClr w14:val="tx1"/>
                  </w14:solidFill>
                </w14:textFill>
              </w:rPr>
              <w:t>项目</w:t>
            </w:r>
            <w:r>
              <w:rPr>
                <w:color w:val="000000" w:themeColor="text1"/>
                <w:sz w:val="24"/>
                <w:highlight w:val="none"/>
                <w14:textFill>
                  <w14:solidFill>
                    <w14:schemeClr w14:val="tx1"/>
                  </w14:solidFill>
                </w14:textFill>
              </w:rPr>
              <w:t>备案信息</w:t>
            </w:r>
            <w:r>
              <w:rPr>
                <w:rFonts w:hint="eastAsia"/>
                <w:color w:val="000000" w:themeColor="text1"/>
                <w:sz w:val="24"/>
                <w:highlight w:val="none"/>
                <w14:textFill>
                  <w14:solidFill>
                    <w14:schemeClr w14:val="tx1"/>
                  </w14:solidFill>
                </w14:textFill>
              </w:rPr>
              <w:t>》，备案编号：</w:t>
            </w:r>
            <w:r>
              <w:rPr>
                <w:rFonts w:hint="eastAsia"/>
                <w:color w:val="000000" w:themeColor="text1"/>
                <w:sz w:val="24"/>
                <w:highlight w:val="none"/>
                <w:lang w:val="en-US" w:eastAsia="zh-CN"/>
                <w14:textFill>
                  <w14:solidFill>
                    <w14:schemeClr w14:val="tx1"/>
                  </w14:solidFill>
                </w14:textFill>
              </w:rPr>
              <w:t>围</w:t>
            </w:r>
            <w:r>
              <w:rPr>
                <w:rFonts w:hint="eastAsia"/>
                <w:color w:val="000000" w:themeColor="text1"/>
                <w:sz w:val="24"/>
                <w:highlight w:val="none"/>
                <w14:textFill>
                  <w14:solidFill>
                    <w14:schemeClr w14:val="tx1"/>
                  </w14:solidFill>
                </w14:textFill>
              </w:rPr>
              <w:t>数政备变字〔</w:t>
            </w:r>
            <w:r>
              <w:rPr>
                <w:rFonts w:hint="eastAsia"/>
                <w:color w:val="000000" w:themeColor="text1"/>
                <w:sz w:val="24"/>
                <w:highlight w:val="none"/>
                <w:lang w:val="en-US" w:eastAsia="zh-CN"/>
                <w14:textFill>
                  <w14:solidFill>
                    <w14:schemeClr w14:val="tx1"/>
                  </w14:solidFill>
                </w14:textFill>
              </w:rPr>
              <w:t>2024</w:t>
            </w:r>
            <w:r>
              <w:rPr>
                <w:rFonts w:hint="eastAsia"/>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50</w:t>
            </w:r>
            <w:r>
              <w:rPr>
                <w:rFonts w:hint="eastAsia"/>
                <w:color w:val="000000" w:themeColor="text1"/>
                <w:sz w:val="24"/>
                <w:highlight w:val="none"/>
                <w14:textFill>
                  <w14:solidFill>
                    <w14:schemeClr w14:val="tx1"/>
                  </w14:solidFill>
                </w14:textFill>
              </w:rPr>
              <w:t>号，项目符合国家有关法律、法规和政策的规定。</w:t>
            </w:r>
          </w:p>
          <w:p w14:paraId="1C7D91C1">
            <w:pPr>
              <w:spacing w:line="360" w:lineRule="auto"/>
              <w:ind w:firstLine="48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（3）符合性分析结论</w:t>
            </w:r>
          </w:p>
          <w:p w14:paraId="724C2900">
            <w:pPr>
              <w:spacing w:line="360" w:lineRule="auto"/>
              <w:ind w:firstLine="48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综上所述，项目不属于《市场准入负面清单（2022年版）》禁止准入类</w:t>
            </w:r>
            <w:r>
              <w:rPr>
                <w:rFonts w:hint="eastAsia"/>
                <w:color w:val="000000" w:themeColor="text1"/>
                <w:sz w:val="24"/>
                <w:highlight w:val="none"/>
                <w:lang w:val="en-US" w:eastAsia="zh-CN"/>
                <w14:textFill>
                  <w14:solidFill>
                    <w14:schemeClr w14:val="tx1"/>
                  </w14:solidFill>
                </w14:textFill>
              </w:rPr>
              <w:t>和</w:t>
            </w:r>
            <w:r>
              <w:rPr>
                <w:color w:val="000000" w:themeColor="text1"/>
                <w:sz w:val="24"/>
                <w:highlight w:val="none"/>
                <w14:textFill>
                  <w14:solidFill>
                    <w14:schemeClr w14:val="tx1"/>
                  </w14:solidFill>
                </w14:textFill>
              </w:rPr>
              <w:t>许可准入类项目。</w:t>
            </w:r>
          </w:p>
          <w:p w14:paraId="52AF0A77">
            <w:pPr>
              <w:spacing w:line="360" w:lineRule="auto"/>
              <w:ind w:firstLine="482" w:firstLineChars="200"/>
              <w:rPr>
                <w:rFonts w:hint="default" w:eastAsia="宋体"/>
                <w:b/>
                <w:sz w:val="24"/>
                <w:highlight w:val="none"/>
                <w:lang w:val="en-US" w:eastAsia="zh-CN"/>
              </w:rPr>
            </w:pPr>
            <w:r>
              <w:rPr>
                <w:rFonts w:hint="eastAsia"/>
                <w:b/>
                <w:sz w:val="24"/>
                <w:highlight w:val="none"/>
                <w:lang w:val="en-US" w:eastAsia="zh-CN"/>
              </w:rPr>
              <w:t>2</w:t>
            </w:r>
            <w:r>
              <w:rPr>
                <w:b/>
                <w:sz w:val="24"/>
                <w:highlight w:val="none"/>
              </w:rPr>
              <w:t>．</w:t>
            </w:r>
            <w:r>
              <w:rPr>
                <w:rFonts w:hint="eastAsia"/>
                <w:b/>
                <w:sz w:val="24"/>
                <w:highlight w:val="none"/>
                <w:lang w:eastAsia="zh-CN"/>
              </w:rPr>
              <w:t>“</w:t>
            </w:r>
            <w:r>
              <w:rPr>
                <w:rFonts w:hint="eastAsia"/>
                <w:b/>
                <w:sz w:val="24"/>
                <w:highlight w:val="none"/>
                <w:lang w:val="en-US" w:eastAsia="zh-CN"/>
              </w:rPr>
              <w:t>三线一单</w:t>
            </w:r>
            <w:r>
              <w:rPr>
                <w:rFonts w:hint="eastAsia"/>
                <w:b/>
                <w:sz w:val="24"/>
                <w:highlight w:val="none"/>
                <w:lang w:eastAsia="zh-CN"/>
              </w:rPr>
              <w:t>”</w:t>
            </w:r>
            <w:r>
              <w:rPr>
                <w:rFonts w:hint="eastAsia"/>
                <w:b/>
                <w:sz w:val="24"/>
                <w:highlight w:val="none"/>
                <w:lang w:val="en-US" w:eastAsia="zh-CN"/>
              </w:rPr>
              <w:t>符合性分析</w:t>
            </w:r>
          </w:p>
          <w:p w14:paraId="1C757379">
            <w:pPr>
              <w:spacing w:line="360" w:lineRule="auto"/>
              <w:ind w:firstLine="480" w:firstLineChars="200"/>
              <w:rPr>
                <w:b/>
                <w:sz w:val="24"/>
                <w:highlight w:val="none"/>
              </w:rPr>
            </w:pPr>
            <w:r>
              <w:rPr>
                <w:rFonts w:hint="eastAsia"/>
                <w:b w:val="0"/>
                <w:bCs/>
                <w:sz w:val="24"/>
                <w:highlight w:val="none"/>
                <w:lang w:eastAsia="zh-CN"/>
              </w:rPr>
              <w:t>（</w:t>
            </w:r>
            <w:r>
              <w:rPr>
                <w:rFonts w:hint="eastAsia"/>
                <w:b w:val="0"/>
                <w:bCs/>
                <w:sz w:val="24"/>
                <w:highlight w:val="none"/>
                <w:lang w:val="en-US" w:eastAsia="zh-CN"/>
              </w:rPr>
              <w:t>1</w:t>
            </w:r>
            <w:r>
              <w:rPr>
                <w:rFonts w:hint="eastAsia"/>
                <w:b w:val="0"/>
                <w:bCs/>
                <w:sz w:val="24"/>
                <w:highlight w:val="none"/>
                <w:lang w:eastAsia="zh-CN"/>
              </w:rPr>
              <w:t>）</w:t>
            </w:r>
            <w:r>
              <w:rPr>
                <w:rFonts w:hint="eastAsia"/>
                <w:b w:val="0"/>
                <w:bCs/>
                <w:sz w:val="24"/>
                <w:highlight w:val="none"/>
              </w:rPr>
              <w:t>项目与《关于以改善环境质量为核心加强环境影响评价管理的通知》（环境保护部文件：环环评[2016]150号）符合性分析</w:t>
            </w:r>
          </w:p>
          <w:p w14:paraId="164C0FD5">
            <w:pPr>
              <w:spacing w:line="360" w:lineRule="auto"/>
              <w:ind w:firstLine="48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根据《关于以改善环境质量为核心加强环境影响评价管理的通知》（环境保护部文件：环环评〔2016〕150号）进行项目“三线一单”符合性分析，简述如下：</w:t>
            </w:r>
          </w:p>
          <w:p w14:paraId="0A10137B">
            <w:pPr>
              <w:pStyle w:val="50"/>
              <w:numPr>
                <w:ilvl w:val="0"/>
                <w:numId w:val="4"/>
              </w:numPr>
              <w:spacing w:line="360" w:lineRule="auto"/>
              <w:ind w:firstLineChars="0"/>
              <w:jc w:val="center"/>
              <w:rPr>
                <w:rFonts w:ascii="Times New Roman" w:hAnsi="Times New Roman" w:eastAsia="宋体"/>
                <w:b/>
                <w:sz w:val="21"/>
                <w:szCs w:val="21"/>
                <w:highlight w:val="none"/>
              </w:rPr>
            </w:pPr>
            <w:r>
              <w:rPr>
                <w:rFonts w:hint="eastAsia" w:ascii="Times New Roman" w:hAnsi="Times New Roman" w:eastAsia="宋体"/>
                <w:b/>
                <w:bCs/>
                <w:sz w:val="21"/>
                <w:szCs w:val="21"/>
                <w:highlight w:val="none"/>
              </w:rPr>
              <w:t>项目与《关于以改善环境质量为核心加强环境影响评价管理的通知》符合性分析情况一览表</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3903"/>
              <w:gridCol w:w="2934"/>
              <w:gridCol w:w="765"/>
            </w:tblGrid>
            <w:tr w14:paraId="06307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9" w:type="pct"/>
                  <w:vAlign w:val="center"/>
                </w:tcPr>
                <w:p w14:paraId="3D94D80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序号</w:t>
                  </w:r>
                </w:p>
              </w:tc>
              <w:tc>
                <w:tcPr>
                  <w:tcW w:w="2361" w:type="pct"/>
                  <w:vAlign w:val="center"/>
                </w:tcPr>
                <w:p w14:paraId="48AD815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分析内容</w:t>
                  </w:r>
                </w:p>
              </w:tc>
              <w:tc>
                <w:tcPr>
                  <w:tcW w:w="1775" w:type="pct"/>
                  <w:vAlign w:val="center"/>
                </w:tcPr>
                <w:p w14:paraId="3DB6762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企业情况</w:t>
                  </w:r>
                </w:p>
              </w:tc>
              <w:tc>
                <w:tcPr>
                  <w:tcW w:w="463" w:type="pct"/>
                  <w:vAlign w:val="center"/>
                </w:tcPr>
                <w:p w14:paraId="1756A27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评估结果</w:t>
                  </w:r>
                </w:p>
              </w:tc>
            </w:tr>
            <w:tr w14:paraId="4BFEE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9" w:type="pct"/>
                  <w:vAlign w:val="center"/>
                </w:tcPr>
                <w:p w14:paraId="3D388BC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生态保护红线</w:t>
                  </w:r>
                </w:p>
              </w:tc>
              <w:tc>
                <w:tcPr>
                  <w:tcW w:w="2361" w:type="pct"/>
                  <w:vAlign w:val="center"/>
                </w:tcPr>
                <w:p w14:paraId="28756F0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生态保护红线是生态空间范围内具有特殊重要生</w:t>
                  </w:r>
                  <w:r>
                    <w:rPr>
                      <w:rFonts w:hint="eastAsia" w:ascii="Times New Roman" w:hAnsi="Times New Roman" w:cs="Times New Roman"/>
                      <w:color w:val="auto"/>
                      <w:highlight w:val="none"/>
                      <w:lang w:val="en-US" w:eastAsia="zh-CN"/>
                    </w:rPr>
                    <w:t>态</w:t>
                  </w:r>
                  <w:r>
                    <w:rPr>
                      <w:rFonts w:hint="default" w:ascii="Times New Roman" w:hAnsi="Times New Roman" w:cs="Times New Roman"/>
                      <w:color w:val="auto"/>
                      <w:highlight w:val="none"/>
                    </w:rPr>
                    <w:t>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w:t>
                  </w:r>
                  <w:r>
                    <w:rPr>
                      <w:rFonts w:hint="eastAsia" w:ascii="Times New Roman" w:hAnsi="Times New Roman" w:cs="Times New Roman"/>
                      <w:color w:val="auto"/>
                      <w:highlight w:val="none"/>
                      <w:lang w:val="en-US" w:eastAsia="zh-CN"/>
                    </w:rPr>
                    <w:t>基</w:t>
                  </w:r>
                  <w:r>
                    <w:rPr>
                      <w:rFonts w:hint="default" w:ascii="Times New Roman" w:hAnsi="Times New Roman" w:cs="Times New Roman"/>
                      <w:color w:val="auto"/>
                      <w:highlight w:val="none"/>
                    </w:rPr>
                    <w:t>础设施项目外，在生态保护红线范围内，严控各类开发建设活动，依法不予审批技改工业项目和矿产开发项目的环评文件。</w:t>
                  </w:r>
                </w:p>
              </w:tc>
              <w:tc>
                <w:tcPr>
                  <w:tcW w:w="1775" w:type="pct"/>
                  <w:vAlign w:val="center"/>
                </w:tcPr>
                <w:p w14:paraId="762450D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根据承德市生态保护红线成果，本项目不在生态保护红线范围内，距离项目最近生态保护红线位于</w:t>
                  </w:r>
                  <w:r>
                    <w:rPr>
                      <w:rFonts w:hint="eastAsia" w:ascii="Times New Roman" w:hAnsi="Times New Roman" w:cs="Times New Roman"/>
                      <w:color w:val="auto"/>
                      <w:szCs w:val="21"/>
                      <w:highlight w:val="none"/>
                      <w:lang w:val="en-US" w:eastAsia="zh-CN"/>
                    </w:rPr>
                    <w:t>厂区西南方向2106m</w:t>
                  </w:r>
                  <w:r>
                    <w:rPr>
                      <w:rFonts w:hint="default" w:ascii="Times New Roman" w:hAnsi="Times New Roman" w:cs="Times New Roman"/>
                      <w:color w:val="auto"/>
                      <w:szCs w:val="21"/>
                      <w:highlight w:val="none"/>
                    </w:rPr>
                    <w:t>，关系图详见附图。</w:t>
                  </w:r>
                </w:p>
              </w:tc>
              <w:tc>
                <w:tcPr>
                  <w:tcW w:w="463" w:type="pct"/>
                  <w:vAlign w:val="center"/>
                </w:tcPr>
                <w:p w14:paraId="2533016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w:t>
                  </w:r>
                </w:p>
              </w:tc>
            </w:tr>
            <w:tr w14:paraId="2D2F8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9" w:type="pct"/>
                  <w:vAlign w:val="center"/>
                </w:tcPr>
                <w:p w14:paraId="03D8BAD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环境质量底线</w:t>
                  </w:r>
                </w:p>
              </w:tc>
              <w:tc>
                <w:tcPr>
                  <w:tcW w:w="2361" w:type="pct"/>
                  <w:vAlign w:val="center"/>
                </w:tcPr>
                <w:p w14:paraId="1C63635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tc>
              <w:tc>
                <w:tcPr>
                  <w:tcW w:w="1775" w:type="pct"/>
                  <w:vAlign w:val="center"/>
                </w:tcPr>
                <w:p w14:paraId="2E7E250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根据《关于2023年12月份全市空气质量预警监测结果的通报》（承气领办〔2024〕12号）中附件2中</w:t>
                  </w:r>
                  <w:r>
                    <w:rPr>
                      <w:rFonts w:hint="eastAsia" w:ascii="Times New Roman" w:hAnsi="Times New Roman" w:cs="Times New Roman"/>
                      <w:color w:val="auto"/>
                      <w:szCs w:val="21"/>
                      <w:highlight w:val="none"/>
                      <w:lang w:val="en-US" w:eastAsia="zh-CN"/>
                    </w:rPr>
                    <w:t>承德市</w:t>
                  </w:r>
                  <w:r>
                    <w:rPr>
                      <w:rFonts w:hint="default" w:ascii="Times New Roman" w:hAnsi="Times New Roman" w:cs="Times New Roman"/>
                      <w:color w:val="auto"/>
                      <w:szCs w:val="21"/>
                      <w:highlight w:val="none"/>
                    </w:rPr>
                    <w:t>大气常规污染物数据</w:t>
                  </w:r>
                  <w:r>
                    <w:rPr>
                      <w:rFonts w:hint="eastAsia" w:cs="Times New Roman"/>
                      <w:color w:val="auto"/>
                      <w:szCs w:val="21"/>
                      <w:highlight w:val="none"/>
                      <w:lang w:val="en-US" w:eastAsia="zh-CN"/>
                    </w:rPr>
                    <w:t>围场满族蒙古族自治县</w:t>
                  </w:r>
                  <w:r>
                    <w:rPr>
                      <w:rFonts w:hint="eastAsia" w:ascii="Times New Roman" w:hAnsi="Times New Roman" w:cs="Times New Roman"/>
                      <w:color w:val="auto"/>
                      <w:szCs w:val="21"/>
                      <w:highlight w:val="none"/>
                      <w:lang w:val="en-US" w:eastAsia="zh-CN"/>
                    </w:rPr>
                    <w:t>常规大气污染物</w:t>
                  </w:r>
                  <w:r>
                    <w:rPr>
                      <w:rFonts w:hint="eastAsia" w:cs="Times New Roman"/>
                      <w:color w:val="auto"/>
                      <w:szCs w:val="21"/>
                      <w:highlight w:val="none"/>
                      <w:lang w:val="en-US" w:eastAsia="zh-CN"/>
                    </w:rPr>
                    <w:t>均达标</w:t>
                  </w:r>
                  <w:r>
                    <w:rPr>
                      <w:rFonts w:hint="eastAsia" w:ascii="Times New Roman" w:hAnsi="Times New Roman" w:cs="Times New Roman"/>
                      <w:color w:val="auto"/>
                      <w:szCs w:val="21"/>
                      <w:highlight w:val="none"/>
                      <w:lang w:val="en-US" w:eastAsia="zh-CN"/>
                    </w:rPr>
                    <w:t>，属于达标区</w:t>
                  </w:r>
                  <w:r>
                    <w:rPr>
                      <w:rFonts w:hint="default" w:ascii="Times New Roman" w:hAnsi="Times New Roman" w:cs="Times New Roman"/>
                      <w:color w:val="auto"/>
                      <w:szCs w:val="21"/>
                      <w:highlight w:val="none"/>
                    </w:rPr>
                    <w:t>。</w:t>
                  </w:r>
                  <w:r>
                    <w:rPr>
                      <w:rFonts w:hint="eastAsia" w:cs="Times New Roman"/>
                      <w:color w:val="auto"/>
                      <w:szCs w:val="21"/>
                      <w:highlight w:val="none"/>
                      <w:lang w:val="en-US" w:eastAsia="zh-CN"/>
                    </w:rPr>
                    <w:t>项目运营期主要产生废气为颗粒物、二氧化硫、氮氧化物；</w:t>
                  </w:r>
                  <w:r>
                    <w:rPr>
                      <w:rFonts w:hint="eastAsia" w:ascii="Times New Roman" w:hAnsi="Times New Roman" w:cs="Times New Roman"/>
                      <w:color w:val="auto"/>
                      <w:szCs w:val="21"/>
                      <w:highlight w:val="none"/>
                      <w:lang w:val="en-US" w:eastAsia="zh-CN"/>
                    </w:rPr>
                    <w:t>项目运营期采取相应措施后可达标排放</w:t>
                  </w:r>
                  <w:r>
                    <w:rPr>
                      <w:rFonts w:hint="eastAsia" w:ascii="Times New Roman" w:hAnsi="Times New Roman" w:cs="Times New Roman"/>
                      <w:color w:val="000000" w:themeColor="text1"/>
                      <w:szCs w:val="21"/>
                      <w:highlight w:val="none"/>
                      <w14:textFill>
                        <w14:solidFill>
                          <w14:schemeClr w14:val="tx1"/>
                        </w14:solidFill>
                      </w14:textFill>
                    </w:rPr>
                    <w:t>，不会突破项目所在地</w:t>
                  </w:r>
                  <w:r>
                    <w:rPr>
                      <w:rFonts w:ascii="Times New Roman" w:hAnsi="Times New Roman" w:cs="Times New Roman"/>
                      <w:color w:val="000000" w:themeColor="text1"/>
                      <w:szCs w:val="21"/>
                      <w:highlight w:val="none"/>
                      <w14:textFill>
                        <w14:solidFill>
                          <w14:schemeClr w14:val="tx1"/>
                        </w14:solidFill>
                      </w14:textFill>
                    </w:rPr>
                    <w:t>环境</w:t>
                  </w:r>
                  <w:r>
                    <w:rPr>
                      <w:rFonts w:hint="eastAsia" w:ascii="Times New Roman" w:hAnsi="Times New Roman" w:cs="Times New Roman"/>
                      <w:color w:val="000000" w:themeColor="text1"/>
                      <w:szCs w:val="21"/>
                      <w:highlight w:val="none"/>
                      <w14:textFill>
                        <w14:solidFill>
                          <w14:schemeClr w14:val="tx1"/>
                        </w14:solidFill>
                      </w14:textFill>
                    </w:rPr>
                    <w:t>空气</w:t>
                  </w:r>
                  <w:r>
                    <w:rPr>
                      <w:rFonts w:ascii="Times New Roman" w:hAnsi="Times New Roman" w:cs="Times New Roman"/>
                      <w:color w:val="000000" w:themeColor="text1"/>
                      <w:szCs w:val="21"/>
                      <w:highlight w:val="none"/>
                      <w14:textFill>
                        <w14:solidFill>
                          <w14:schemeClr w14:val="tx1"/>
                        </w14:solidFill>
                      </w14:textFill>
                    </w:rPr>
                    <w:t>质量底线的要求</w:t>
                  </w:r>
                  <w:r>
                    <w:rPr>
                      <w:rFonts w:hint="eastAsia" w:ascii="Times New Roman" w:hAnsi="Times New Roman" w:cs="Times New Roman"/>
                      <w:color w:val="000000" w:themeColor="text1"/>
                      <w:szCs w:val="21"/>
                      <w:highlight w:val="none"/>
                      <w14:textFill>
                        <w14:solidFill>
                          <w14:schemeClr w14:val="tx1"/>
                        </w14:solidFill>
                      </w14:textFill>
                    </w:rPr>
                    <w:t>；流经项目区域内的河流为</w:t>
                  </w:r>
                  <w:r>
                    <w:rPr>
                      <w:rFonts w:hint="eastAsia" w:ascii="Times New Roman" w:hAnsi="Times New Roman" w:cs="Times New Roman"/>
                      <w:color w:val="000000" w:themeColor="text1"/>
                      <w:szCs w:val="21"/>
                      <w:highlight w:val="none"/>
                      <w:lang w:val="en-US" w:eastAsia="zh-CN"/>
                      <w14:textFill>
                        <w14:solidFill>
                          <w14:schemeClr w14:val="tx1"/>
                        </w14:solidFill>
                      </w14:textFill>
                    </w:rPr>
                    <w:t>蚁蚂吐河</w:t>
                  </w:r>
                  <w:r>
                    <w:rPr>
                      <w:rFonts w:hint="eastAsia" w:ascii="Times New Roman" w:hAnsi="Times New Roman" w:cs="Times New Roman"/>
                      <w:color w:val="000000" w:themeColor="text1"/>
                      <w:szCs w:val="21"/>
                      <w:highlight w:val="none"/>
                      <w14:textFill>
                        <w14:solidFill>
                          <w14:schemeClr w14:val="tx1"/>
                        </w14:solidFill>
                      </w14:textFill>
                    </w:rPr>
                    <w:t>，，最终汇入伊逊河</w:t>
                  </w:r>
                  <w:r>
                    <w:rPr>
                      <w:rFonts w:hint="eastAsia" w:cs="Times New Roman"/>
                      <w:color w:val="000000" w:themeColor="text1"/>
                      <w:szCs w:val="21"/>
                      <w:highlight w:val="none"/>
                      <w:lang w:eastAsia="zh-CN"/>
                      <w14:textFill>
                        <w14:solidFill>
                          <w14:schemeClr w14:val="tx1"/>
                        </w14:solidFill>
                      </w14:textFill>
                    </w:rPr>
                    <w:t>，</w:t>
                  </w:r>
                  <w:r>
                    <w:rPr>
                      <w:rFonts w:hint="eastAsia" w:ascii="Times New Roman" w:hAnsi="Times New Roman" w:cs="Times New Roman"/>
                      <w:color w:val="000000" w:themeColor="text1"/>
                      <w:szCs w:val="21"/>
                      <w:highlight w:val="none"/>
                      <w14:textFill>
                        <w14:solidFill>
                          <w14:schemeClr w14:val="tx1"/>
                        </w14:solidFill>
                      </w14:textFill>
                    </w:rPr>
                    <w:t>202</w:t>
                  </w:r>
                  <w:r>
                    <w:rPr>
                      <w:rFonts w:hint="eastAsia" w:ascii="Times New Roman" w:hAnsi="Times New Roman" w:cs="Times New Roman"/>
                      <w:color w:val="000000" w:themeColor="text1"/>
                      <w:szCs w:val="21"/>
                      <w:highlight w:val="none"/>
                      <w:lang w:val="en-US" w:eastAsia="zh-CN"/>
                      <w14:textFill>
                        <w14:solidFill>
                          <w14:schemeClr w14:val="tx1"/>
                        </w14:solidFill>
                      </w14:textFill>
                    </w:rPr>
                    <w:t>3</w:t>
                  </w:r>
                  <w:r>
                    <w:rPr>
                      <w:rFonts w:hint="eastAsia" w:ascii="Times New Roman" w:hAnsi="Times New Roman" w:cs="Times New Roman"/>
                      <w:color w:val="000000" w:themeColor="text1"/>
                      <w:szCs w:val="21"/>
                      <w:highlight w:val="none"/>
                      <w14:textFill>
                        <w14:solidFill>
                          <w14:schemeClr w14:val="tx1"/>
                        </w14:solidFill>
                      </w14:textFill>
                    </w:rPr>
                    <w:t>年</w:t>
                  </w:r>
                  <w:r>
                    <w:rPr>
                      <w:rFonts w:hint="eastAsia" w:ascii="Times New Roman" w:hAnsi="Times New Roman" w:cs="Times New Roman"/>
                      <w:color w:val="000000" w:themeColor="text1"/>
                      <w:szCs w:val="21"/>
                      <w:highlight w:val="none"/>
                      <w:lang w:val="en-US" w:eastAsia="zh-CN"/>
                      <w14:textFill>
                        <w14:solidFill>
                          <w14:schemeClr w14:val="tx1"/>
                        </w14:solidFill>
                      </w14:textFill>
                    </w:rPr>
                    <w:t>河</w:t>
                  </w:r>
                  <w:r>
                    <w:rPr>
                      <w:rFonts w:hint="eastAsia" w:ascii="Times New Roman" w:hAnsi="Times New Roman" w:cs="Times New Roman"/>
                      <w:color w:val="000000" w:themeColor="text1"/>
                      <w:szCs w:val="21"/>
                      <w:highlight w:val="none"/>
                      <w14:textFill>
                        <w14:solidFill>
                          <w14:schemeClr w14:val="tx1"/>
                        </w14:solidFill>
                      </w14:textFill>
                    </w:rPr>
                    <w:t>流域总体水质状况为优，项目</w:t>
                  </w:r>
                  <w:r>
                    <w:rPr>
                      <w:rFonts w:hint="eastAsia" w:cs="Times New Roman"/>
                      <w:color w:val="000000" w:themeColor="text1"/>
                      <w:szCs w:val="21"/>
                      <w:highlight w:val="none"/>
                      <w:lang w:val="en-US" w:eastAsia="zh-CN"/>
                      <w14:textFill>
                        <w14:solidFill>
                          <w14:schemeClr w14:val="tx1"/>
                        </w14:solidFill>
                      </w14:textFill>
                    </w:rPr>
                    <w:t>锅炉废水经自建污水处理站处理，《城镇污水处理厂污染物排放标准》（GB18918-2002）表1中一级A标准后排入蚁蚂吐河</w:t>
                  </w:r>
                  <w:r>
                    <w:rPr>
                      <w:rFonts w:hint="eastAsia" w:ascii="Times New Roman" w:hAnsi="Times New Roman" w:cs="Times New Roman"/>
                      <w:color w:val="000000" w:themeColor="text1"/>
                      <w:szCs w:val="21"/>
                      <w:highlight w:val="none"/>
                      <w14:textFill>
                        <w14:solidFill>
                          <w14:schemeClr w14:val="tx1"/>
                        </w14:solidFill>
                      </w14:textFill>
                    </w:rPr>
                    <w:t>，</w:t>
                  </w:r>
                  <w:r>
                    <w:rPr>
                      <w:rFonts w:ascii="Times New Roman" w:hAnsi="Times New Roman" w:cs="Times New Roman"/>
                      <w:color w:val="000000" w:themeColor="text1"/>
                      <w:szCs w:val="21"/>
                      <w:highlight w:val="none"/>
                      <w14:textFill>
                        <w14:solidFill>
                          <w14:schemeClr w14:val="tx1"/>
                        </w14:solidFill>
                      </w14:textFill>
                    </w:rPr>
                    <w:t>不会突破项目所在地</w:t>
                  </w:r>
                  <w:r>
                    <w:rPr>
                      <w:rFonts w:hint="eastAsia" w:ascii="Times New Roman" w:hAnsi="Times New Roman" w:cs="Times New Roman"/>
                      <w:color w:val="000000" w:themeColor="text1"/>
                      <w:szCs w:val="21"/>
                      <w:highlight w:val="none"/>
                      <w14:textFill>
                        <w14:solidFill>
                          <w14:schemeClr w14:val="tx1"/>
                        </w14:solidFill>
                      </w14:textFill>
                    </w:rPr>
                    <w:t>地表水</w:t>
                  </w:r>
                  <w:r>
                    <w:rPr>
                      <w:rFonts w:ascii="Times New Roman" w:hAnsi="Times New Roman" w:cs="Times New Roman"/>
                      <w:color w:val="000000" w:themeColor="text1"/>
                      <w:szCs w:val="21"/>
                      <w:highlight w:val="none"/>
                      <w14:textFill>
                        <w14:solidFill>
                          <w14:schemeClr w14:val="tx1"/>
                        </w14:solidFill>
                      </w14:textFill>
                    </w:rPr>
                    <w:t>环境质量底线的要求</w:t>
                  </w:r>
                  <w:r>
                    <w:rPr>
                      <w:rFonts w:hint="eastAsia" w:ascii="Times New Roman" w:hAnsi="Times New Roman" w:cs="Times New Roman"/>
                      <w:color w:val="000000" w:themeColor="text1"/>
                      <w:szCs w:val="21"/>
                      <w:highlight w:val="none"/>
                      <w:lang w:eastAsia="zh-CN"/>
                      <w14:textFill>
                        <w14:solidFill>
                          <w14:schemeClr w14:val="tx1"/>
                        </w14:solidFill>
                      </w14:textFill>
                    </w:rPr>
                    <w:t>；</w:t>
                  </w:r>
                  <w:r>
                    <w:rPr>
                      <w:rFonts w:ascii="Times New Roman" w:hAnsi="Times New Roman" w:cs="Times New Roman"/>
                      <w:color w:val="000000" w:themeColor="text1"/>
                      <w:szCs w:val="21"/>
                      <w:highlight w:val="none"/>
                      <w14:textFill>
                        <w14:solidFill>
                          <w14:schemeClr w14:val="tx1"/>
                        </w14:solidFill>
                      </w14:textFill>
                    </w:rPr>
                    <w:t>本</w:t>
                  </w:r>
                  <w:r>
                    <w:rPr>
                      <w:rFonts w:hint="eastAsia" w:ascii="Times New Roman" w:hAnsi="Times New Roman" w:cs="Times New Roman"/>
                      <w:color w:val="000000" w:themeColor="text1"/>
                      <w:szCs w:val="21"/>
                      <w:highlight w:val="none"/>
                      <w14:textFill>
                        <w14:solidFill>
                          <w14:schemeClr w14:val="tx1"/>
                        </w14:solidFill>
                      </w14:textFill>
                    </w:rPr>
                    <w:t>项目</w:t>
                  </w:r>
                  <w:r>
                    <w:rPr>
                      <w:rFonts w:hint="eastAsia"/>
                      <w:color w:val="000000" w:themeColor="text1"/>
                      <w:highlight w:val="none"/>
                      <w:lang w:val="en-US" w:eastAsia="zh-CN"/>
                      <w14:textFill>
                        <w14:solidFill>
                          <w14:schemeClr w14:val="tx1"/>
                        </w14:solidFill>
                      </w14:textFill>
                    </w:rPr>
                    <w:t>厂区地面均已硬化</w:t>
                  </w:r>
                  <w:r>
                    <w:rPr>
                      <w:rFonts w:hint="eastAsia"/>
                      <w:color w:val="000000" w:themeColor="text1"/>
                      <w:highlight w:val="none"/>
                      <w14:textFill>
                        <w14:solidFill>
                          <w14:schemeClr w14:val="tx1"/>
                        </w14:solidFill>
                      </w14:textFill>
                    </w:rPr>
                    <w:t>，对土壤及地下水</w:t>
                  </w:r>
                  <w:r>
                    <w:rPr>
                      <w:rFonts w:hint="eastAsia"/>
                      <w:color w:val="000000" w:themeColor="text1"/>
                      <w:highlight w:val="none"/>
                      <w:lang w:val="en-US" w:eastAsia="zh-CN"/>
                      <w14:textFill>
                        <w14:solidFill>
                          <w14:schemeClr w14:val="tx1"/>
                        </w14:solidFill>
                      </w14:textFill>
                    </w:rPr>
                    <w:t>无</w:t>
                  </w:r>
                  <w:r>
                    <w:rPr>
                      <w:rFonts w:hint="eastAsia"/>
                      <w:color w:val="000000" w:themeColor="text1"/>
                      <w:highlight w:val="none"/>
                      <w14:textFill>
                        <w14:solidFill>
                          <w14:schemeClr w14:val="tx1"/>
                        </w14:solidFill>
                      </w14:textFill>
                    </w:rPr>
                    <w:t>污染途径，</w:t>
                  </w:r>
                  <w:r>
                    <w:rPr>
                      <w:rFonts w:ascii="Times New Roman" w:hAnsi="Times New Roman" w:cs="Times New Roman"/>
                      <w:color w:val="000000" w:themeColor="text1"/>
                      <w:szCs w:val="21"/>
                      <w:highlight w:val="none"/>
                      <w14:textFill>
                        <w14:solidFill>
                          <w14:schemeClr w14:val="tx1"/>
                        </w14:solidFill>
                      </w14:textFill>
                    </w:rPr>
                    <w:t>不会突破</w:t>
                  </w:r>
                  <w:r>
                    <w:rPr>
                      <w:rFonts w:hint="eastAsia"/>
                      <w:color w:val="000000" w:themeColor="text1"/>
                      <w:highlight w:val="none"/>
                      <w14:textFill>
                        <w14:solidFill>
                          <w14:schemeClr w14:val="tx1"/>
                        </w14:solidFill>
                      </w14:textFill>
                    </w:rPr>
                    <w:t>土壤及地下水环境质量底线</w:t>
                  </w:r>
                  <w:r>
                    <w:rPr>
                      <w:rFonts w:hint="default" w:ascii="Times New Roman" w:hAnsi="Times New Roman" w:cs="Times New Roman"/>
                      <w:color w:val="auto"/>
                      <w:szCs w:val="21"/>
                      <w:highlight w:val="none"/>
                    </w:rPr>
                    <w:t>。</w:t>
                  </w:r>
                </w:p>
              </w:tc>
              <w:tc>
                <w:tcPr>
                  <w:tcW w:w="463" w:type="pct"/>
                  <w:vAlign w:val="center"/>
                </w:tcPr>
                <w:p w14:paraId="052D31E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w:t>
                  </w:r>
                </w:p>
              </w:tc>
            </w:tr>
            <w:tr w14:paraId="47FED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9" w:type="pct"/>
                  <w:vAlign w:val="center"/>
                </w:tcPr>
                <w:p w14:paraId="443E3AF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资源利用上线</w:t>
                  </w:r>
                </w:p>
              </w:tc>
              <w:tc>
                <w:tcPr>
                  <w:tcW w:w="2361" w:type="pct"/>
                  <w:vAlign w:val="center"/>
                </w:tcPr>
                <w:p w14:paraId="6BF7351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资源利用上线是各地区能源、水、土地等资源消耗不得突破的“天花板”。相关规划环评应依据有关资源利用</w:t>
                  </w:r>
                  <w:r>
                    <w:rPr>
                      <w:rFonts w:hint="eastAsia" w:ascii="Times New Roman" w:hAnsi="Times New Roman" w:cs="Times New Roman"/>
                      <w:color w:val="auto"/>
                      <w:szCs w:val="21"/>
                      <w:highlight w:val="none"/>
                      <w:lang w:val="en-US" w:eastAsia="zh-CN"/>
                    </w:rPr>
                    <w:t>上限</w:t>
                  </w:r>
                  <w:r>
                    <w:rPr>
                      <w:rFonts w:hint="default" w:ascii="Times New Roman" w:hAnsi="Times New Roman" w:cs="Times New Roman"/>
                      <w:color w:val="auto"/>
                      <w:szCs w:val="21"/>
                      <w:highlight w:val="none"/>
                    </w:rPr>
                    <w:t>，对规划实施以及规划内项目的资源开发利用，区分不同行业，从能源资源开发等量或减量替代、开采方式和规模控制、利用效率和防护措施等方面提出建议，为规划编制和审批决策提供重要依据。</w:t>
                  </w:r>
                </w:p>
              </w:tc>
              <w:tc>
                <w:tcPr>
                  <w:tcW w:w="1775" w:type="pct"/>
                  <w:vAlign w:val="center"/>
                </w:tcPr>
                <w:p w14:paraId="5862D48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本项目用电量</w:t>
                  </w:r>
                  <w:r>
                    <w:rPr>
                      <w:rFonts w:hint="eastAsia" w:cs="Times New Roman"/>
                      <w:color w:val="auto"/>
                      <w:szCs w:val="21"/>
                      <w:highlight w:val="none"/>
                      <w:lang w:val="en-US" w:eastAsia="zh-CN"/>
                    </w:rPr>
                    <w:t>30672</w:t>
                  </w:r>
                  <w:r>
                    <w:rPr>
                      <w:rFonts w:hint="default" w:ascii="Times New Roman" w:hAnsi="Times New Roman" w:cs="Times New Roman"/>
                      <w:color w:val="auto"/>
                      <w:szCs w:val="21"/>
                      <w:highlight w:val="none"/>
                    </w:rPr>
                    <w:t>kW·h</w:t>
                  </w:r>
                  <w:r>
                    <w:rPr>
                      <w:rFonts w:hint="default" w:ascii="Times New Roman" w:hAnsi="Times New Roman" w:cs="Times New Roman"/>
                      <w:bCs/>
                      <w:color w:val="auto"/>
                      <w:szCs w:val="21"/>
                      <w:highlight w:val="none"/>
                    </w:rPr>
                    <w:t>/a</w:t>
                  </w:r>
                  <w:r>
                    <w:rPr>
                      <w:rFonts w:hint="default" w:ascii="Times New Roman" w:hAnsi="Times New Roman" w:cs="Times New Roman"/>
                      <w:color w:val="auto"/>
                      <w:szCs w:val="21"/>
                      <w:highlight w:val="none"/>
                    </w:rPr>
                    <w:t>，</w:t>
                  </w:r>
                  <w:r>
                    <w:rPr>
                      <w:rFonts w:hint="eastAsia" w:ascii="Times New Roman" w:hAnsi="Times New Roman" w:cs="Times New Roman"/>
                      <w:color w:val="auto"/>
                      <w:szCs w:val="21"/>
                      <w:highlight w:val="none"/>
                      <w:lang w:val="en-US" w:eastAsia="zh-CN"/>
                    </w:rPr>
                    <w:t>新增用水</w:t>
                  </w:r>
                  <w:r>
                    <w:rPr>
                      <w:rFonts w:hint="eastAsia" w:cs="Times New Roman"/>
                      <w:color w:val="auto"/>
                      <w:szCs w:val="21"/>
                      <w:highlight w:val="none"/>
                      <w:lang w:val="en-US" w:eastAsia="zh-CN"/>
                    </w:rPr>
                    <w:t>650.38</w:t>
                  </w:r>
                  <w:r>
                    <w:rPr>
                      <w:rFonts w:hint="eastAsia" w:ascii="Times New Roman" w:hAnsi="Times New Roman" w:cs="Times New Roman"/>
                      <w:color w:val="auto"/>
                      <w:szCs w:val="21"/>
                      <w:highlight w:val="none"/>
                      <w:lang w:val="en-US" w:eastAsia="zh-CN"/>
                    </w:rPr>
                    <w:t>m</w:t>
                  </w:r>
                  <w:r>
                    <w:rPr>
                      <w:rFonts w:hint="eastAsia" w:ascii="Times New Roman" w:hAnsi="Times New Roman" w:cs="Times New Roman"/>
                      <w:color w:val="auto"/>
                      <w:szCs w:val="21"/>
                      <w:highlight w:val="none"/>
                      <w:vertAlign w:val="superscript"/>
                      <w:lang w:val="en-US" w:eastAsia="zh-CN"/>
                    </w:rPr>
                    <w:t>3</w:t>
                  </w:r>
                  <w:r>
                    <w:rPr>
                      <w:rFonts w:hint="eastAsia" w:ascii="Times New Roman" w:hAnsi="Times New Roman" w:cs="Times New Roman"/>
                      <w:color w:val="auto"/>
                      <w:szCs w:val="21"/>
                      <w:highlight w:val="none"/>
                      <w:lang w:val="en-US" w:eastAsia="zh-CN"/>
                    </w:rPr>
                    <w:t>/a</w:t>
                  </w:r>
                  <w:r>
                    <w:rPr>
                      <w:rFonts w:hint="default" w:ascii="Times New Roman" w:hAnsi="Times New Roman" w:cs="Times New Roman"/>
                      <w:color w:val="auto"/>
                      <w:szCs w:val="21"/>
                      <w:highlight w:val="none"/>
                    </w:rPr>
                    <w:t>，</w:t>
                  </w:r>
                  <w:r>
                    <w:rPr>
                      <w:rFonts w:hint="eastAsia" w:ascii="Times New Roman" w:hAnsi="Times New Roman" w:cs="Times New Roman"/>
                      <w:color w:val="auto"/>
                      <w:szCs w:val="21"/>
                      <w:highlight w:val="none"/>
                      <w:lang w:val="en-US" w:eastAsia="zh-CN"/>
                    </w:rPr>
                    <w:t>由</w:t>
                  </w:r>
                  <w:r>
                    <w:rPr>
                      <w:rFonts w:hint="eastAsia" w:cs="Times New Roman"/>
                      <w:color w:val="auto"/>
                      <w:szCs w:val="21"/>
                      <w:highlight w:val="none"/>
                      <w:lang w:val="en-US" w:eastAsia="zh-CN"/>
                    </w:rPr>
                    <w:t>自备水井</w:t>
                  </w:r>
                  <w:r>
                    <w:rPr>
                      <w:rFonts w:hint="eastAsia" w:ascii="Times New Roman" w:hAnsi="Times New Roman" w:cs="Times New Roman"/>
                      <w:color w:val="auto"/>
                      <w:szCs w:val="21"/>
                      <w:highlight w:val="none"/>
                      <w:lang w:val="en-US" w:eastAsia="zh-CN"/>
                    </w:rPr>
                    <w:t>供给；企业</w:t>
                  </w:r>
                  <w:r>
                    <w:rPr>
                      <w:rFonts w:hint="eastAsia" w:cs="Times New Roman"/>
                      <w:color w:val="auto"/>
                      <w:szCs w:val="21"/>
                      <w:highlight w:val="none"/>
                      <w:lang w:val="en-US" w:eastAsia="zh-CN"/>
                    </w:rPr>
                    <w:t>利用现有用地</w:t>
                  </w:r>
                  <w:r>
                    <w:rPr>
                      <w:rFonts w:hint="eastAsia" w:ascii="Times New Roman" w:hAnsi="Times New Roman" w:cs="Times New Roman"/>
                      <w:color w:val="auto"/>
                      <w:szCs w:val="21"/>
                      <w:highlight w:val="none"/>
                      <w:lang w:val="en-US" w:eastAsia="zh-CN"/>
                    </w:rPr>
                    <w:t>，</w:t>
                  </w:r>
                  <w:r>
                    <w:rPr>
                      <w:rFonts w:hint="eastAsia" w:cs="Times New Roman"/>
                      <w:color w:val="auto"/>
                      <w:szCs w:val="21"/>
                      <w:highlight w:val="none"/>
                      <w:lang w:val="en-US" w:eastAsia="zh-CN"/>
                    </w:rPr>
                    <w:t>不新增占地，</w:t>
                  </w:r>
                  <w:r>
                    <w:rPr>
                      <w:rFonts w:hint="default" w:ascii="Times New Roman" w:hAnsi="Times New Roman" w:cs="Times New Roman"/>
                      <w:color w:val="auto"/>
                      <w:szCs w:val="21"/>
                      <w:highlight w:val="none"/>
                      <w:lang w:val="en-US" w:eastAsia="zh-CN"/>
                    </w:rPr>
                    <w:t>不</w:t>
                  </w:r>
                  <w:r>
                    <w:rPr>
                      <w:rFonts w:hint="default" w:ascii="Times New Roman" w:hAnsi="Times New Roman" w:cs="Times New Roman"/>
                      <w:color w:val="auto"/>
                      <w:szCs w:val="21"/>
                      <w:highlight w:val="none"/>
                    </w:rPr>
                    <w:t>涉及突破资源利用上</w:t>
                  </w:r>
                  <w:r>
                    <w:rPr>
                      <w:rFonts w:hint="eastAsia" w:ascii="Times New Roman" w:hAnsi="Times New Roman" w:cs="Times New Roman"/>
                      <w:color w:val="auto"/>
                      <w:szCs w:val="21"/>
                      <w:highlight w:val="none"/>
                      <w:lang w:val="en-US" w:eastAsia="zh-CN"/>
                    </w:rPr>
                    <w:t>线</w:t>
                  </w:r>
                  <w:r>
                    <w:rPr>
                      <w:rFonts w:hint="default" w:ascii="Times New Roman" w:hAnsi="Times New Roman" w:cs="Times New Roman"/>
                      <w:color w:val="auto"/>
                      <w:szCs w:val="21"/>
                      <w:highlight w:val="none"/>
                    </w:rPr>
                    <w:t>。</w:t>
                  </w:r>
                </w:p>
              </w:tc>
              <w:tc>
                <w:tcPr>
                  <w:tcW w:w="463" w:type="pct"/>
                  <w:vAlign w:val="center"/>
                </w:tcPr>
                <w:p w14:paraId="449C959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w:t>
                  </w:r>
                </w:p>
              </w:tc>
            </w:tr>
            <w:tr w14:paraId="7060D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9" w:type="pct"/>
                  <w:vAlign w:val="center"/>
                </w:tcPr>
                <w:p w14:paraId="50C40EE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负面</w:t>
                  </w:r>
                </w:p>
                <w:p w14:paraId="0136F51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清单</w:t>
                  </w:r>
                </w:p>
              </w:tc>
              <w:tc>
                <w:tcPr>
                  <w:tcW w:w="2361" w:type="pct"/>
                  <w:vAlign w:val="center"/>
                </w:tcPr>
                <w:p w14:paraId="73B8288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环境准入负面清单是基于生态保护红线、环境质量底线和资源利用上线，以清单方式列出的禁止、限制等差别化环境准入条件和要求。</w:t>
                  </w:r>
                </w:p>
              </w:tc>
              <w:tc>
                <w:tcPr>
                  <w:tcW w:w="1775" w:type="pct"/>
                  <w:vAlign w:val="center"/>
                </w:tcPr>
                <w:p w14:paraId="6E058F4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根据国家发展改革委商务部关于印发《市场准入负面清单（2022年版）》，本项目</w:t>
                  </w:r>
                  <w:r>
                    <w:rPr>
                      <w:rFonts w:hint="eastAsia" w:cs="Times New Roman"/>
                      <w:color w:val="auto"/>
                      <w:szCs w:val="21"/>
                      <w:highlight w:val="none"/>
                      <w:lang w:val="en-US" w:eastAsia="zh-CN"/>
                    </w:rPr>
                    <w:t>属于</w:t>
                  </w:r>
                  <w:r>
                    <w:rPr>
                      <w:rFonts w:hint="default" w:ascii="Times New Roman" w:hAnsi="Times New Roman" w:cs="Times New Roman"/>
                      <w:color w:val="auto"/>
                      <w:szCs w:val="21"/>
                      <w:highlight w:val="none"/>
                    </w:rPr>
                    <w:t>D4330热力生产和供应，</w:t>
                  </w:r>
                  <w:r>
                    <w:rPr>
                      <w:rFonts w:hint="eastAsia" w:cs="Times New Roman"/>
                      <w:color w:val="auto"/>
                      <w:szCs w:val="21"/>
                      <w:highlight w:val="none"/>
                      <w:lang w:val="en-US" w:eastAsia="zh-CN"/>
                    </w:rPr>
                    <w:t>不</w:t>
                  </w:r>
                  <w:r>
                    <w:rPr>
                      <w:rFonts w:hint="default" w:ascii="Times New Roman" w:hAnsi="Times New Roman" w:cs="Times New Roman"/>
                      <w:color w:val="auto"/>
                      <w:szCs w:val="21"/>
                      <w:highlight w:val="none"/>
                    </w:rPr>
                    <w:t>属于许可准入类项目。</w:t>
                  </w:r>
                </w:p>
              </w:tc>
              <w:tc>
                <w:tcPr>
                  <w:tcW w:w="463" w:type="pct"/>
                  <w:vAlign w:val="center"/>
                </w:tcPr>
                <w:p w14:paraId="7B5B78E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w:t>
                  </w:r>
                </w:p>
              </w:tc>
            </w:tr>
          </w:tbl>
          <w:p w14:paraId="001A3A38">
            <w:pPr>
              <w:spacing w:line="360" w:lineRule="auto"/>
              <w:ind w:firstLine="480" w:firstLineChars="200"/>
              <w:rPr>
                <w:rFonts w:hint="eastAsia" w:ascii="Times New Roman" w:hAnsi="Times New Roman" w:eastAsia="宋体" w:cs="Times New Roman"/>
                <w:b w:val="0"/>
                <w:bCs/>
                <w:sz w:val="24"/>
                <w:highlight w:val="none"/>
              </w:rPr>
            </w:pPr>
            <w:r>
              <w:rPr>
                <w:rFonts w:hint="eastAsia" w:cs="Times New Roman"/>
                <w:b w:val="0"/>
                <w:bCs/>
                <w:sz w:val="24"/>
                <w:highlight w:val="none"/>
                <w:lang w:val="en-US" w:eastAsia="zh-CN"/>
              </w:rPr>
              <w:t>（2）</w:t>
            </w:r>
            <w:r>
              <w:rPr>
                <w:rFonts w:hint="eastAsia" w:ascii="Times New Roman" w:hAnsi="Times New Roman" w:eastAsia="宋体" w:cs="Times New Roman"/>
                <w:b w:val="0"/>
                <w:bCs/>
                <w:sz w:val="24"/>
                <w:highlight w:val="none"/>
                <w:lang w:val="en-US" w:eastAsia="zh-CN"/>
              </w:rPr>
              <w:t>项目与《承德市生态环境分区管控准入清单（2023年版）》符合性分析</w:t>
            </w:r>
          </w:p>
          <w:p w14:paraId="3258A043">
            <w:pPr>
              <w:spacing w:line="360" w:lineRule="auto"/>
              <w:ind w:firstLine="480"/>
              <w:rPr>
                <w:color w:val="000000" w:themeColor="text1"/>
                <w:sz w:val="24"/>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A</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生态空间总体要求符合性</w:t>
            </w:r>
          </w:p>
          <w:p w14:paraId="3639BBFC">
            <w:pPr>
              <w:pStyle w:val="69"/>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left"/>
              <w:textAlignment w:val="auto"/>
              <w:rPr>
                <w:rFonts w:hint="default" w:ascii="Times New Roman" w:hAnsi="Times New Roman" w:eastAsia="宋体" w:cs="Times New Roman"/>
                <w:sz w:val="24"/>
                <w:szCs w:val="24"/>
                <w:highlight w:val="none"/>
                <w:lang w:val="en-US" w:eastAsia="zh-CN"/>
              </w:rPr>
            </w:pPr>
            <w:r>
              <w:rPr>
                <w:rFonts w:hint="eastAsia"/>
                <w:color w:val="000000" w:themeColor="text1"/>
                <w:sz w:val="24"/>
                <w:highlight w:val="none"/>
                <w14:textFill>
                  <w14:solidFill>
                    <w14:schemeClr w14:val="tx1"/>
                  </w14:solidFill>
                </w14:textFill>
              </w:rPr>
              <w:t>项目位于</w:t>
            </w:r>
            <w:r>
              <w:rPr>
                <w:rFonts w:hint="eastAsia"/>
                <w:color w:val="000000" w:themeColor="text1"/>
                <w:sz w:val="24"/>
                <w:highlight w:val="none"/>
                <w:lang w:val="en-US" w:eastAsia="zh-CN"/>
                <w14:textFill>
                  <w14:solidFill>
                    <w14:schemeClr w14:val="tx1"/>
                  </w14:solidFill>
                </w14:textFill>
              </w:rPr>
              <w:t>围场满族蒙古族自治县半截塔镇什八克村</w:t>
            </w:r>
            <w:r>
              <w:rPr>
                <w:rFonts w:hint="eastAsia"/>
                <w:color w:val="000000" w:themeColor="text1"/>
                <w:sz w:val="24"/>
                <w:highlight w:val="none"/>
                <w14:textFill>
                  <w14:solidFill>
                    <w14:schemeClr w14:val="tx1"/>
                  </w14:solidFill>
                </w14:textFill>
              </w:rPr>
              <w:t>，中心位置地理坐标</w:t>
            </w:r>
            <w:r>
              <w:rPr>
                <w:color w:val="000000" w:themeColor="text1"/>
                <w:sz w:val="24"/>
                <w:highlight w:val="none"/>
                <w14:textFill>
                  <w14:solidFill>
                    <w14:schemeClr w14:val="tx1"/>
                  </w14:solidFill>
                </w14:textFill>
              </w:rPr>
              <w:t>：E11</w:t>
            </w:r>
            <w:r>
              <w:rPr>
                <w:rFonts w:hint="eastAsia"/>
                <w:color w:val="000000" w:themeColor="text1"/>
                <w:sz w:val="24"/>
                <w:highlight w:val="none"/>
                <w:lang w:val="en-US" w:eastAsia="zh-CN"/>
                <w14:textFill>
                  <w14:solidFill>
                    <w14:schemeClr w14:val="tx1"/>
                  </w14:solidFill>
                </w14:textFill>
              </w:rPr>
              <w:t>7</w:t>
            </w:r>
            <w:r>
              <w:rPr>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25</w:t>
            </w:r>
            <w:r>
              <w:rPr>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33.711</w:t>
            </w:r>
            <w:r>
              <w:rPr>
                <w:color w:val="000000" w:themeColor="text1"/>
                <w:sz w:val="24"/>
                <w:highlight w:val="none"/>
                <w14:textFill>
                  <w14:solidFill>
                    <w14:schemeClr w14:val="tx1"/>
                  </w14:solidFill>
                </w14:textFill>
              </w:rPr>
              <w:t>″，N41°</w:t>
            </w:r>
            <w:r>
              <w:rPr>
                <w:rFonts w:hint="eastAsia"/>
                <w:color w:val="000000" w:themeColor="text1"/>
                <w:sz w:val="24"/>
                <w:highlight w:val="none"/>
                <w:lang w:val="en-US" w:eastAsia="zh-CN"/>
                <w14:textFill>
                  <w14:solidFill>
                    <w14:schemeClr w14:val="tx1"/>
                  </w14:solidFill>
                </w14:textFill>
              </w:rPr>
              <w:t>56</w:t>
            </w:r>
            <w:r>
              <w:rPr>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46.861</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项目不在生态保护红线范围内，距离项目最近生态保护红线位于项目</w:t>
            </w:r>
            <w:r>
              <w:rPr>
                <w:rFonts w:hint="eastAsia"/>
                <w:color w:val="000000" w:themeColor="text1"/>
                <w:sz w:val="24"/>
                <w:highlight w:val="none"/>
                <w:lang w:val="en-US" w:eastAsia="zh-CN"/>
                <w14:textFill>
                  <w14:solidFill>
                    <w14:schemeClr w14:val="tx1"/>
                  </w14:solidFill>
                </w14:textFill>
              </w:rPr>
              <w:t>东西南</w:t>
            </w:r>
            <w:r>
              <w:rPr>
                <w:rFonts w:hint="eastAsia"/>
                <w:color w:val="000000" w:themeColor="text1"/>
                <w:sz w:val="24"/>
                <w:highlight w:val="none"/>
                <w14:textFill>
                  <w14:solidFill>
                    <w14:schemeClr w14:val="tx1"/>
                  </w14:solidFill>
                </w14:textFill>
              </w:rPr>
              <w:t>侧</w:t>
            </w:r>
            <w:r>
              <w:rPr>
                <w:rFonts w:hint="eastAsia"/>
                <w:color w:val="000000" w:themeColor="text1"/>
                <w:sz w:val="24"/>
                <w:highlight w:val="none"/>
                <w:lang w:val="en-US" w:eastAsia="zh-CN"/>
                <w14:textFill>
                  <w14:solidFill>
                    <w14:schemeClr w14:val="tx1"/>
                  </w14:solidFill>
                </w14:textFill>
              </w:rPr>
              <w:t>1582</w:t>
            </w:r>
            <w:r>
              <w:rPr>
                <w:rFonts w:hint="eastAsia"/>
                <w:color w:val="000000" w:themeColor="text1"/>
                <w:sz w:val="24"/>
                <w:highlight w:val="none"/>
                <w14:textFill>
                  <w14:solidFill>
                    <w14:schemeClr w14:val="tx1"/>
                  </w14:solidFill>
                </w14:textFill>
              </w:rPr>
              <w:t>m；项目选址不属于自然保护地管控范围</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项目选址不属于一般生态空间范围</w:t>
            </w:r>
            <w:r>
              <w:rPr>
                <w:rFonts w:hint="eastAsia" w:ascii="Times New Roman" w:eastAsia="宋体" w:cs="Times New Roman"/>
                <w:highlight w:val="none"/>
                <w:lang w:val="en-US" w:eastAsia="zh-CN"/>
              </w:rPr>
              <w:t>。</w:t>
            </w:r>
          </w:p>
          <w:p w14:paraId="751A9D3C">
            <w:pPr>
              <w:pStyle w:val="71"/>
              <w:ind w:left="0" w:leftChars="0" w:firstLine="0" w:firstLineChars="0"/>
              <w:rPr>
                <w:rFonts w:hint="eastAsia"/>
                <w:highlight w:val="none"/>
                <w:lang w:val="en-US" w:eastAsia="zh-CN"/>
              </w:rPr>
            </w:pPr>
            <w:r>
              <w:rPr>
                <w:rFonts w:hint="eastAsia"/>
                <w:highlight w:val="none"/>
                <w:lang w:val="en-US" w:eastAsia="zh-CN"/>
              </w:rPr>
              <w:drawing>
                <wp:inline distT="0" distB="0" distL="114300" distR="114300">
                  <wp:extent cx="5132070" cy="3628390"/>
                  <wp:effectExtent l="0" t="0" r="11430" b="10160"/>
                  <wp:docPr id="6" name="图片 6" descr="一般生态空间.j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一般生态空间.jpg-1"/>
                          <pic:cNvPicPr>
                            <a:picLocks noChangeAspect="1"/>
                          </pic:cNvPicPr>
                        </pic:nvPicPr>
                        <pic:blipFill>
                          <a:blip r:embed="rId10"/>
                          <a:stretch>
                            <a:fillRect/>
                          </a:stretch>
                        </pic:blipFill>
                        <pic:spPr>
                          <a:xfrm>
                            <a:off x="0" y="0"/>
                            <a:ext cx="5132070" cy="3628390"/>
                          </a:xfrm>
                          <a:prstGeom prst="rect">
                            <a:avLst/>
                          </a:prstGeom>
                        </pic:spPr>
                      </pic:pic>
                    </a:graphicData>
                  </a:graphic>
                </wp:inline>
              </w:drawing>
            </w:r>
          </w:p>
          <w:p w14:paraId="323F10A2">
            <w:pPr>
              <w:pStyle w:val="50"/>
              <w:widowControl w:val="0"/>
              <w:numPr>
                <w:ilvl w:val="0"/>
                <w:numId w:val="3"/>
              </w:numPr>
              <w:spacing w:line="360" w:lineRule="auto"/>
              <w:ind w:firstLineChars="0"/>
              <w:jc w:val="center"/>
              <w:rPr>
                <w:rFonts w:ascii="宋体" w:hAnsi="宋体" w:eastAsia="宋体"/>
                <w:b/>
                <w:color w:val="000000" w:themeColor="text1"/>
                <w:sz w:val="21"/>
                <w:highlight w:val="none"/>
                <w14:textFill>
                  <w14:solidFill>
                    <w14:schemeClr w14:val="tx1"/>
                  </w14:solidFill>
                </w14:textFill>
              </w:rPr>
            </w:pPr>
            <w:r>
              <w:rPr>
                <w:rFonts w:hint="eastAsia" w:ascii="宋体" w:hAnsi="宋体" w:eastAsia="宋体"/>
                <w:b/>
                <w:color w:val="000000" w:themeColor="text1"/>
                <w:sz w:val="21"/>
                <w:highlight w:val="none"/>
                <w14:textFill>
                  <w14:solidFill>
                    <w14:schemeClr w14:val="tx1"/>
                  </w14:solidFill>
                </w14:textFill>
              </w:rPr>
              <w:t>项目与</w:t>
            </w:r>
            <w:r>
              <w:rPr>
                <w:rFonts w:hint="eastAsia" w:ascii="宋体" w:hAnsi="宋体" w:eastAsia="宋体"/>
                <w:b/>
                <w:color w:val="000000" w:themeColor="text1"/>
                <w:sz w:val="21"/>
                <w:highlight w:val="none"/>
                <w:lang w:val="en-US" w:eastAsia="zh-CN"/>
                <w14:textFill>
                  <w14:solidFill>
                    <w14:schemeClr w14:val="tx1"/>
                  </w14:solidFill>
                </w14:textFill>
              </w:rPr>
              <w:t>一般生态空间</w:t>
            </w:r>
            <w:r>
              <w:rPr>
                <w:rFonts w:hint="eastAsia" w:ascii="宋体" w:hAnsi="宋体" w:eastAsia="宋体"/>
                <w:b/>
                <w:color w:val="000000" w:themeColor="text1"/>
                <w:sz w:val="21"/>
                <w:highlight w:val="none"/>
                <w14:textFill>
                  <w14:solidFill>
                    <w14:schemeClr w14:val="tx1"/>
                  </w14:solidFill>
                </w14:textFill>
              </w:rPr>
              <w:t>位置关系示意图</w:t>
            </w:r>
          </w:p>
          <w:p w14:paraId="2675CC25">
            <w:pPr>
              <w:spacing w:line="360" w:lineRule="auto"/>
              <w:ind w:firstLine="48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b</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水环境总体要求符合性</w:t>
            </w:r>
          </w:p>
          <w:p w14:paraId="02ABEE83">
            <w:pPr>
              <w:pStyle w:val="69"/>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left"/>
              <w:textAlignment w:val="auto"/>
              <w:rPr>
                <w:rFonts w:hint="eastAsia" w:ascii="Times New Roman" w:eastAsia="宋体" w:cs="Times New Roman"/>
                <w:highlight w:val="none"/>
                <w:lang w:val="en-US" w:eastAsia="zh-CN"/>
              </w:rPr>
            </w:pPr>
            <w:r>
              <w:rPr>
                <w:rFonts w:hint="eastAsia"/>
                <w:color w:val="000000" w:themeColor="text1"/>
                <w:sz w:val="24"/>
                <w:highlight w:val="none"/>
                <w14:textFill>
                  <w14:solidFill>
                    <w14:schemeClr w14:val="tx1"/>
                  </w14:solidFill>
                </w14:textFill>
              </w:rPr>
              <w:t>项目</w:t>
            </w:r>
            <w:r>
              <w:rPr>
                <w:rFonts w:hint="eastAsia"/>
                <w:color w:val="000000" w:themeColor="text1"/>
                <w:sz w:val="24"/>
                <w:highlight w:val="none"/>
                <w:lang w:val="en-US" w:eastAsia="zh-CN"/>
                <w14:textFill>
                  <w14:solidFill>
                    <w14:schemeClr w14:val="tx1"/>
                  </w14:solidFill>
                </w14:textFill>
              </w:rPr>
              <w:t>与</w:t>
            </w:r>
            <w:r>
              <w:rPr>
                <w:rFonts w:hint="eastAsia"/>
                <w:color w:val="000000" w:themeColor="text1"/>
                <w:sz w:val="24"/>
                <w:highlight w:val="none"/>
                <w14:textFill>
                  <w14:solidFill>
                    <w14:schemeClr w14:val="tx1"/>
                  </w14:solidFill>
                </w14:textFill>
              </w:rPr>
              <w:t>承德市生态环境分区管控-水环境总体要求</w:t>
            </w:r>
            <w:r>
              <w:rPr>
                <w:rFonts w:hint="eastAsia"/>
                <w:color w:val="000000" w:themeColor="text1"/>
                <w:sz w:val="24"/>
                <w:highlight w:val="none"/>
                <w:lang w:val="en-US" w:eastAsia="zh-CN"/>
                <w14:textFill>
                  <w14:solidFill>
                    <w14:schemeClr w14:val="tx1"/>
                  </w14:solidFill>
                </w14:textFill>
              </w:rPr>
              <w:t>符合性分析如下表</w:t>
            </w:r>
            <w:r>
              <w:rPr>
                <w:rFonts w:hint="eastAsia" w:ascii="Times New Roman" w:hAnsi="Times New Roman" w:cs="Times New Roman"/>
                <w:color w:val="000000" w:themeColor="text1"/>
                <w:sz w:val="24"/>
                <w:highlight w:val="none"/>
                <w:lang w:eastAsia="zh-CN"/>
                <w14:textFill>
                  <w14:solidFill>
                    <w14:schemeClr w14:val="tx1"/>
                  </w14:solidFill>
                </w14:textFill>
              </w:rPr>
              <w:t>。</w:t>
            </w:r>
          </w:p>
          <w:p w14:paraId="73AD646F">
            <w:pPr>
              <w:pStyle w:val="50"/>
              <w:numPr>
                <w:ilvl w:val="0"/>
                <w:numId w:val="4"/>
              </w:numPr>
              <w:spacing w:line="360" w:lineRule="auto"/>
              <w:ind w:firstLineChars="0"/>
              <w:jc w:val="center"/>
              <w:rPr>
                <w:rFonts w:ascii="Times New Roman" w:hAnsi="Times New Roman" w:eastAsia="宋体"/>
                <w:b/>
                <w:sz w:val="21"/>
                <w:szCs w:val="21"/>
                <w:highlight w:val="none"/>
              </w:rPr>
            </w:pPr>
            <w:r>
              <w:rPr>
                <w:rFonts w:hint="eastAsia" w:ascii="Times New Roman" w:hAnsi="Times New Roman" w:eastAsia="宋体"/>
                <w:b/>
                <w:bCs/>
                <w:sz w:val="21"/>
                <w:szCs w:val="21"/>
                <w:highlight w:val="none"/>
              </w:rPr>
              <w:t>承德市生态环境分区管控-水环境总体要求符合性分析一览表</w:t>
            </w:r>
          </w:p>
          <w:tbl>
            <w:tblPr>
              <w:tblStyle w:val="64"/>
              <w:tblW w:w="824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64"/>
              <w:gridCol w:w="4790"/>
              <w:gridCol w:w="2256"/>
              <w:gridCol w:w="531"/>
            </w:tblGrid>
            <w:tr w14:paraId="7B4067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 w:hRule="atLeast"/>
                <w:jc w:val="center"/>
              </w:trPr>
              <w:tc>
                <w:tcPr>
                  <w:tcW w:w="664" w:type="dxa"/>
                  <w:vAlign w:val="center"/>
                </w:tcPr>
                <w:p w14:paraId="4E4A1F95">
                  <w:pPr>
                    <w:pStyle w:val="57"/>
                    <w:jc w:val="center"/>
                    <w:rPr>
                      <w:rFonts w:ascii="Times New Roman" w:hAnsi="Times New Roman" w:eastAsia="宋体" w:cs="Times New Roman"/>
                      <w:b/>
                      <w:sz w:val="21"/>
                      <w:szCs w:val="21"/>
                      <w:highlight w:val="none"/>
                      <w:lang w:eastAsia="en-US"/>
                    </w:rPr>
                  </w:pPr>
                  <w:r>
                    <w:rPr>
                      <w:rFonts w:hint="eastAsia" w:ascii="Times New Roman" w:hAnsi="Times New Roman" w:eastAsia="宋体" w:cs="Times New Roman"/>
                      <w:b/>
                      <w:sz w:val="21"/>
                      <w:szCs w:val="21"/>
                      <w:highlight w:val="none"/>
                      <w:lang w:eastAsia="zh-CN"/>
                    </w:rPr>
                    <w:t>维度</w:t>
                  </w:r>
                </w:p>
              </w:tc>
              <w:tc>
                <w:tcPr>
                  <w:tcW w:w="4790" w:type="dxa"/>
                  <w:vAlign w:val="center"/>
                </w:tcPr>
                <w:p w14:paraId="0CAA855A">
                  <w:pPr>
                    <w:pStyle w:val="57"/>
                    <w:jc w:val="center"/>
                    <w:rPr>
                      <w:rFonts w:ascii="Times New Roman" w:hAnsi="Times New Roman" w:eastAsia="宋体" w:cs="Times New Roman"/>
                      <w:b/>
                      <w:sz w:val="21"/>
                      <w:szCs w:val="21"/>
                      <w:highlight w:val="none"/>
                      <w:lang w:eastAsia="en-US"/>
                    </w:rPr>
                  </w:pPr>
                  <w:r>
                    <w:rPr>
                      <w:rFonts w:hint="eastAsia" w:ascii="Times New Roman" w:hAnsi="Times New Roman" w:eastAsia="宋体" w:cs="Times New Roman"/>
                      <w:b/>
                      <w:sz w:val="21"/>
                      <w:szCs w:val="21"/>
                      <w:highlight w:val="none"/>
                      <w:lang w:eastAsia="zh-CN"/>
                    </w:rPr>
                    <w:t>管控要求</w:t>
                  </w:r>
                </w:p>
              </w:tc>
              <w:tc>
                <w:tcPr>
                  <w:tcW w:w="2256" w:type="dxa"/>
                  <w:vAlign w:val="center"/>
                </w:tcPr>
                <w:p w14:paraId="04CA8898">
                  <w:pPr>
                    <w:pStyle w:val="57"/>
                    <w:jc w:val="center"/>
                    <w:rPr>
                      <w:rFonts w:ascii="Times New Roman" w:hAnsi="Times New Roman" w:eastAsia="宋体" w:cs="Times New Roman"/>
                      <w:b/>
                      <w:sz w:val="21"/>
                      <w:szCs w:val="21"/>
                      <w:highlight w:val="none"/>
                      <w:lang w:eastAsia="en-US"/>
                    </w:rPr>
                  </w:pPr>
                  <w:r>
                    <w:rPr>
                      <w:rFonts w:ascii="Times New Roman" w:hAnsi="Times New Roman" w:eastAsia="宋体" w:cs="Times New Roman"/>
                      <w:b/>
                      <w:sz w:val="21"/>
                      <w:szCs w:val="21"/>
                      <w:highlight w:val="none"/>
                      <w:lang w:eastAsia="zh-CN"/>
                    </w:rPr>
                    <w:t>项目符合性分析</w:t>
                  </w:r>
                </w:p>
              </w:tc>
              <w:tc>
                <w:tcPr>
                  <w:tcW w:w="531" w:type="dxa"/>
                  <w:vAlign w:val="center"/>
                </w:tcPr>
                <w:p w14:paraId="68E6D9DA">
                  <w:pPr>
                    <w:pStyle w:val="57"/>
                    <w:jc w:val="center"/>
                    <w:rPr>
                      <w:rFonts w:ascii="Times New Roman" w:hAnsi="Times New Roman" w:eastAsia="宋体" w:cs="Times New Roman"/>
                      <w:b/>
                      <w:sz w:val="21"/>
                      <w:szCs w:val="21"/>
                      <w:highlight w:val="none"/>
                      <w:lang w:eastAsia="en-US"/>
                    </w:rPr>
                  </w:pPr>
                  <w:r>
                    <w:rPr>
                      <w:rFonts w:ascii="Times New Roman" w:hAnsi="Times New Roman" w:eastAsia="宋体" w:cs="Times New Roman"/>
                      <w:b/>
                      <w:sz w:val="21"/>
                      <w:szCs w:val="21"/>
                      <w:highlight w:val="none"/>
                      <w:lang w:eastAsia="zh-CN"/>
                    </w:rPr>
                    <w:t>结论</w:t>
                  </w:r>
                </w:p>
              </w:tc>
            </w:tr>
            <w:tr w14:paraId="6F7305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2" w:hRule="atLeast"/>
                <w:jc w:val="center"/>
              </w:trPr>
              <w:tc>
                <w:tcPr>
                  <w:tcW w:w="664" w:type="dxa"/>
                  <w:vMerge w:val="restart"/>
                  <w:vAlign w:val="center"/>
                </w:tcPr>
                <w:p w14:paraId="70D32588">
                  <w:pPr>
                    <w:pStyle w:val="57"/>
                    <w:jc w:val="center"/>
                    <w:rPr>
                      <w:rFonts w:ascii="Times New Roman" w:hAnsi="Times New Roman" w:eastAsia="宋体" w:cs="Times New Roman"/>
                      <w:sz w:val="21"/>
                      <w:szCs w:val="21"/>
                      <w:highlight w:val="none"/>
                      <w:lang w:eastAsia="en-US"/>
                    </w:rPr>
                  </w:pPr>
                  <w:r>
                    <w:rPr>
                      <w:rFonts w:ascii="Times New Roman" w:hAnsi="Times New Roman" w:eastAsia="宋体" w:cs="Times New Roman"/>
                      <w:sz w:val="21"/>
                      <w:szCs w:val="21"/>
                      <w:highlight w:val="none"/>
                      <w:lang w:eastAsia="en-US"/>
                    </w:rPr>
                    <w:t>空间布局</w:t>
                  </w:r>
                  <w:r>
                    <w:rPr>
                      <w:rFonts w:hint="eastAsia" w:ascii="Times New Roman" w:hAnsi="Times New Roman" w:eastAsia="宋体" w:cs="Times New Roman"/>
                      <w:sz w:val="21"/>
                      <w:szCs w:val="21"/>
                      <w:highlight w:val="none"/>
                      <w:lang w:eastAsia="zh-CN"/>
                    </w:rPr>
                    <w:t>约束</w:t>
                  </w:r>
                </w:p>
              </w:tc>
              <w:tc>
                <w:tcPr>
                  <w:tcW w:w="4790" w:type="dxa"/>
                  <w:vAlign w:val="center"/>
                </w:tcPr>
                <w:p w14:paraId="28B2A033">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1、</w:t>
                  </w:r>
                  <w:r>
                    <w:rPr>
                      <w:rFonts w:ascii="Times New Roman" w:hAnsi="Times New Roman" w:eastAsia="宋体" w:cs="Times New Roman"/>
                      <w:sz w:val="21"/>
                      <w:szCs w:val="21"/>
                      <w:highlight w:val="none"/>
                      <w:lang w:eastAsia="zh-CN"/>
                    </w:rPr>
                    <w:t>饮用水源地保护区应遵循《河北省水资源管理条例》、《河北省水污染防治条例》等相关法律法规规定要求。</w:t>
                  </w:r>
                </w:p>
              </w:tc>
              <w:tc>
                <w:tcPr>
                  <w:tcW w:w="2256" w:type="dxa"/>
                  <w:vAlign w:val="center"/>
                </w:tcPr>
                <w:p w14:paraId="2D8EB48E">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项目不涉及饮用水源地保护区。</w:t>
                  </w:r>
                </w:p>
              </w:tc>
              <w:tc>
                <w:tcPr>
                  <w:tcW w:w="531" w:type="dxa"/>
                  <w:vMerge w:val="restart"/>
                  <w:vAlign w:val="center"/>
                </w:tcPr>
                <w:p w14:paraId="56B16B6C">
                  <w:pPr>
                    <w:pStyle w:val="57"/>
                    <w:jc w:val="center"/>
                    <w:rPr>
                      <w:rFonts w:ascii="Times New Roman" w:hAnsi="Times New Roman" w:eastAsia="宋体" w:cs="Times New Roman"/>
                      <w:sz w:val="21"/>
                      <w:szCs w:val="21"/>
                      <w:highlight w:val="none"/>
                      <w:lang w:eastAsia="en-US"/>
                    </w:rPr>
                  </w:pPr>
                  <w:r>
                    <w:rPr>
                      <w:rFonts w:hint="eastAsia" w:ascii="Times New Roman" w:hAnsi="Times New Roman" w:eastAsia="宋体" w:cs="Times New Roman"/>
                      <w:sz w:val="21"/>
                      <w:szCs w:val="21"/>
                      <w:highlight w:val="none"/>
                      <w:lang w:eastAsia="zh-CN"/>
                    </w:rPr>
                    <w:t>符合</w:t>
                  </w:r>
                </w:p>
              </w:tc>
            </w:tr>
            <w:tr w14:paraId="746DFD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597099CC">
                  <w:pPr>
                    <w:pStyle w:val="57"/>
                    <w:jc w:val="center"/>
                    <w:rPr>
                      <w:rFonts w:ascii="Times New Roman" w:hAnsi="Times New Roman" w:cs="Times New Roman" w:eastAsiaTheme="minorEastAsia"/>
                      <w:sz w:val="21"/>
                      <w:szCs w:val="21"/>
                      <w:highlight w:val="none"/>
                      <w:lang w:eastAsia="en-US"/>
                    </w:rPr>
                  </w:pPr>
                </w:p>
              </w:tc>
              <w:tc>
                <w:tcPr>
                  <w:tcW w:w="4790" w:type="dxa"/>
                  <w:vAlign w:val="center"/>
                </w:tcPr>
                <w:p w14:paraId="4FC908D1">
                  <w:pPr>
                    <w:pStyle w:val="57"/>
                    <w:jc w:val="both"/>
                    <w:rPr>
                      <w:rFonts w:ascii="Times New Roman" w:hAnsi="Times New Roman" w:cs="Times New Roman" w:eastAsiaTheme="minorEastAsia"/>
                      <w:sz w:val="21"/>
                      <w:szCs w:val="21"/>
                      <w:highlight w:val="none"/>
                      <w:lang w:eastAsia="zh-CN"/>
                    </w:rPr>
                  </w:pPr>
                  <w:r>
                    <w:rPr>
                      <w:rFonts w:hint="eastAsia" w:ascii="Times New Roman" w:hAnsi="Times New Roman" w:eastAsia="宋体" w:cs="Times New Roman"/>
                      <w:sz w:val="21"/>
                      <w:szCs w:val="21"/>
                      <w:highlight w:val="none"/>
                      <w:lang w:eastAsia="zh-CN"/>
                    </w:rPr>
                    <w:t>2、</w:t>
                  </w:r>
                  <w:r>
                    <w:rPr>
                      <w:rFonts w:ascii="Times New Roman" w:hAnsi="Times New Roman" w:eastAsia="宋体" w:cs="Times New Roman"/>
                      <w:sz w:val="21"/>
                      <w:szCs w:val="21"/>
                      <w:highlight w:val="none"/>
                      <w:lang w:eastAsia="zh-CN"/>
                    </w:rPr>
                    <w:t>新建企业原则上均应建在工业集聚区。推进现有企业向依法合规设立、环保设施齐全、符合规划环评要求、满足水法律法规规定的工业集聚区集中，明确涉水工业企业入园时间表；确因不具备入园条件需原地保留的涉水工业企业，明确保留条件，其中直排环境企业应达到排入水体功能区标准。</w:t>
                  </w:r>
                </w:p>
              </w:tc>
              <w:tc>
                <w:tcPr>
                  <w:tcW w:w="2256" w:type="dxa"/>
                  <w:vAlign w:val="center"/>
                </w:tcPr>
                <w:p w14:paraId="6E640E5E">
                  <w:pPr>
                    <w:pStyle w:val="57"/>
                    <w:jc w:val="both"/>
                    <w:rPr>
                      <w:rFonts w:ascii="Times New Roman" w:hAnsi="Times New Roman" w:cs="Times New Roman" w:eastAsiaTheme="minorEastAsia"/>
                      <w:sz w:val="21"/>
                      <w:szCs w:val="21"/>
                      <w:highlight w:val="none"/>
                      <w:lang w:eastAsia="zh-CN"/>
                    </w:rPr>
                  </w:pPr>
                  <w:r>
                    <w:rPr>
                      <w:rFonts w:hint="eastAsia" w:ascii="Times New Roman" w:hAnsi="Times New Roman" w:eastAsia="宋体" w:cs="Times New Roman"/>
                      <w:sz w:val="21"/>
                      <w:szCs w:val="21"/>
                      <w:highlight w:val="none"/>
                      <w:lang w:eastAsia="zh-CN"/>
                    </w:rPr>
                    <w:t>项目位于</w:t>
                  </w:r>
                  <w:r>
                    <w:rPr>
                      <w:rFonts w:hint="eastAsia" w:ascii="Times New Roman" w:hAnsi="Times New Roman" w:cs="Times New Roman"/>
                      <w:sz w:val="21"/>
                      <w:szCs w:val="21"/>
                      <w:highlight w:val="none"/>
                      <w:lang w:val="en-US" w:eastAsia="zh-CN"/>
                    </w:rPr>
                    <w:t>围场县</w:t>
                  </w:r>
                  <w:r>
                    <w:rPr>
                      <w:rFonts w:hint="eastAsia" w:ascii="Times New Roman" w:hAnsi="Times New Roman" w:eastAsia="宋体" w:cs="Times New Roman"/>
                      <w:sz w:val="21"/>
                      <w:szCs w:val="21"/>
                      <w:highlight w:val="none"/>
                      <w:lang w:eastAsia="zh-CN"/>
                    </w:rPr>
                    <w:t>经济开发区内。</w:t>
                  </w:r>
                </w:p>
              </w:tc>
              <w:tc>
                <w:tcPr>
                  <w:tcW w:w="531" w:type="dxa"/>
                  <w:vMerge w:val="continue"/>
                  <w:vAlign w:val="center"/>
                </w:tcPr>
                <w:p w14:paraId="0F882131">
                  <w:pPr>
                    <w:pStyle w:val="57"/>
                    <w:jc w:val="center"/>
                    <w:rPr>
                      <w:rFonts w:ascii="Times New Roman" w:hAnsi="Times New Roman" w:cs="Times New Roman" w:eastAsiaTheme="minorEastAsia"/>
                      <w:sz w:val="21"/>
                      <w:szCs w:val="21"/>
                      <w:highlight w:val="none"/>
                      <w:lang w:eastAsia="zh-CN"/>
                    </w:rPr>
                  </w:pPr>
                </w:p>
              </w:tc>
            </w:tr>
            <w:tr w14:paraId="0B3BCC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3AADEF92">
                  <w:pPr>
                    <w:pStyle w:val="57"/>
                    <w:jc w:val="center"/>
                    <w:rPr>
                      <w:rFonts w:ascii="Times New Roman" w:hAnsi="Times New Roman" w:cs="Times New Roman" w:eastAsiaTheme="minorEastAsia"/>
                      <w:szCs w:val="21"/>
                      <w:highlight w:val="none"/>
                      <w:lang w:eastAsia="zh-CN"/>
                    </w:rPr>
                  </w:pPr>
                </w:p>
              </w:tc>
              <w:tc>
                <w:tcPr>
                  <w:tcW w:w="4790" w:type="dxa"/>
                  <w:vAlign w:val="center"/>
                </w:tcPr>
                <w:p w14:paraId="3DCC8F14">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3、</w:t>
                  </w:r>
                  <w:r>
                    <w:rPr>
                      <w:rFonts w:ascii="Times New Roman" w:hAnsi="Times New Roman" w:eastAsia="宋体" w:cs="Times New Roman"/>
                      <w:sz w:val="21"/>
                      <w:szCs w:val="21"/>
                      <w:highlight w:val="none"/>
                      <w:lang w:eastAsia="zh-CN"/>
                    </w:rPr>
                    <w:t>各产业集聚区内应限制建设不符合产业定位的项目。</w:t>
                  </w:r>
                </w:p>
              </w:tc>
              <w:tc>
                <w:tcPr>
                  <w:tcW w:w="2256" w:type="dxa"/>
                  <w:vAlign w:val="center"/>
                </w:tcPr>
                <w:p w14:paraId="6B99C057">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项目符合开发区产业定位。</w:t>
                  </w:r>
                </w:p>
              </w:tc>
              <w:tc>
                <w:tcPr>
                  <w:tcW w:w="531" w:type="dxa"/>
                  <w:vMerge w:val="continue"/>
                  <w:vAlign w:val="center"/>
                </w:tcPr>
                <w:p w14:paraId="0474ADCA">
                  <w:pPr>
                    <w:pStyle w:val="57"/>
                    <w:jc w:val="center"/>
                    <w:rPr>
                      <w:rFonts w:ascii="Times New Roman" w:hAnsi="Times New Roman" w:cs="Times New Roman" w:eastAsiaTheme="minorEastAsia"/>
                      <w:sz w:val="21"/>
                      <w:szCs w:val="21"/>
                      <w:highlight w:val="none"/>
                      <w:lang w:eastAsia="zh-CN"/>
                    </w:rPr>
                  </w:pPr>
                </w:p>
              </w:tc>
            </w:tr>
            <w:tr w14:paraId="43D376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101A002B">
                  <w:pPr>
                    <w:pStyle w:val="57"/>
                    <w:jc w:val="center"/>
                    <w:rPr>
                      <w:rFonts w:ascii="Times New Roman" w:hAnsi="Times New Roman" w:cs="Times New Roman" w:eastAsiaTheme="minorEastAsia"/>
                      <w:szCs w:val="21"/>
                      <w:highlight w:val="none"/>
                      <w:lang w:eastAsia="zh-CN"/>
                    </w:rPr>
                  </w:pPr>
                </w:p>
              </w:tc>
              <w:tc>
                <w:tcPr>
                  <w:tcW w:w="4790" w:type="dxa"/>
                  <w:vAlign w:val="center"/>
                </w:tcPr>
                <w:p w14:paraId="508522B3">
                  <w:pPr>
                    <w:pStyle w:val="57"/>
                    <w:jc w:val="both"/>
                    <w:rPr>
                      <w:rFonts w:ascii="Times New Roman" w:hAnsi="Times New Roman" w:cs="Times New Roman" w:eastAsiaTheme="minorEastAsia"/>
                      <w:sz w:val="21"/>
                      <w:szCs w:val="21"/>
                      <w:highlight w:val="none"/>
                      <w:lang w:eastAsia="zh-CN"/>
                    </w:rPr>
                  </w:pPr>
                  <w:r>
                    <w:rPr>
                      <w:rFonts w:hint="eastAsia" w:ascii="Times New Roman" w:hAnsi="Times New Roman" w:eastAsia="宋体" w:cs="Times New Roman"/>
                      <w:sz w:val="21"/>
                      <w:szCs w:val="21"/>
                      <w:highlight w:val="none"/>
                      <w:lang w:eastAsia="zh-CN"/>
                    </w:rPr>
                    <w:t>4、</w:t>
                  </w:r>
                  <w:r>
                    <w:rPr>
                      <w:rFonts w:ascii="Times New Roman" w:hAnsi="Times New Roman" w:eastAsia="宋体" w:cs="Times New Roman"/>
                      <w:sz w:val="21"/>
                      <w:szCs w:val="21"/>
                      <w:highlight w:val="none"/>
                      <w:lang w:eastAsia="zh-CN"/>
                    </w:rPr>
                    <w:t>禁止向水域倾倒工业废渣、城市垃圾、粪便及其它废弃物。</w:t>
                  </w:r>
                </w:p>
              </w:tc>
              <w:tc>
                <w:tcPr>
                  <w:tcW w:w="2256" w:type="dxa"/>
                  <w:vAlign w:val="center"/>
                </w:tcPr>
                <w:p w14:paraId="1E9105E5">
                  <w:pPr>
                    <w:pStyle w:val="57"/>
                    <w:jc w:val="both"/>
                    <w:rPr>
                      <w:rFonts w:ascii="Times New Roman" w:hAnsi="Times New Roman" w:cs="Times New Roman" w:eastAsiaTheme="minorEastAsia"/>
                      <w:sz w:val="21"/>
                      <w:szCs w:val="21"/>
                      <w:highlight w:val="none"/>
                      <w:lang w:eastAsia="zh-CN"/>
                    </w:rPr>
                  </w:pPr>
                  <w:r>
                    <w:rPr>
                      <w:rFonts w:hint="eastAsia" w:ascii="Times New Roman" w:hAnsi="Times New Roman" w:eastAsia="宋体" w:cs="Times New Roman"/>
                      <w:sz w:val="21"/>
                      <w:szCs w:val="21"/>
                      <w:highlight w:val="none"/>
                      <w:lang w:eastAsia="zh-CN"/>
                    </w:rPr>
                    <w:t>项目固体废物均妥善处置，不涉及向水域倾倒。</w:t>
                  </w:r>
                </w:p>
              </w:tc>
              <w:tc>
                <w:tcPr>
                  <w:tcW w:w="531" w:type="dxa"/>
                  <w:vMerge w:val="continue"/>
                  <w:vAlign w:val="center"/>
                </w:tcPr>
                <w:p w14:paraId="3C9BE601">
                  <w:pPr>
                    <w:pStyle w:val="57"/>
                    <w:jc w:val="center"/>
                    <w:rPr>
                      <w:rFonts w:ascii="Times New Roman" w:hAnsi="Times New Roman" w:cs="Times New Roman" w:eastAsiaTheme="minorEastAsia"/>
                      <w:sz w:val="21"/>
                      <w:szCs w:val="21"/>
                      <w:highlight w:val="none"/>
                      <w:lang w:eastAsia="zh-CN"/>
                    </w:rPr>
                  </w:pPr>
                </w:p>
              </w:tc>
            </w:tr>
            <w:tr w14:paraId="4A2877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2279BB4D">
                  <w:pPr>
                    <w:pStyle w:val="57"/>
                    <w:jc w:val="center"/>
                    <w:rPr>
                      <w:rFonts w:ascii="Times New Roman" w:hAnsi="Times New Roman" w:cs="Times New Roman" w:eastAsiaTheme="minorEastAsia"/>
                      <w:szCs w:val="21"/>
                      <w:highlight w:val="none"/>
                      <w:lang w:eastAsia="zh-CN"/>
                    </w:rPr>
                  </w:pPr>
                </w:p>
              </w:tc>
              <w:tc>
                <w:tcPr>
                  <w:tcW w:w="4790" w:type="dxa"/>
                  <w:vAlign w:val="center"/>
                </w:tcPr>
                <w:p w14:paraId="33134C25">
                  <w:pPr>
                    <w:pStyle w:val="57"/>
                    <w:jc w:val="both"/>
                    <w:rPr>
                      <w:rFonts w:ascii="Times New Roman" w:hAnsi="Times New Roman" w:eastAsia="宋体" w:cs="Times New Roman"/>
                      <w:sz w:val="21"/>
                      <w:szCs w:val="21"/>
                      <w:highlight w:val="none"/>
                      <w:lang w:eastAsia="zh-CN"/>
                    </w:rPr>
                  </w:pPr>
                  <w:r>
                    <w:rPr>
                      <w:rFonts w:ascii="Times New Roman" w:hAnsi="Times New Roman" w:eastAsia="宋体" w:cs="Times New Roman"/>
                      <w:sz w:val="21"/>
                      <w:szCs w:val="21"/>
                      <w:highlight w:val="none"/>
                      <w:lang w:eastAsia="zh-CN"/>
                    </w:rPr>
                    <w:t>5</w:t>
                  </w:r>
                  <w:r>
                    <w:rPr>
                      <w:rFonts w:hint="eastAsia" w:ascii="Times New Roman" w:hAnsi="Times New Roman" w:eastAsia="宋体" w:cs="Times New Roman"/>
                      <w:sz w:val="21"/>
                      <w:szCs w:val="21"/>
                      <w:highlight w:val="none"/>
                      <w:lang w:eastAsia="zh-CN"/>
                    </w:rPr>
                    <w:t>、</w:t>
                  </w:r>
                  <w:r>
                    <w:rPr>
                      <w:rFonts w:ascii="Times New Roman" w:hAnsi="Times New Roman" w:eastAsia="宋体" w:cs="Times New Roman"/>
                      <w:sz w:val="21"/>
                      <w:szCs w:val="21"/>
                      <w:highlight w:val="none"/>
                      <w:lang w:eastAsia="zh-CN"/>
                    </w:rPr>
                    <w:t>科学划定禁养区、限养区，禁止在禁养区内新建、改扩建各类畜禽养殖场，现有项目应限期搬迁。</w:t>
                  </w:r>
                </w:p>
              </w:tc>
              <w:tc>
                <w:tcPr>
                  <w:tcW w:w="2256" w:type="dxa"/>
                  <w:vAlign w:val="center"/>
                </w:tcPr>
                <w:p w14:paraId="065CF2C0">
                  <w:pPr>
                    <w:pStyle w:val="57"/>
                    <w:jc w:val="both"/>
                    <w:rPr>
                      <w:rFonts w:ascii="Times New Roman" w:hAnsi="Times New Roman" w:cs="Times New Roman" w:eastAsiaTheme="minorEastAsia"/>
                      <w:sz w:val="21"/>
                      <w:szCs w:val="21"/>
                      <w:highlight w:val="none"/>
                      <w:lang w:eastAsia="zh-CN"/>
                    </w:rPr>
                  </w:pPr>
                  <w:r>
                    <w:rPr>
                      <w:rFonts w:hint="eastAsia" w:ascii="Times New Roman" w:hAnsi="Times New Roman" w:eastAsia="宋体" w:cs="Times New Roman"/>
                      <w:sz w:val="21"/>
                      <w:szCs w:val="21"/>
                      <w:highlight w:val="none"/>
                      <w:lang w:eastAsia="zh-CN"/>
                    </w:rPr>
                    <w:t>项目不属于养殖类项目。</w:t>
                  </w:r>
                </w:p>
              </w:tc>
              <w:tc>
                <w:tcPr>
                  <w:tcW w:w="531" w:type="dxa"/>
                  <w:vMerge w:val="continue"/>
                  <w:vAlign w:val="center"/>
                </w:tcPr>
                <w:p w14:paraId="36D951EB">
                  <w:pPr>
                    <w:pStyle w:val="57"/>
                    <w:jc w:val="center"/>
                    <w:rPr>
                      <w:rFonts w:ascii="Times New Roman" w:hAnsi="Times New Roman" w:cs="Times New Roman" w:eastAsiaTheme="minorEastAsia"/>
                      <w:sz w:val="21"/>
                      <w:szCs w:val="21"/>
                      <w:highlight w:val="none"/>
                      <w:lang w:eastAsia="zh-CN"/>
                    </w:rPr>
                  </w:pPr>
                </w:p>
              </w:tc>
            </w:tr>
            <w:tr w14:paraId="5D1575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0D81BAAC">
                  <w:pPr>
                    <w:pStyle w:val="57"/>
                    <w:jc w:val="center"/>
                    <w:rPr>
                      <w:rFonts w:ascii="Times New Roman" w:hAnsi="Times New Roman" w:cs="Times New Roman" w:eastAsiaTheme="minorEastAsia"/>
                      <w:szCs w:val="21"/>
                      <w:highlight w:val="none"/>
                      <w:lang w:eastAsia="zh-CN"/>
                    </w:rPr>
                  </w:pPr>
                </w:p>
              </w:tc>
              <w:tc>
                <w:tcPr>
                  <w:tcW w:w="4790" w:type="dxa"/>
                  <w:vAlign w:val="center"/>
                </w:tcPr>
                <w:p w14:paraId="44E31CE5">
                  <w:pPr>
                    <w:pStyle w:val="57"/>
                    <w:jc w:val="both"/>
                    <w:rPr>
                      <w:rFonts w:ascii="Times New Roman" w:hAnsi="Times New Roman" w:cs="Times New Roman" w:eastAsiaTheme="minorEastAsia"/>
                      <w:sz w:val="21"/>
                      <w:szCs w:val="21"/>
                      <w:highlight w:val="none"/>
                      <w:lang w:eastAsia="zh-CN"/>
                    </w:rPr>
                  </w:pPr>
                  <w:r>
                    <w:rPr>
                      <w:rFonts w:hint="eastAsia" w:ascii="Times New Roman" w:hAnsi="Times New Roman" w:cs="Times New Roman" w:eastAsiaTheme="minorEastAsia"/>
                      <w:sz w:val="21"/>
                      <w:szCs w:val="21"/>
                      <w:highlight w:val="none"/>
                      <w:lang w:eastAsia="zh-CN"/>
                    </w:rPr>
                    <w:t>6、</w:t>
                  </w:r>
                  <w:r>
                    <w:rPr>
                      <w:rFonts w:ascii="Times New Roman" w:hAnsi="Times New Roman" w:eastAsia="宋体" w:cs="Times New Roman"/>
                      <w:sz w:val="21"/>
                      <w:szCs w:val="21"/>
                      <w:highlight w:val="none"/>
                      <w:lang w:eastAsia="zh-CN"/>
                    </w:rPr>
                    <w:t>新建冶金、电镀、有色金属、化工、印染、制革、原料药制造等企业，原则上布局在符合产业定位的园区，其排放的污水由园区污水处理厂集中处理。</w:t>
                  </w:r>
                </w:p>
              </w:tc>
              <w:tc>
                <w:tcPr>
                  <w:tcW w:w="2256" w:type="dxa"/>
                  <w:vAlign w:val="center"/>
                </w:tcPr>
                <w:p w14:paraId="57D850CF">
                  <w:pPr>
                    <w:pStyle w:val="57"/>
                    <w:jc w:val="both"/>
                    <w:rPr>
                      <w:rFonts w:ascii="Times New Roman" w:hAnsi="Times New Roman" w:cs="Times New Roman" w:eastAsiaTheme="minorEastAsia"/>
                      <w:sz w:val="21"/>
                      <w:szCs w:val="21"/>
                      <w:highlight w:val="none"/>
                      <w:lang w:eastAsia="zh-CN"/>
                    </w:rPr>
                  </w:pPr>
                  <w:r>
                    <w:rPr>
                      <w:rFonts w:hint="eastAsia" w:ascii="Times New Roman" w:hAnsi="Times New Roman" w:eastAsia="宋体" w:cs="Times New Roman"/>
                      <w:sz w:val="21"/>
                      <w:szCs w:val="21"/>
                      <w:highlight w:val="none"/>
                      <w:lang w:eastAsia="zh-CN"/>
                    </w:rPr>
                    <w:t>项目不属于</w:t>
                  </w:r>
                  <w:r>
                    <w:rPr>
                      <w:rFonts w:ascii="Times New Roman" w:hAnsi="Times New Roman" w:eastAsia="宋体" w:cs="Times New Roman"/>
                      <w:sz w:val="21"/>
                      <w:szCs w:val="21"/>
                      <w:highlight w:val="none"/>
                      <w:lang w:eastAsia="zh-CN"/>
                    </w:rPr>
                    <w:t>冶金、电镀、有色金属、化工、印染、制革、原料药制造</w:t>
                  </w:r>
                  <w:r>
                    <w:rPr>
                      <w:rFonts w:hint="eastAsia" w:ascii="Times New Roman" w:hAnsi="Times New Roman" w:eastAsia="宋体" w:cs="Times New Roman"/>
                      <w:sz w:val="21"/>
                      <w:szCs w:val="21"/>
                      <w:highlight w:val="none"/>
                      <w:lang w:eastAsia="zh-CN"/>
                    </w:rPr>
                    <w:t>等项目。</w:t>
                  </w:r>
                </w:p>
              </w:tc>
              <w:tc>
                <w:tcPr>
                  <w:tcW w:w="531" w:type="dxa"/>
                  <w:vMerge w:val="continue"/>
                  <w:vAlign w:val="center"/>
                </w:tcPr>
                <w:p w14:paraId="20A10A50">
                  <w:pPr>
                    <w:pStyle w:val="57"/>
                    <w:jc w:val="center"/>
                    <w:rPr>
                      <w:rFonts w:ascii="Times New Roman" w:hAnsi="Times New Roman" w:cs="Times New Roman" w:eastAsiaTheme="minorEastAsia"/>
                      <w:sz w:val="21"/>
                      <w:szCs w:val="21"/>
                      <w:highlight w:val="none"/>
                      <w:lang w:eastAsia="zh-CN"/>
                    </w:rPr>
                  </w:pPr>
                </w:p>
              </w:tc>
            </w:tr>
            <w:tr w14:paraId="4775B8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1B3F2DEE">
                  <w:pPr>
                    <w:pStyle w:val="57"/>
                    <w:jc w:val="center"/>
                    <w:rPr>
                      <w:rFonts w:ascii="Times New Roman" w:hAnsi="Times New Roman" w:cs="Times New Roman" w:eastAsiaTheme="minorEastAsia"/>
                      <w:szCs w:val="21"/>
                      <w:highlight w:val="none"/>
                      <w:lang w:eastAsia="zh-CN"/>
                    </w:rPr>
                  </w:pPr>
                </w:p>
              </w:tc>
              <w:tc>
                <w:tcPr>
                  <w:tcW w:w="4790" w:type="dxa"/>
                  <w:vAlign w:val="center"/>
                </w:tcPr>
                <w:p w14:paraId="61D1C09A">
                  <w:pPr>
                    <w:pStyle w:val="57"/>
                    <w:jc w:val="both"/>
                    <w:rPr>
                      <w:rFonts w:ascii="Times New Roman" w:hAnsi="Times New Roman" w:cs="Times New Roman" w:eastAsiaTheme="minorEastAsia"/>
                      <w:sz w:val="21"/>
                      <w:szCs w:val="21"/>
                      <w:highlight w:val="none"/>
                      <w:lang w:eastAsia="zh-CN"/>
                    </w:rPr>
                  </w:pPr>
                  <w:r>
                    <w:rPr>
                      <w:rFonts w:hint="eastAsia" w:ascii="Times New Roman" w:hAnsi="Times New Roman" w:eastAsia="宋体" w:cs="Times New Roman"/>
                      <w:sz w:val="21"/>
                      <w:szCs w:val="21"/>
                      <w:highlight w:val="none"/>
                      <w:lang w:eastAsia="zh-CN"/>
                    </w:rPr>
                    <w:t>7、</w:t>
                  </w:r>
                  <w:r>
                    <w:rPr>
                      <w:rFonts w:ascii="Times New Roman" w:hAnsi="Times New Roman" w:eastAsia="宋体" w:cs="Times New Roman"/>
                      <w:sz w:val="21"/>
                      <w:szCs w:val="21"/>
                      <w:highlight w:val="none"/>
                      <w:lang w:eastAsia="zh-CN"/>
                    </w:rPr>
                    <w:t>一般工业固体废物贮存场、填埋场不得选在生态保护红线区域、永久基本农田集中区域和其他需要特别保护的区域内，应避开活动断层、溶洞区、天然滑坡或泥石流影响区以及湿地等区域，不得选在江河、湖泊、运河、渠道、水库最高水位线以下的滩地和岸坡，以及国家和地方长远规划中的水库等人工蓄水设施的淹没区和保护区之内。</w:t>
                  </w:r>
                </w:p>
              </w:tc>
              <w:tc>
                <w:tcPr>
                  <w:tcW w:w="2256" w:type="dxa"/>
                  <w:vAlign w:val="center"/>
                </w:tcPr>
                <w:p w14:paraId="46D6B62D">
                  <w:pPr>
                    <w:pStyle w:val="57"/>
                    <w:jc w:val="both"/>
                    <w:rPr>
                      <w:rFonts w:ascii="Times New Roman" w:hAnsi="Times New Roman" w:cs="Times New Roman" w:eastAsiaTheme="minorEastAsia"/>
                      <w:sz w:val="21"/>
                      <w:szCs w:val="21"/>
                      <w:highlight w:val="none"/>
                      <w:lang w:eastAsia="zh-CN"/>
                    </w:rPr>
                  </w:pPr>
                  <w:r>
                    <w:rPr>
                      <w:rFonts w:hint="eastAsia" w:ascii="Times New Roman" w:hAnsi="Times New Roman" w:eastAsia="宋体" w:cs="Times New Roman"/>
                      <w:sz w:val="21"/>
                      <w:szCs w:val="21"/>
                      <w:highlight w:val="none"/>
                      <w:lang w:eastAsia="zh-CN"/>
                    </w:rPr>
                    <w:t>项目不属于一般工业固体废物贮存场、填埋场。</w:t>
                  </w:r>
                </w:p>
              </w:tc>
              <w:tc>
                <w:tcPr>
                  <w:tcW w:w="531" w:type="dxa"/>
                  <w:vMerge w:val="continue"/>
                  <w:vAlign w:val="center"/>
                </w:tcPr>
                <w:p w14:paraId="3617BB35">
                  <w:pPr>
                    <w:pStyle w:val="57"/>
                    <w:jc w:val="center"/>
                    <w:rPr>
                      <w:rFonts w:ascii="Times New Roman" w:hAnsi="Times New Roman" w:cs="Times New Roman" w:eastAsiaTheme="minorEastAsia"/>
                      <w:sz w:val="21"/>
                      <w:szCs w:val="21"/>
                      <w:highlight w:val="none"/>
                      <w:lang w:eastAsia="zh-CN"/>
                    </w:rPr>
                  </w:pPr>
                </w:p>
              </w:tc>
            </w:tr>
            <w:tr w14:paraId="2CACDF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 w:hRule="atLeast"/>
                <w:jc w:val="center"/>
              </w:trPr>
              <w:tc>
                <w:tcPr>
                  <w:tcW w:w="664" w:type="dxa"/>
                  <w:vMerge w:val="restart"/>
                  <w:vAlign w:val="center"/>
                </w:tcPr>
                <w:p w14:paraId="6F4411E2">
                  <w:pPr>
                    <w:pStyle w:val="57"/>
                    <w:jc w:val="center"/>
                    <w:rPr>
                      <w:rFonts w:ascii="Times New Roman" w:hAnsi="Times New Roman" w:eastAsia="宋体" w:cs="Times New Roman"/>
                      <w:szCs w:val="21"/>
                      <w:highlight w:val="none"/>
                      <w:lang w:eastAsia="en-US"/>
                    </w:rPr>
                  </w:pPr>
                  <w:r>
                    <w:rPr>
                      <w:rFonts w:hint="eastAsia" w:ascii="Times New Roman" w:hAnsi="Times New Roman" w:eastAsia="宋体" w:cs="Times New Roman"/>
                      <w:sz w:val="21"/>
                      <w:szCs w:val="21"/>
                      <w:highlight w:val="none"/>
                      <w:lang w:eastAsia="en-US"/>
                    </w:rPr>
                    <w:t>污染物排放管控</w:t>
                  </w:r>
                </w:p>
              </w:tc>
              <w:tc>
                <w:tcPr>
                  <w:tcW w:w="4790" w:type="dxa"/>
                  <w:vAlign w:val="center"/>
                </w:tcPr>
                <w:p w14:paraId="216EEE62">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1、禁止建设不符合国家产业政策和行业准入条件的工业项目。</w:t>
                  </w:r>
                </w:p>
              </w:tc>
              <w:tc>
                <w:tcPr>
                  <w:tcW w:w="2256" w:type="dxa"/>
                  <w:vAlign w:val="center"/>
                </w:tcPr>
                <w:p w14:paraId="37BBF301">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项目属于《产业结构调整指导目录（2024年本）》中的允许类项目，已取得围场满族蒙古族自治县数据和政务服务局出具的备案文件（围数政备变字〔2024〕50号），符合产业政策要求</w:t>
                  </w:r>
                </w:p>
              </w:tc>
              <w:tc>
                <w:tcPr>
                  <w:tcW w:w="531" w:type="dxa"/>
                  <w:vMerge w:val="restart"/>
                  <w:vAlign w:val="center"/>
                </w:tcPr>
                <w:p w14:paraId="40663931">
                  <w:pPr>
                    <w:pStyle w:val="57"/>
                    <w:jc w:val="center"/>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符合</w:t>
                  </w:r>
                </w:p>
              </w:tc>
            </w:tr>
            <w:tr w14:paraId="3F7D8F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0E821004">
                  <w:pPr>
                    <w:pStyle w:val="57"/>
                    <w:jc w:val="center"/>
                    <w:rPr>
                      <w:rFonts w:ascii="Times New Roman" w:hAnsi="Times New Roman" w:cs="Times New Roman" w:eastAsiaTheme="minorEastAsia"/>
                      <w:szCs w:val="21"/>
                      <w:highlight w:val="none"/>
                      <w:lang w:eastAsia="zh-CN"/>
                    </w:rPr>
                  </w:pPr>
                </w:p>
              </w:tc>
              <w:tc>
                <w:tcPr>
                  <w:tcW w:w="4790" w:type="dxa"/>
                  <w:vAlign w:val="center"/>
                </w:tcPr>
                <w:p w14:paraId="2EAD2A0B">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2、</w:t>
                  </w:r>
                  <w:r>
                    <w:rPr>
                      <w:rFonts w:ascii="Times New Roman" w:hAnsi="Times New Roman" w:eastAsia="宋体" w:cs="Times New Roman"/>
                      <w:sz w:val="21"/>
                      <w:szCs w:val="21"/>
                      <w:highlight w:val="none"/>
                      <w:lang w:eastAsia="zh-CN"/>
                    </w:rPr>
                    <w:t>现有及新建企业污染排放应满足排污可证要求。未发放排污许可证工业企业满足行业排放标准与总量控制要求。规定期限内未获得排污许可证的企业应关停退出。</w:t>
                  </w:r>
                </w:p>
              </w:tc>
              <w:tc>
                <w:tcPr>
                  <w:tcW w:w="2256" w:type="dxa"/>
                  <w:vAlign w:val="center"/>
                </w:tcPr>
                <w:p w14:paraId="4432B180">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项目污染物排放满足行业排放标准与总量控制要求</w:t>
                  </w:r>
                </w:p>
              </w:tc>
              <w:tc>
                <w:tcPr>
                  <w:tcW w:w="531" w:type="dxa"/>
                  <w:vMerge w:val="continue"/>
                  <w:vAlign w:val="center"/>
                </w:tcPr>
                <w:p w14:paraId="67D05C9B">
                  <w:pPr>
                    <w:pStyle w:val="57"/>
                    <w:jc w:val="both"/>
                    <w:rPr>
                      <w:rFonts w:ascii="Times New Roman" w:hAnsi="Times New Roman" w:cs="Times New Roman" w:eastAsiaTheme="minorEastAsia"/>
                      <w:sz w:val="21"/>
                      <w:szCs w:val="21"/>
                      <w:highlight w:val="none"/>
                      <w:lang w:eastAsia="zh-CN"/>
                    </w:rPr>
                  </w:pPr>
                </w:p>
              </w:tc>
            </w:tr>
            <w:tr w14:paraId="6191DC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4EFFE893">
                  <w:pPr>
                    <w:pStyle w:val="57"/>
                    <w:jc w:val="center"/>
                    <w:rPr>
                      <w:rFonts w:ascii="Times New Roman" w:hAnsi="Times New Roman" w:cs="Times New Roman" w:eastAsiaTheme="minorEastAsia"/>
                      <w:szCs w:val="21"/>
                      <w:highlight w:val="none"/>
                      <w:lang w:eastAsia="zh-CN"/>
                    </w:rPr>
                  </w:pPr>
                </w:p>
              </w:tc>
              <w:tc>
                <w:tcPr>
                  <w:tcW w:w="4790" w:type="dxa"/>
                  <w:vAlign w:val="center"/>
                </w:tcPr>
                <w:p w14:paraId="4A8A41F8">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3、造纸、焦化、氮肥、石油化工、印染、农副食品加工、原料药制造、制革、农药、电镀等“十大”重点行业，新建、改建、扩建项目实行新增主要污染物排放倍量替换。</w:t>
                  </w:r>
                </w:p>
              </w:tc>
              <w:tc>
                <w:tcPr>
                  <w:tcW w:w="2256" w:type="dxa"/>
                  <w:vAlign w:val="center"/>
                </w:tcPr>
                <w:p w14:paraId="35119685">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项目不属于：“造纸、焦化、氮肥、石油化工、印染、农副食品加工、原料药制造、制革、农药、电镀等“十大”重点行业”</w:t>
                  </w:r>
                </w:p>
              </w:tc>
              <w:tc>
                <w:tcPr>
                  <w:tcW w:w="531" w:type="dxa"/>
                  <w:vMerge w:val="continue"/>
                  <w:vAlign w:val="center"/>
                </w:tcPr>
                <w:p w14:paraId="7EC83478">
                  <w:pPr>
                    <w:pStyle w:val="57"/>
                    <w:jc w:val="both"/>
                    <w:rPr>
                      <w:rFonts w:ascii="Times New Roman" w:hAnsi="Times New Roman" w:cs="Times New Roman" w:eastAsiaTheme="minorEastAsia"/>
                      <w:sz w:val="21"/>
                      <w:szCs w:val="21"/>
                      <w:highlight w:val="none"/>
                      <w:lang w:eastAsia="zh-CN"/>
                    </w:rPr>
                  </w:pPr>
                </w:p>
              </w:tc>
            </w:tr>
            <w:tr w14:paraId="2F4DCC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33CD8C3C">
                  <w:pPr>
                    <w:pStyle w:val="57"/>
                    <w:jc w:val="center"/>
                    <w:rPr>
                      <w:rFonts w:ascii="Times New Roman" w:hAnsi="Times New Roman" w:cs="Times New Roman" w:eastAsiaTheme="minorEastAsia"/>
                      <w:szCs w:val="21"/>
                      <w:highlight w:val="none"/>
                      <w:lang w:eastAsia="zh-CN"/>
                    </w:rPr>
                  </w:pPr>
                </w:p>
              </w:tc>
              <w:tc>
                <w:tcPr>
                  <w:tcW w:w="4790" w:type="dxa"/>
                  <w:vAlign w:val="center"/>
                </w:tcPr>
                <w:p w14:paraId="6F89AA44">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4、新建污水处理设施及其配套管网应同步设计、同步建设、同步投运。纳管企业应当防止、减少环境污染和生态破坏，按照国家有关规定申领排污许可证，持证排污、按证排污，对所造成的损害依法承担责任。一是按照国家有关规定对工业污水进行预处理，相关标准规定的第一类污染物及其他有毒有害污染物，应在车间或车间处理设施排放口处理达标；其他污染物达到集中处理设施处理工艺要求后方可排放。二是依法按照相关技术规范开展自行监测并主动公开污染物排放信息，自觉接受监督。属于水环境重点排污单位的，还须依法安装使用自动监测设备，并与当地生态环境部门、运营单位共享数据。三是根据《污水处理费征收使用管理办法》（财税〔</w:t>
                  </w:r>
                  <w:r>
                    <w:rPr>
                      <w:rFonts w:ascii="Times New Roman" w:hAnsi="Times New Roman" w:eastAsia="宋体" w:cs="Times New Roman"/>
                      <w:sz w:val="21"/>
                      <w:szCs w:val="21"/>
                      <w:highlight w:val="none"/>
                      <w:lang w:eastAsia="zh-CN"/>
                    </w:rPr>
                    <w:t>2014</w:t>
                  </w:r>
                  <w:r>
                    <w:rPr>
                      <w:rFonts w:hint="eastAsia" w:ascii="Times New Roman" w:hAnsi="Times New Roman" w:eastAsia="宋体" w:cs="Times New Roman"/>
                      <w:sz w:val="21"/>
                      <w:szCs w:val="21"/>
                      <w:highlight w:val="none"/>
                      <w:lang w:eastAsia="zh-CN"/>
                    </w:rPr>
                    <w:t>〕</w:t>
                  </w:r>
                  <w:r>
                    <w:rPr>
                      <w:rFonts w:ascii="Times New Roman" w:hAnsi="Times New Roman" w:eastAsia="宋体" w:cs="Times New Roman"/>
                      <w:sz w:val="21"/>
                      <w:szCs w:val="21"/>
                      <w:highlight w:val="none"/>
                      <w:lang w:eastAsia="zh-CN"/>
                    </w:rPr>
                    <w:t xml:space="preserve">151 </w:t>
                  </w:r>
                  <w:r>
                    <w:rPr>
                      <w:rFonts w:hint="eastAsia" w:ascii="Times New Roman" w:hAnsi="Times New Roman" w:eastAsia="宋体" w:cs="Times New Roman"/>
                      <w:sz w:val="21"/>
                      <w:szCs w:val="21"/>
                      <w:highlight w:val="none"/>
                      <w:lang w:eastAsia="zh-CN"/>
                    </w:rPr>
                    <w:t>号）、委托处理合同等，及时足额缴纳污水处理相关费用。四是发生事故致使排放的污水可能危及污水处理厂安全运行时，应当立即启动应急预案，采取应急措施消除危害，通知运营单位并向生态环境部门及相关主管部门报告</w:t>
                  </w:r>
                  <w:r>
                    <w:rPr>
                      <w:rFonts w:hint="eastAsia" w:ascii="Times New Roman" w:hAnsi="Times New Roman" w:eastAsia="宋体" w:cs="Times New Roman"/>
                      <w:sz w:val="21"/>
                      <w:szCs w:val="21"/>
                      <w:highlight w:val="none"/>
                      <w:lang w:val="en-US" w:eastAsia="zh-CN"/>
                    </w:rPr>
                    <w:t>。</w:t>
                  </w:r>
                </w:p>
              </w:tc>
              <w:tc>
                <w:tcPr>
                  <w:tcW w:w="2256" w:type="dxa"/>
                  <w:vAlign w:val="center"/>
                </w:tcPr>
                <w:p w14:paraId="0F55F60E">
                  <w:pPr>
                    <w:pStyle w:val="57"/>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项目不涉及。</w:t>
                  </w:r>
                </w:p>
              </w:tc>
              <w:tc>
                <w:tcPr>
                  <w:tcW w:w="531" w:type="dxa"/>
                  <w:vMerge w:val="continue"/>
                  <w:vAlign w:val="center"/>
                </w:tcPr>
                <w:p w14:paraId="6FCD3A98">
                  <w:pPr>
                    <w:pStyle w:val="57"/>
                    <w:jc w:val="both"/>
                    <w:rPr>
                      <w:rFonts w:ascii="Times New Roman" w:hAnsi="Times New Roman" w:cs="Times New Roman" w:eastAsiaTheme="minorEastAsia"/>
                      <w:sz w:val="21"/>
                      <w:szCs w:val="21"/>
                      <w:highlight w:val="none"/>
                      <w:lang w:eastAsia="zh-CN"/>
                    </w:rPr>
                  </w:pPr>
                </w:p>
              </w:tc>
            </w:tr>
            <w:tr w14:paraId="0999D1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56A3CC8A">
                  <w:pPr>
                    <w:pStyle w:val="57"/>
                    <w:jc w:val="center"/>
                    <w:rPr>
                      <w:rFonts w:ascii="Times New Roman" w:hAnsi="Times New Roman" w:cs="Times New Roman" w:eastAsiaTheme="minorEastAsia"/>
                      <w:szCs w:val="21"/>
                      <w:highlight w:val="none"/>
                      <w:lang w:eastAsia="zh-CN"/>
                    </w:rPr>
                  </w:pPr>
                </w:p>
              </w:tc>
              <w:tc>
                <w:tcPr>
                  <w:tcW w:w="4790" w:type="dxa"/>
                  <w:vAlign w:val="center"/>
                </w:tcPr>
                <w:p w14:paraId="64EA9BCD">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5、</w:t>
                  </w:r>
                  <w:r>
                    <w:rPr>
                      <w:rFonts w:hint="eastAsia" w:ascii="Times New Roman" w:hAnsi="Times New Roman" w:eastAsia="宋体" w:cs="Times New Roman"/>
                      <w:sz w:val="21"/>
                      <w:szCs w:val="21"/>
                      <w:highlight w:val="none"/>
                      <w:lang w:val="en-US" w:eastAsia="zh-CN"/>
                    </w:rPr>
                    <w:t>新建、改建、扩建污水处理项目环境影响评价，要将服务范围内污水调查情况作为重要内容。</w:t>
                  </w:r>
                </w:p>
              </w:tc>
              <w:tc>
                <w:tcPr>
                  <w:tcW w:w="2256" w:type="dxa"/>
                  <w:vAlign w:val="center"/>
                </w:tcPr>
                <w:p w14:paraId="1768073A">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项目不属于污水处理项目。</w:t>
                  </w:r>
                </w:p>
              </w:tc>
              <w:tc>
                <w:tcPr>
                  <w:tcW w:w="531" w:type="dxa"/>
                  <w:vMerge w:val="continue"/>
                  <w:vAlign w:val="center"/>
                </w:tcPr>
                <w:p w14:paraId="0CEA0A4D">
                  <w:pPr>
                    <w:pStyle w:val="57"/>
                    <w:jc w:val="both"/>
                    <w:rPr>
                      <w:rFonts w:ascii="Times New Roman" w:hAnsi="Times New Roman" w:cs="Times New Roman" w:eastAsiaTheme="minorEastAsia"/>
                      <w:sz w:val="21"/>
                      <w:szCs w:val="21"/>
                      <w:highlight w:val="none"/>
                      <w:lang w:eastAsia="zh-CN"/>
                    </w:rPr>
                  </w:pPr>
                </w:p>
              </w:tc>
            </w:tr>
            <w:tr w14:paraId="17426D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6D01A8C3">
                  <w:pPr>
                    <w:pStyle w:val="57"/>
                    <w:jc w:val="center"/>
                    <w:rPr>
                      <w:rFonts w:ascii="Times New Roman" w:hAnsi="Times New Roman" w:cs="Times New Roman" w:eastAsiaTheme="minorEastAsia"/>
                      <w:szCs w:val="21"/>
                      <w:highlight w:val="none"/>
                      <w:lang w:eastAsia="zh-CN"/>
                    </w:rPr>
                  </w:pPr>
                </w:p>
              </w:tc>
              <w:tc>
                <w:tcPr>
                  <w:tcW w:w="4790" w:type="dxa"/>
                  <w:vAlign w:val="center"/>
                </w:tcPr>
                <w:p w14:paraId="73B421B8">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6、一般工业固体废物贮存场、填埋场的选址、建设、运行、封场、土地复垦等过程的环境保护要求，以及替代贮存、填埋处置的一般工业固体废物充填及回填利用环境保护要求应执行《一般工业固体废物贮存和填埋</w:t>
                  </w:r>
                  <w:r>
                    <w:rPr>
                      <w:rFonts w:hint="eastAsia" w:ascii="Times New Roman" w:hAnsi="Times New Roman" w:eastAsia="宋体" w:cs="Times New Roman"/>
                      <w:sz w:val="21"/>
                      <w:szCs w:val="21"/>
                      <w:highlight w:val="none"/>
                      <w:lang w:val="en-US" w:eastAsia="zh-CN"/>
                    </w:rPr>
                    <w:t>污染控制标准》（</w:t>
                  </w:r>
                  <w:r>
                    <w:rPr>
                      <w:rFonts w:ascii="Times New Roman" w:hAnsi="Times New Roman" w:eastAsia="宋体" w:cs="Times New Roman"/>
                      <w:sz w:val="21"/>
                      <w:szCs w:val="21"/>
                      <w:highlight w:val="none"/>
                      <w:lang w:val="en-US" w:eastAsia="zh-CN"/>
                    </w:rPr>
                    <w:t>GB18599-2020</w:t>
                  </w:r>
                  <w:r>
                    <w:rPr>
                      <w:rFonts w:hint="eastAsia" w:ascii="Times New Roman" w:hAnsi="Times New Roman" w:eastAsia="宋体" w:cs="Times New Roman"/>
                      <w:sz w:val="21"/>
                      <w:szCs w:val="21"/>
                      <w:highlight w:val="none"/>
                      <w:lang w:val="en-US" w:eastAsia="zh-CN"/>
                    </w:rPr>
                    <w:t>）。</w:t>
                  </w:r>
                </w:p>
              </w:tc>
              <w:tc>
                <w:tcPr>
                  <w:tcW w:w="2256" w:type="dxa"/>
                  <w:vAlign w:val="center"/>
                </w:tcPr>
                <w:p w14:paraId="607E8ACD">
                  <w:pPr>
                    <w:pStyle w:val="57"/>
                    <w:jc w:val="both"/>
                    <w:rPr>
                      <w:rFonts w:ascii="Times New Roman" w:hAnsi="Times New Roman" w:cs="Times New Roman" w:eastAsiaTheme="minorEastAsia"/>
                      <w:sz w:val="21"/>
                      <w:szCs w:val="21"/>
                      <w:highlight w:val="none"/>
                      <w:lang w:eastAsia="zh-CN"/>
                    </w:rPr>
                  </w:pPr>
                  <w:r>
                    <w:rPr>
                      <w:rFonts w:hint="eastAsia" w:ascii="Times New Roman" w:hAnsi="Times New Roman" w:eastAsia="宋体" w:cs="Times New Roman"/>
                      <w:sz w:val="21"/>
                      <w:szCs w:val="21"/>
                      <w:highlight w:val="none"/>
                      <w:lang w:eastAsia="zh-CN"/>
                    </w:rPr>
                    <w:t>项目不属于一般工业固体废物贮存场、填埋场。</w:t>
                  </w:r>
                </w:p>
              </w:tc>
              <w:tc>
                <w:tcPr>
                  <w:tcW w:w="531" w:type="dxa"/>
                  <w:vMerge w:val="continue"/>
                  <w:vAlign w:val="center"/>
                </w:tcPr>
                <w:p w14:paraId="719FB728">
                  <w:pPr>
                    <w:pStyle w:val="57"/>
                    <w:jc w:val="both"/>
                    <w:rPr>
                      <w:rFonts w:ascii="Times New Roman" w:hAnsi="Times New Roman" w:cs="Times New Roman" w:eastAsiaTheme="minorEastAsia"/>
                      <w:sz w:val="21"/>
                      <w:szCs w:val="21"/>
                      <w:highlight w:val="none"/>
                      <w:lang w:eastAsia="zh-CN"/>
                    </w:rPr>
                  </w:pPr>
                </w:p>
              </w:tc>
            </w:tr>
            <w:tr w14:paraId="399129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6A7BE787">
                  <w:pPr>
                    <w:pStyle w:val="57"/>
                    <w:jc w:val="center"/>
                    <w:rPr>
                      <w:rFonts w:ascii="Times New Roman" w:hAnsi="Times New Roman" w:cs="Times New Roman" w:eastAsiaTheme="minorEastAsia"/>
                      <w:szCs w:val="21"/>
                      <w:highlight w:val="none"/>
                      <w:lang w:eastAsia="zh-CN"/>
                    </w:rPr>
                  </w:pPr>
                </w:p>
              </w:tc>
              <w:tc>
                <w:tcPr>
                  <w:tcW w:w="4790" w:type="dxa"/>
                  <w:vAlign w:val="center"/>
                </w:tcPr>
                <w:p w14:paraId="2E6E28DF">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7、新建危险废物填埋场的建设、运行、封场及封场后环境管理过程的污染控制，现有危险废物填埋场的入场要求、运行要求、污染物排放要求、封场及封场后环境管理要求应满足《危险废物填埋污染控制标准》（</w:t>
                  </w:r>
                  <w:r>
                    <w:rPr>
                      <w:rFonts w:ascii="Times New Roman" w:hAnsi="Times New Roman" w:eastAsia="宋体" w:cs="Times New Roman"/>
                      <w:sz w:val="21"/>
                      <w:szCs w:val="21"/>
                      <w:highlight w:val="none"/>
                      <w:lang w:eastAsia="zh-CN"/>
                    </w:rPr>
                    <w:t>GB18598-2019</w:t>
                  </w:r>
                  <w:r>
                    <w:rPr>
                      <w:rFonts w:hint="eastAsia" w:ascii="Times New Roman" w:hAnsi="Times New Roman" w:eastAsia="宋体" w:cs="Times New Roman"/>
                      <w:sz w:val="21"/>
                      <w:szCs w:val="21"/>
                      <w:highlight w:val="none"/>
                      <w:lang w:eastAsia="zh-CN"/>
                    </w:rPr>
                    <w:t>）。</w:t>
                  </w:r>
                </w:p>
              </w:tc>
              <w:tc>
                <w:tcPr>
                  <w:tcW w:w="2256" w:type="dxa"/>
                  <w:vAlign w:val="center"/>
                </w:tcPr>
                <w:p w14:paraId="5322AC08">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项目不属于危险废物填埋场。</w:t>
                  </w:r>
                </w:p>
              </w:tc>
              <w:tc>
                <w:tcPr>
                  <w:tcW w:w="531" w:type="dxa"/>
                  <w:vMerge w:val="continue"/>
                  <w:vAlign w:val="center"/>
                </w:tcPr>
                <w:p w14:paraId="742E9182">
                  <w:pPr>
                    <w:pStyle w:val="57"/>
                    <w:jc w:val="both"/>
                    <w:rPr>
                      <w:rFonts w:ascii="Times New Roman" w:hAnsi="Times New Roman" w:cs="Times New Roman" w:eastAsiaTheme="minorEastAsia"/>
                      <w:sz w:val="21"/>
                      <w:szCs w:val="21"/>
                      <w:highlight w:val="none"/>
                      <w:lang w:eastAsia="zh-CN"/>
                    </w:rPr>
                  </w:pPr>
                </w:p>
              </w:tc>
            </w:tr>
            <w:tr w14:paraId="59D13C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11025320">
                  <w:pPr>
                    <w:pStyle w:val="57"/>
                    <w:jc w:val="center"/>
                    <w:rPr>
                      <w:rFonts w:ascii="Times New Roman" w:hAnsi="Times New Roman" w:cs="Times New Roman" w:eastAsiaTheme="minorEastAsia"/>
                      <w:szCs w:val="21"/>
                      <w:highlight w:val="none"/>
                      <w:lang w:eastAsia="zh-CN"/>
                    </w:rPr>
                  </w:pPr>
                </w:p>
              </w:tc>
              <w:tc>
                <w:tcPr>
                  <w:tcW w:w="4790" w:type="dxa"/>
                  <w:vAlign w:val="center"/>
                </w:tcPr>
                <w:p w14:paraId="213BA6ED">
                  <w:pPr>
                    <w:pStyle w:val="57"/>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8、将潮河干流流经的古北口镇、高岭镇、太师屯镇、黄旗镇、土城镇、大阁镇、南关蒙古族乡、胡麻营镇、黑山咀镇、天桥镇、虎什哈镇、付家店满族乡、巴克什营镇等乡镇划为重点化肥农药减量区，其他区域划为一般化肥减量区。2025 年底前，流域内化肥农药施用总量降低20%以上。</w:t>
                  </w:r>
                </w:p>
              </w:tc>
              <w:tc>
                <w:tcPr>
                  <w:tcW w:w="2256" w:type="dxa"/>
                  <w:vAlign w:val="center"/>
                </w:tcPr>
                <w:p w14:paraId="087FA3B3">
                  <w:pPr>
                    <w:pStyle w:val="57"/>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项目不涉及潮河干流。</w:t>
                  </w:r>
                </w:p>
              </w:tc>
              <w:tc>
                <w:tcPr>
                  <w:tcW w:w="531" w:type="dxa"/>
                  <w:vMerge w:val="continue"/>
                  <w:vAlign w:val="center"/>
                </w:tcPr>
                <w:p w14:paraId="23B7B616">
                  <w:pPr>
                    <w:pStyle w:val="57"/>
                    <w:jc w:val="both"/>
                    <w:rPr>
                      <w:rFonts w:ascii="Times New Roman" w:hAnsi="Times New Roman" w:cs="Times New Roman" w:eastAsiaTheme="minorEastAsia"/>
                      <w:sz w:val="21"/>
                      <w:szCs w:val="21"/>
                      <w:highlight w:val="none"/>
                      <w:lang w:eastAsia="zh-CN"/>
                    </w:rPr>
                  </w:pPr>
                </w:p>
              </w:tc>
            </w:tr>
            <w:tr w14:paraId="19BC0A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4B04A0FC">
                  <w:pPr>
                    <w:pStyle w:val="57"/>
                    <w:jc w:val="center"/>
                    <w:rPr>
                      <w:rFonts w:ascii="Times New Roman" w:hAnsi="Times New Roman" w:cs="Times New Roman" w:eastAsiaTheme="minorEastAsia"/>
                      <w:szCs w:val="21"/>
                      <w:highlight w:val="none"/>
                      <w:lang w:eastAsia="zh-CN"/>
                    </w:rPr>
                  </w:pPr>
                </w:p>
              </w:tc>
              <w:tc>
                <w:tcPr>
                  <w:tcW w:w="4790" w:type="dxa"/>
                  <w:vAlign w:val="center"/>
                </w:tcPr>
                <w:p w14:paraId="0BA0B30D">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9、2025年，承德市化学需氧量重点工程减排量1.27 万吨、氨氮重点工程减排量0.041 万吨。</w:t>
                  </w:r>
                </w:p>
              </w:tc>
              <w:tc>
                <w:tcPr>
                  <w:tcW w:w="2256" w:type="dxa"/>
                  <w:vAlign w:val="center"/>
                </w:tcPr>
                <w:p w14:paraId="2F01A27C">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项目工程不属于重点工程。</w:t>
                  </w:r>
                </w:p>
              </w:tc>
              <w:tc>
                <w:tcPr>
                  <w:tcW w:w="531" w:type="dxa"/>
                  <w:vMerge w:val="continue"/>
                  <w:vAlign w:val="center"/>
                </w:tcPr>
                <w:p w14:paraId="6CC341B1">
                  <w:pPr>
                    <w:pStyle w:val="57"/>
                    <w:jc w:val="both"/>
                    <w:rPr>
                      <w:rFonts w:ascii="Times New Roman" w:hAnsi="Times New Roman" w:cs="Times New Roman" w:eastAsiaTheme="minorEastAsia"/>
                      <w:sz w:val="21"/>
                      <w:szCs w:val="21"/>
                      <w:highlight w:val="none"/>
                      <w:lang w:eastAsia="zh-CN"/>
                    </w:rPr>
                  </w:pPr>
                </w:p>
              </w:tc>
            </w:tr>
            <w:tr w14:paraId="3EAACA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 w:hRule="atLeast"/>
                <w:jc w:val="center"/>
              </w:trPr>
              <w:tc>
                <w:tcPr>
                  <w:tcW w:w="664" w:type="dxa"/>
                  <w:vMerge w:val="restart"/>
                  <w:vAlign w:val="center"/>
                </w:tcPr>
                <w:p w14:paraId="2A994066">
                  <w:pPr>
                    <w:pStyle w:val="57"/>
                    <w:jc w:val="center"/>
                    <w:rPr>
                      <w:rFonts w:ascii="Times New Roman" w:hAnsi="Times New Roman" w:eastAsia="宋体" w:cs="Times New Roman"/>
                      <w:szCs w:val="21"/>
                      <w:highlight w:val="none"/>
                      <w:lang w:eastAsia="en-US"/>
                    </w:rPr>
                  </w:pPr>
                  <w:r>
                    <w:rPr>
                      <w:rFonts w:ascii="Times New Roman" w:hAnsi="Times New Roman" w:eastAsia="宋体" w:cs="Times New Roman"/>
                      <w:sz w:val="21"/>
                      <w:szCs w:val="21"/>
                      <w:highlight w:val="none"/>
                      <w:lang w:eastAsia="en-US"/>
                    </w:rPr>
                    <w:t>环境风险防</w:t>
                  </w:r>
                  <w:r>
                    <w:rPr>
                      <w:rFonts w:hint="eastAsia" w:ascii="Times New Roman" w:hAnsi="Times New Roman" w:eastAsia="宋体" w:cs="Times New Roman"/>
                      <w:sz w:val="21"/>
                      <w:szCs w:val="21"/>
                      <w:highlight w:val="none"/>
                      <w:lang w:eastAsia="zh-CN"/>
                    </w:rPr>
                    <w:t>控</w:t>
                  </w:r>
                  <w:r>
                    <w:rPr>
                      <w:rFonts w:ascii="Times New Roman" w:hAnsi="Times New Roman" w:eastAsia="宋体" w:cs="Times New Roman"/>
                      <w:sz w:val="21"/>
                      <w:szCs w:val="21"/>
                      <w:highlight w:val="none"/>
                      <w:lang w:eastAsia="en-US"/>
                    </w:rPr>
                    <w:t xml:space="preserve"> </w:t>
                  </w:r>
                </w:p>
              </w:tc>
              <w:tc>
                <w:tcPr>
                  <w:tcW w:w="4790" w:type="dxa"/>
                  <w:vAlign w:val="center"/>
                </w:tcPr>
                <w:p w14:paraId="54484885">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1、限制建设《环境保护综合名录》（20</w:t>
                  </w:r>
                  <w:r>
                    <w:rPr>
                      <w:rFonts w:ascii="Times New Roman" w:hAnsi="Times New Roman" w:eastAsia="宋体" w:cs="Times New Roman"/>
                      <w:sz w:val="21"/>
                      <w:szCs w:val="21"/>
                      <w:highlight w:val="none"/>
                      <w:lang w:eastAsia="zh-CN"/>
                    </w:rPr>
                    <w:t>21</w:t>
                  </w:r>
                  <w:r>
                    <w:rPr>
                      <w:rFonts w:hint="eastAsia" w:ascii="Times New Roman" w:hAnsi="Times New Roman" w:eastAsia="宋体" w:cs="Times New Roman"/>
                      <w:sz w:val="21"/>
                      <w:szCs w:val="21"/>
                      <w:highlight w:val="none"/>
                      <w:lang w:eastAsia="zh-CN"/>
                    </w:rPr>
                    <w:t>年版）中“高污染、高环境风险”产品与工艺装备。</w:t>
                  </w:r>
                </w:p>
              </w:tc>
              <w:tc>
                <w:tcPr>
                  <w:tcW w:w="2256" w:type="dxa"/>
                  <w:vAlign w:val="center"/>
                </w:tcPr>
                <w:p w14:paraId="7412EA62">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项目不涉及</w:t>
                  </w:r>
                  <w:r>
                    <w:rPr>
                      <w:rFonts w:ascii="Times New Roman" w:hAnsi="Times New Roman" w:eastAsia="宋体" w:cs="Times New Roman"/>
                      <w:sz w:val="21"/>
                      <w:szCs w:val="21"/>
                      <w:highlight w:val="none"/>
                      <w:lang w:eastAsia="zh-CN"/>
                    </w:rPr>
                    <w:t>“高污染、高环境风险”产品与工艺装备</w:t>
                  </w:r>
                </w:p>
              </w:tc>
              <w:tc>
                <w:tcPr>
                  <w:tcW w:w="531" w:type="dxa"/>
                  <w:vMerge w:val="restart"/>
                  <w:vAlign w:val="center"/>
                </w:tcPr>
                <w:p w14:paraId="14B6AA2A">
                  <w:pPr>
                    <w:pStyle w:val="57"/>
                    <w:jc w:val="center"/>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符合</w:t>
                  </w:r>
                </w:p>
              </w:tc>
            </w:tr>
            <w:tr w14:paraId="15C5A8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79B1FE90">
                  <w:pPr>
                    <w:pStyle w:val="57"/>
                    <w:jc w:val="center"/>
                    <w:rPr>
                      <w:rFonts w:ascii="Times New Roman" w:hAnsi="Times New Roman" w:cs="Times New Roman" w:eastAsiaTheme="minorEastAsia"/>
                      <w:szCs w:val="21"/>
                      <w:highlight w:val="none"/>
                      <w:lang w:eastAsia="en-US"/>
                    </w:rPr>
                  </w:pPr>
                </w:p>
              </w:tc>
              <w:tc>
                <w:tcPr>
                  <w:tcW w:w="4790" w:type="dxa"/>
                  <w:vAlign w:val="center"/>
                </w:tcPr>
                <w:p w14:paraId="3C7FE5E8">
                  <w:pPr>
                    <w:pStyle w:val="57"/>
                    <w:jc w:val="both"/>
                    <w:rPr>
                      <w:rFonts w:ascii="Times New Roman" w:hAnsi="Times New Roman" w:cs="Times New Roman" w:eastAsiaTheme="minorEastAsia"/>
                      <w:sz w:val="21"/>
                      <w:szCs w:val="21"/>
                      <w:highlight w:val="none"/>
                      <w:lang w:eastAsia="zh-CN"/>
                    </w:rPr>
                  </w:pPr>
                  <w:r>
                    <w:rPr>
                      <w:rFonts w:hint="eastAsia" w:ascii="Times New Roman" w:hAnsi="Times New Roman" w:cs="Times New Roman" w:eastAsiaTheme="minorEastAsia"/>
                      <w:sz w:val="21"/>
                      <w:szCs w:val="21"/>
                      <w:highlight w:val="none"/>
                      <w:lang w:eastAsia="zh-CN"/>
                    </w:rPr>
                    <w:t>2、</w:t>
                  </w:r>
                  <w:r>
                    <w:rPr>
                      <w:rFonts w:hint="eastAsia" w:ascii="Times New Roman" w:hAnsi="Times New Roman" w:eastAsia="宋体" w:cs="Times New Roman"/>
                      <w:sz w:val="21"/>
                      <w:szCs w:val="21"/>
                      <w:highlight w:val="none"/>
                      <w:lang w:eastAsia="zh-CN"/>
                    </w:rPr>
                    <w:t>限制建设排放《有毒有害水污染物名录》中所列有毒有害污染物的项目。</w:t>
                  </w:r>
                </w:p>
              </w:tc>
              <w:tc>
                <w:tcPr>
                  <w:tcW w:w="2256" w:type="dxa"/>
                  <w:vAlign w:val="center"/>
                </w:tcPr>
                <w:p w14:paraId="11A3B80C">
                  <w:pPr>
                    <w:pStyle w:val="57"/>
                    <w:jc w:val="both"/>
                    <w:rPr>
                      <w:rFonts w:ascii="Times New Roman" w:hAnsi="Times New Roman" w:cs="Times New Roman" w:eastAsiaTheme="minorEastAsia"/>
                      <w:sz w:val="21"/>
                      <w:szCs w:val="21"/>
                      <w:highlight w:val="none"/>
                      <w:lang w:eastAsia="zh-CN"/>
                    </w:rPr>
                  </w:pPr>
                  <w:r>
                    <w:rPr>
                      <w:rFonts w:hint="eastAsia" w:ascii="Times New Roman" w:hAnsi="Times New Roman" w:eastAsia="宋体" w:cs="Times New Roman"/>
                      <w:sz w:val="21"/>
                      <w:szCs w:val="21"/>
                      <w:highlight w:val="none"/>
                      <w:lang w:eastAsia="zh-CN"/>
                    </w:rPr>
                    <w:t>项目不涉及有毒有害污染物的排放。</w:t>
                  </w:r>
                </w:p>
              </w:tc>
              <w:tc>
                <w:tcPr>
                  <w:tcW w:w="531" w:type="dxa"/>
                  <w:vMerge w:val="continue"/>
                  <w:vAlign w:val="center"/>
                </w:tcPr>
                <w:p w14:paraId="50D851C4">
                  <w:pPr>
                    <w:pStyle w:val="57"/>
                    <w:jc w:val="center"/>
                    <w:rPr>
                      <w:rFonts w:ascii="Times New Roman" w:hAnsi="Times New Roman" w:cs="Times New Roman" w:eastAsiaTheme="minorEastAsia"/>
                      <w:sz w:val="21"/>
                      <w:szCs w:val="21"/>
                      <w:highlight w:val="none"/>
                      <w:lang w:eastAsia="zh-CN"/>
                    </w:rPr>
                  </w:pPr>
                </w:p>
              </w:tc>
            </w:tr>
            <w:tr w14:paraId="10EEAF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5AED00C1">
                  <w:pPr>
                    <w:pStyle w:val="57"/>
                    <w:jc w:val="both"/>
                    <w:rPr>
                      <w:rFonts w:ascii="Times New Roman" w:hAnsi="Times New Roman" w:eastAsia="宋体" w:cs="Times New Roman"/>
                      <w:szCs w:val="21"/>
                      <w:highlight w:val="none"/>
                      <w:lang w:eastAsia="zh-CN"/>
                    </w:rPr>
                  </w:pPr>
                </w:p>
              </w:tc>
              <w:tc>
                <w:tcPr>
                  <w:tcW w:w="4790" w:type="dxa"/>
                  <w:vAlign w:val="center"/>
                </w:tcPr>
                <w:p w14:paraId="5142C25B">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3、矿山企业及尾矿库的运营和管理单位应当加强环境规范化管理，对原料和堆场采取防渗、防风和防洪等措施，防止污染滦河、潮河水环境，尾矿库闭库后应当及时复垦。</w:t>
                  </w:r>
                </w:p>
              </w:tc>
              <w:tc>
                <w:tcPr>
                  <w:tcW w:w="2256" w:type="dxa"/>
                  <w:vAlign w:val="center"/>
                </w:tcPr>
                <w:p w14:paraId="0926F986">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项目企业不属于矿山企业。</w:t>
                  </w:r>
                </w:p>
              </w:tc>
              <w:tc>
                <w:tcPr>
                  <w:tcW w:w="531" w:type="dxa"/>
                  <w:vMerge w:val="continue"/>
                  <w:vAlign w:val="center"/>
                </w:tcPr>
                <w:p w14:paraId="373F42B3">
                  <w:pPr>
                    <w:pStyle w:val="57"/>
                    <w:jc w:val="both"/>
                    <w:rPr>
                      <w:rFonts w:ascii="Times New Roman" w:hAnsi="Times New Roman" w:eastAsia="宋体" w:cs="Times New Roman"/>
                      <w:sz w:val="21"/>
                      <w:szCs w:val="21"/>
                      <w:highlight w:val="none"/>
                      <w:lang w:eastAsia="zh-CN"/>
                    </w:rPr>
                  </w:pPr>
                </w:p>
              </w:tc>
            </w:tr>
            <w:tr w14:paraId="2C780C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2FD4B531">
                  <w:pPr>
                    <w:pStyle w:val="57"/>
                    <w:jc w:val="both"/>
                    <w:rPr>
                      <w:rFonts w:ascii="Times New Roman" w:hAnsi="Times New Roman" w:eastAsia="宋体" w:cs="Times New Roman"/>
                      <w:szCs w:val="21"/>
                      <w:highlight w:val="none"/>
                      <w:lang w:eastAsia="zh-CN"/>
                    </w:rPr>
                  </w:pPr>
                </w:p>
              </w:tc>
              <w:tc>
                <w:tcPr>
                  <w:tcW w:w="4790" w:type="dxa"/>
                  <w:vAlign w:val="center"/>
                </w:tcPr>
                <w:p w14:paraId="0E37DC64">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4、滦河、潮河流域内从事旅游、运动娱乐项目的经营者应当配备污染物、废弃物的收集和处理设施，防止对水质的污染。</w:t>
                  </w:r>
                </w:p>
              </w:tc>
              <w:tc>
                <w:tcPr>
                  <w:tcW w:w="2256" w:type="dxa"/>
                  <w:vAlign w:val="center"/>
                </w:tcPr>
                <w:p w14:paraId="100E95AA">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项目不属于旅游、运动娱乐项目。</w:t>
                  </w:r>
                </w:p>
              </w:tc>
              <w:tc>
                <w:tcPr>
                  <w:tcW w:w="531" w:type="dxa"/>
                  <w:vMerge w:val="continue"/>
                  <w:vAlign w:val="center"/>
                </w:tcPr>
                <w:p w14:paraId="1A904A1D">
                  <w:pPr>
                    <w:pStyle w:val="57"/>
                    <w:jc w:val="both"/>
                    <w:rPr>
                      <w:rFonts w:ascii="Times New Roman" w:hAnsi="Times New Roman" w:eastAsia="宋体" w:cs="Times New Roman"/>
                      <w:sz w:val="21"/>
                      <w:szCs w:val="21"/>
                      <w:highlight w:val="none"/>
                      <w:lang w:eastAsia="zh-CN"/>
                    </w:rPr>
                  </w:pPr>
                </w:p>
              </w:tc>
            </w:tr>
            <w:tr w14:paraId="0E77AA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restart"/>
                  <w:vAlign w:val="center"/>
                </w:tcPr>
                <w:p w14:paraId="47068E5E">
                  <w:pPr>
                    <w:pStyle w:val="57"/>
                    <w:jc w:val="center"/>
                    <w:rPr>
                      <w:rFonts w:ascii="Times New Roman" w:hAnsi="Times New Roman" w:cs="Times New Roman" w:eastAsiaTheme="minorEastAsia"/>
                      <w:szCs w:val="21"/>
                      <w:highlight w:val="none"/>
                      <w:lang w:eastAsia="en-US"/>
                    </w:rPr>
                  </w:pPr>
                  <w:r>
                    <w:rPr>
                      <w:rFonts w:hint="eastAsia" w:ascii="Times New Roman" w:hAnsi="Times New Roman" w:eastAsia="宋体" w:cs="Times New Roman"/>
                      <w:sz w:val="21"/>
                      <w:szCs w:val="21"/>
                      <w:highlight w:val="none"/>
                      <w:lang w:eastAsia="en-US"/>
                    </w:rPr>
                    <w:t>资源利用效率</w:t>
                  </w:r>
                </w:p>
              </w:tc>
              <w:tc>
                <w:tcPr>
                  <w:tcW w:w="4790" w:type="dxa"/>
                  <w:vAlign w:val="center"/>
                </w:tcPr>
                <w:p w14:paraId="61908F5A">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1.到2025 年，城市建成区基本实现污水全收集、全处理，县级城市建成区全面消除黑臭水体，建制镇污水收集处理能力明显提升，城市、县城平均污泥无害化处理率保持在97%以上。</w:t>
                  </w:r>
                </w:p>
              </w:tc>
              <w:tc>
                <w:tcPr>
                  <w:tcW w:w="2256" w:type="dxa"/>
                  <w:vAlign w:val="center"/>
                </w:tcPr>
                <w:p w14:paraId="01D85C6C">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项目不位于城市建成区</w:t>
                  </w:r>
                </w:p>
              </w:tc>
              <w:tc>
                <w:tcPr>
                  <w:tcW w:w="531" w:type="dxa"/>
                  <w:vMerge w:val="restart"/>
                  <w:vAlign w:val="center"/>
                </w:tcPr>
                <w:p w14:paraId="645E3DD9">
                  <w:pPr>
                    <w:pStyle w:val="57"/>
                    <w:jc w:val="center"/>
                    <w:rPr>
                      <w:rFonts w:ascii="Times New Roman" w:hAnsi="Times New Roman" w:cs="Times New Roman" w:eastAsiaTheme="minorEastAsia"/>
                      <w:sz w:val="21"/>
                      <w:szCs w:val="21"/>
                      <w:highlight w:val="none"/>
                      <w:lang w:eastAsia="zh-CN"/>
                    </w:rPr>
                  </w:pPr>
                  <w:r>
                    <w:rPr>
                      <w:rFonts w:hint="eastAsia" w:ascii="Times New Roman" w:hAnsi="Times New Roman" w:eastAsia="宋体" w:cs="Times New Roman"/>
                      <w:sz w:val="21"/>
                      <w:szCs w:val="21"/>
                      <w:highlight w:val="none"/>
                      <w:lang w:eastAsia="en-US"/>
                    </w:rPr>
                    <w:t>符合</w:t>
                  </w:r>
                </w:p>
              </w:tc>
            </w:tr>
            <w:tr w14:paraId="300FEB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1C725759">
                  <w:pPr>
                    <w:pStyle w:val="57"/>
                    <w:jc w:val="both"/>
                    <w:rPr>
                      <w:rFonts w:ascii="Times New Roman" w:hAnsi="Times New Roman" w:cs="Times New Roman" w:eastAsiaTheme="minorEastAsia"/>
                      <w:szCs w:val="21"/>
                      <w:highlight w:val="none"/>
                      <w:lang w:eastAsia="zh-CN"/>
                    </w:rPr>
                  </w:pPr>
                </w:p>
              </w:tc>
              <w:tc>
                <w:tcPr>
                  <w:tcW w:w="4790" w:type="dxa"/>
                  <w:vAlign w:val="center"/>
                </w:tcPr>
                <w:p w14:paraId="698DC267">
                  <w:pPr>
                    <w:pStyle w:val="57"/>
                    <w:jc w:val="both"/>
                    <w:rPr>
                      <w:rFonts w:ascii="Times New Roman" w:hAnsi="Times New Roman" w:eastAsia="宋体" w:cs="Times New Roman"/>
                      <w:sz w:val="21"/>
                      <w:szCs w:val="21"/>
                      <w:highlight w:val="none"/>
                      <w:lang w:eastAsia="zh-CN"/>
                    </w:rPr>
                  </w:pPr>
                  <w:r>
                    <w:rPr>
                      <w:rFonts w:ascii="Times New Roman" w:hAnsi="Times New Roman" w:eastAsia="宋体" w:cs="Times New Roman"/>
                      <w:sz w:val="21"/>
                      <w:szCs w:val="21"/>
                      <w:highlight w:val="none"/>
                      <w:lang w:eastAsia="zh-CN"/>
                    </w:rPr>
                    <w:t>2.</w:t>
                  </w:r>
                  <w:r>
                    <w:rPr>
                      <w:rFonts w:hint="eastAsia" w:ascii="Times New Roman" w:hAnsi="Times New Roman" w:eastAsia="宋体" w:cs="Times New Roman"/>
                      <w:sz w:val="21"/>
                      <w:szCs w:val="21"/>
                      <w:highlight w:val="none"/>
                      <w:lang w:eastAsia="zh-CN"/>
                    </w:rPr>
                    <w:t>到</w:t>
                  </w:r>
                  <w:r>
                    <w:rPr>
                      <w:rFonts w:ascii="Times New Roman" w:hAnsi="Times New Roman" w:eastAsia="宋体" w:cs="Times New Roman"/>
                      <w:sz w:val="21"/>
                      <w:szCs w:val="21"/>
                      <w:highlight w:val="none"/>
                      <w:lang w:eastAsia="zh-CN"/>
                    </w:rPr>
                    <w:t>2025</w:t>
                  </w:r>
                  <w:r>
                    <w:rPr>
                      <w:rFonts w:hint="eastAsia" w:ascii="Times New Roman" w:hAnsi="Times New Roman" w:eastAsia="宋体" w:cs="Times New Roman"/>
                      <w:sz w:val="21"/>
                      <w:szCs w:val="21"/>
                      <w:highlight w:val="none"/>
                      <w:lang w:eastAsia="zh-CN"/>
                    </w:rPr>
                    <w:t>年，化肥、农药施用量保持零增长，畜禽粪污综合利用率达</w:t>
                  </w:r>
                  <w:r>
                    <w:rPr>
                      <w:rFonts w:ascii="Times New Roman" w:hAnsi="Times New Roman" w:eastAsia="宋体" w:cs="Times New Roman"/>
                      <w:sz w:val="21"/>
                      <w:szCs w:val="21"/>
                      <w:highlight w:val="none"/>
                      <w:lang w:eastAsia="zh-CN"/>
                    </w:rPr>
                    <w:t>85%</w:t>
                  </w:r>
                  <w:r>
                    <w:rPr>
                      <w:rFonts w:hint="eastAsia" w:ascii="Times New Roman" w:hAnsi="Times New Roman" w:eastAsia="宋体" w:cs="Times New Roman"/>
                      <w:sz w:val="21"/>
                      <w:szCs w:val="21"/>
                      <w:highlight w:val="none"/>
                      <w:lang w:eastAsia="zh-CN"/>
                    </w:rPr>
                    <w:t>以上，基本实现废旧农膜全回收。</w:t>
                  </w:r>
                </w:p>
              </w:tc>
              <w:tc>
                <w:tcPr>
                  <w:tcW w:w="2256" w:type="dxa"/>
                  <w:vAlign w:val="center"/>
                </w:tcPr>
                <w:p w14:paraId="7E67D7C9">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项目不涉及化肥、农药的使用，不涉及畜禽粪污。</w:t>
                  </w:r>
                </w:p>
              </w:tc>
              <w:tc>
                <w:tcPr>
                  <w:tcW w:w="531" w:type="dxa"/>
                  <w:vMerge w:val="continue"/>
                  <w:vAlign w:val="center"/>
                </w:tcPr>
                <w:p w14:paraId="70CE2936">
                  <w:pPr>
                    <w:pStyle w:val="57"/>
                    <w:jc w:val="both"/>
                    <w:rPr>
                      <w:rFonts w:ascii="Times New Roman" w:hAnsi="Times New Roman" w:cs="Times New Roman" w:eastAsiaTheme="minorEastAsia"/>
                      <w:sz w:val="21"/>
                      <w:szCs w:val="21"/>
                      <w:highlight w:val="none"/>
                      <w:lang w:eastAsia="zh-CN"/>
                    </w:rPr>
                  </w:pPr>
                </w:p>
              </w:tc>
            </w:tr>
          </w:tbl>
          <w:p w14:paraId="7D4C4E45">
            <w:pPr>
              <w:spacing w:line="360" w:lineRule="auto"/>
              <w:ind w:firstLine="48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c</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大气环境总体要求符合性</w:t>
            </w:r>
          </w:p>
          <w:p w14:paraId="54DD50EF">
            <w:pPr>
              <w:pStyle w:val="69"/>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left"/>
              <w:textAlignment w:val="auto"/>
              <w:rPr>
                <w:rFonts w:hint="eastAsia" w:ascii="Times New Roman" w:eastAsia="宋体" w:cs="Times New Roman"/>
                <w:highlight w:val="none"/>
                <w:lang w:val="en-US" w:eastAsia="zh-CN"/>
              </w:rPr>
            </w:pPr>
            <w:r>
              <w:rPr>
                <w:rFonts w:hint="eastAsia"/>
                <w:color w:val="000000" w:themeColor="text1"/>
                <w:sz w:val="24"/>
                <w:highlight w:val="none"/>
                <w14:textFill>
                  <w14:solidFill>
                    <w14:schemeClr w14:val="tx1"/>
                  </w14:solidFill>
                </w14:textFill>
              </w:rPr>
              <w:t>项目</w:t>
            </w:r>
            <w:r>
              <w:rPr>
                <w:rFonts w:hint="eastAsia"/>
                <w:color w:val="000000" w:themeColor="text1"/>
                <w:sz w:val="24"/>
                <w:highlight w:val="none"/>
                <w:lang w:val="en-US" w:eastAsia="zh-CN"/>
                <w14:textFill>
                  <w14:solidFill>
                    <w14:schemeClr w14:val="tx1"/>
                  </w14:solidFill>
                </w14:textFill>
              </w:rPr>
              <w:t>与</w:t>
            </w:r>
            <w:r>
              <w:rPr>
                <w:rFonts w:hint="eastAsia"/>
                <w:color w:val="000000" w:themeColor="text1"/>
                <w:sz w:val="24"/>
                <w:highlight w:val="none"/>
                <w14:textFill>
                  <w14:solidFill>
                    <w14:schemeClr w14:val="tx1"/>
                  </w14:solidFill>
                </w14:textFill>
              </w:rPr>
              <w:t>承德市生态环境分区管控-</w:t>
            </w:r>
            <w:r>
              <w:rPr>
                <w:rFonts w:hint="eastAsia"/>
                <w:color w:val="000000" w:themeColor="text1"/>
                <w:sz w:val="24"/>
                <w:highlight w:val="none"/>
                <w:lang w:val="en-US" w:eastAsia="zh-CN"/>
                <w14:textFill>
                  <w14:solidFill>
                    <w14:schemeClr w14:val="tx1"/>
                  </w14:solidFill>
                </w14:textFill>
              </w:rPr>
              <w:t>大气</w:t>
            </w:r>
            <w:r>
              <w:rPr>
                <w:rFonts w:hint="eastAsia"/>
                <w:color w:val="000000" w:themeColor="text1"/>
                <w:sz w:val="24"/>
                <w:highlight w:val="none"/>
                <w14:textFill>
                  <w14:solidFill>
                    <w14:schemeClr w14:val="tx1"/>
                  </w14:solidFill>
                </w14:textFill>
              </w:rPr>
              <w:t>环境总体要求</w:t>
            </w:r>
            <w:r>
              <w:rPr>
                <w:rFonts w:hint="eastAsia"/>
                <w:color w:val="000000" w:themeColor="text1"/>
                <w:sz w:val="24"/>
                <w:highlight w:val="none"/>
                <w:lang w:val="en-US" w:eastAsia="zh-CN"/>
                <w14:textFill>
                  <w14:solidFill>
                    <w14:schemeClr w14:val="tx1"/>
                  </w14:solidFill>
                </w14:textFill>
              </w:rPr>
              <w:t>符合性分析如下表</w:t>
            </w:r>
            <w:r>
              <w:rPr>
                <w:rFonts w:hint="eastAsia"/>
                <w:color w:val="000000" w:themeColor="text1"/>
                <w:sz w:val="24"/>
                <w:highlight w:val="none"/>
                <w:lang w:eastAsia="zh-CN"/>
                <w14:textFill>
                  <w14:solidFill>
                    <w14:schemeClr w14:val="tx1"/>
                  </w14:solidFill>
                </w14:textFill>
              </w:rPr>
              <w:t>。</w:t>
            </w:r>
          </w:p>
          <w:p w14:paraId="40A2413C">
            <w:pPr>
              <w:pStyle w:val="50"/>
              <w:numPr>
                <w:ilvl w:val="0"/>
                <w:numId w:val="4"/>
              </w:numPr>
              <w:spacing w:line="360" w:lineRule="auto"/>
              <w:ind w:firstLineChars="0"/>
              <w:jc w:val="center"/>
              <w:rPr>
                <w:rFonts w:ascii="Times New Roman" w:hAnsi="Times New Roman" w:eastAsia="宋体"/>
                <w:b/>
                <w:sz w:val="21"/>
                <w:szCs w:val="21"/>
                <w:highlight w:val="none"/>
              </w:rPr>
            </w:pPr>
            <w:r>
              <w:rPr>
                <w:rFonts w:hint="eastAsia" w:ascii="Times New Roman" w:hAnsi="Times New Roman" w:eastAsia="宋体"/>
                <w:b/>
                <w:bCs/>
                <w:sz w:val="21"/>
                <w:szCs w:val="21"/>
                <w:highlight w:val="none"/>
              </w:rPr>
              <w:t>承德市生态环境分区管控-大气环境总体要求符合性分析一览表</w:t>
            </w:r>
          </w:p>
          <w:tbl>
            <w:tblPr>
              <w:tblStyle w:val="64"/>
              <w:tblW w:w="824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64"/>
              <w:gridCol w:w="4790"/>
              <w:gridCol w:w="2256"/>
              <w:gridCol w:w="531"/>
            </w:tblGrid>
            <w:tr w14:paraId="1431D59F">
              <w:tblPrEx>
                <w:tblCellMar>
                  <w:top w:w="0" w:type="dxa"/>
                  <w:left w:w="0" w:type="dxa"/>
                  <w:bottom w:w="0" w:type="dxa"/>
                  <w:right w:w="0" w:type="dxa"/>
                </w:tblCellMar>
              </w:tblPrEx>
              <w:trPr>
                <w:trHeight w:val="237" w:hRule="atLeast"/>
                <w:jc w:val="center"/>
              </w:trPr>
              <w:tc>
                <w:tcPr>
                  <w:tcW w:w="664" w:type="dxa"/>
                  <w:vAlign w:val="center"/>
                </w:tcPr>
                <w:p w14:paraId="0CACC2F7">
                  <w:pPr>
                    <w:pStyle w:val="57"/>
                    <w:jc w:val="center"/>
                    <w:rPr>
                      <w:rFonts w:ascii="Times New Roman" w:hAnsi="Times New Roman" w:eastAsia="宋体" w:cs="Times New Roman"/>
                      <w:b/>
                      <w:sz w:val="21"/>
                      <w:szCs w:val="21"/>
                      <w:highlight w:val="none"/>
                      <w:lang w:eastAsia="en-US"/>
                    </w:rPr>
                  </w:pPr>
                  <w:r>
                    <w:rPr>
                      <w:rFonts w:hint="eastAsia" w:ascii="Times New Roman" w:hAnsi="Times New Roman" w:eastAsia="宋体" w:cs="Times New Roman"/>
                      <w:b/>
                      <w:sz w:val="21"/>
                      <w:szCs w:val="21"/>
                      <w:highlight w:val="none"/>
                      <w:lang w:eastAsia="zh-CN"/>
                    </w:rPr>
                    <w:t>维度</w:t>
                  </w:r>
                </w:p>
              </w:tc>
              <w:tc>
                <w:tcPr>
                  <w:tcW w:w="4790" w:type="dxa"/>
                  <w:vAlign w:val="center"/>
                </w:tcPr>
                <w:p w14:paraId="5AC03B8C">
                  <w:pPr>
                    <w:pStyle w:val="57"/>
                    <w:jc w:val="center"/>
                    <w:rPr>
                      <w:rFonts w:ascii="Times New Roman" w:hAnsi="Times New Roman" w:eastAsia="宋体" w:cs="Times New Roman"/>
                      <w:b/>
                      <w:sz w:val="21"/>
                      <w:szCs w:val="21"/>
                      <w:highlight w:val="none"/>
                      <w:lang w:eastAsia="en-US"/>
                    </w:rPr>
                  </w:pPr>
                  <w:r>
                    <w:rPr>
                      <w:rFonts w:hint="eastAsia" w:ascii="Times New Roman" w:hAnsi="Times New Roman" w:eastAsia="宋体" w:cs="Times New Roman"/>
                      <w:b/>
                      <w:sz w:val="21"/>
                      <w:szCs w:val="21"/>
                      <w:highlight w:val="none"/>
                      <w:lang w:eastAsia="zh-CN"/>
                    </w:rPr>
                    <w:t>管控要求</w:t>
                  </w:r>
                </w:p>
              </w:tc>
              <w:tc>
                <w:tcPr>
                  <w:tcW w:w="2256" w:type="dxa"/>
                  <w:vAlign w:val="center"/>
                </w:tcPr>
                <w:p w14:paraId="1BB93E15">
                  <w:pPr>
                    <w:pStyle w:val="57"/>
                    <w:jc w:val="center"/>
                    <w:rPr>
                      <w:rFonts w:ascii="Times New Roman" w:hAnsi="Times New Roman" w:eastAsia="宋体" w:cs="Times New Roman"/>
                      <w:b/>
                      <w:sz w:val="21"/>
                      <w:szCs w:val="21"/>
                      <w:highlight w:val="none"/>
                      <w:lang w:eastAsia="en-US"/>
                    </w:rPr>
                  </w:pPr>
                  <w:r>
                    <w:rPr>
                      <w:rFonts w:ascii="Times New Roman" w:hAnsi="Times New Roman" w:eastAsia="宋体" w:cs="Times New Roman"/>
                      <w:b/>
                      <w:sz w:val="21"/>
                      <w:szCs w:val="21"/>
                      <w:highlight w:val="none"/>
                      <w:lang w:eastAsia="zh-CN"/>
                    </w:rPr>
                    <w:t>项目符合性分析</w:t>
                  </w:r>
                </w:p>
              </w:tc>
              <w:tc>
                <w:tcPr>
                  <w:tcW w:w="531" w:type="dxa"/>
                  <w:vAlign w:val="center"/>
                </w:tcPr>
                <w:p w14:paraId="2C8F6566">
                  <w:pPr>
                    <w:pStyle w:val="57"/>
                    <w:jc w:val="center"/>
                    <w:rPr>
                      <w:rFonts w:ascii="Times New Roman" w:hAnsi="Times New Roman" w:eastAsia="宋体" w:cs="Times New Roman"/>
                      <w:b/>
                      <w:sz w:val="21"/>
                      <w:szCs w:val="21"/>
                      <w:highlight w:val="none"/>
                      <w:lang w:eastAsia="en-US"/>
                    </w:rPr>
                  </w:pPr>
                  <w:r>
                    <w:rPr>
                      <w:rFonts w:ascii="Times New Roman" w:hAnsi="Times New Roman" w:eastAsia="宋体" w:cs="Times New Roman"/>
                      <w:b/>
                      <w:sz w:val="21"/>
                      <w:szCs w:val="21"/>
                      <w:highlight w:val="none"/>
                      <w:lang w:eastAsia="zh-CN"/>
                    </w:rPr>
                    <w:t>结论</w:t>
                  </w:r>
                </w:p>
              </w:tc>
            </w:tr>
            <w:tr w14:paraId="52F22E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2" w:hRule="atLeast"/>
                <w:jc w:val="center"/>
              </w:trPr>
              <w:tc>
                <w:tcPr>
                  <w:tcW w:w="664" w:type="dxa"/>
                  <w:vMerge w:val="restart"/>
                  <w:vAlign w:val="center"/>
                </w:tcPr>
                <w:p w14:paraId="56DCE6E3">
                  <w:pPr>
                    <w:pStyle w:val="57"/>
                    <w:jc w:val="center"/>
                    <w:rPr>
                      <w:rFonts w:ascii="Times New Roman" w:hAnsi="Times New Roman" w:eastAsia="宋体" w:cs="Times New Roman"/>
                      <w:sz w:val="21"/>
                      <w:szCs w:val="21"/>
                      <w:highlight w:val="none"/>
                      <w:lang w:eastAsia="en-US"/>
                    </w:rPr>
                  </w:pPr>
                  <w:r>
                    <w:rPr>
                      <w:rFonts w:hint="eastAsia" w:ascii="Times New Roman" w:hAnsi="Times New Roman" w:eastAsia="宋体" w:cs="Times New Roman"/>
                      <w:sz w:val="21"/>
                      <w:szCs w:val="21"/>
                      <w:highlight w:val="none"/>
                      <w:lang w:eastAsia="zh-CN"/>
                    </w:rPr>
                    <w:t>空间布局约束</w:t>
                  </w:r>
                </w:p>
              </w:tc>
              <w:tc>
                <w:tcPr>
                  <w:tcW w:w="4790" w:type="dxa"/>
                  <w:vAlign w:val="center"/>
                </w:tcPr>
                <w:p w14:paraId="73928028">
                  <w:pPr>
                    <w:pStyle w:val="57"/>
                    <w:jc w:val="both"/>
                    <w:rPr>
                      <w:rFonts w:ascii="Times New Roman" w:hAnsi="Times New Roman" w:eastAsia="宋体" w:cs="Times New Roman"/>
                      <w:sz w:val="21"/>
                      <w:szCs w:val="21"/>
                      <w:highlight w:val="none"/>
                      <w:lang w:eastAsia="zh-CN"/>
                    </w:rPr>
                  </w:pPr>
                  <w:r>
                    <w:rPr>
                      <w:rFonts w:ascii="Times New Roman" w:hAnsi="Times New Roman" w:eastAsia="宋体" w:cs="Times New Roman"/>
                      <w:sz w:val="21"/>
                      <w:szCs w:val="21"/>
                      <w:highlight w:val="none"/>
                      <w:lang w:val="en-US" w:eastAsia="zh-CN"/>
                    </w:rPr>
                    <w:t>1.</w:t>
                  </w:r>
                  <w:r>
                    <w:rPr>
                      <w:rFonts w:hint="eastAsia" w:ascii="Times New Roman" w:hAnsi="Times New Roman" w:eastAsia="宋体" w:cs="Times New Roman"/>
                      <w:sz w:val="21"/>
                      <w:szCs w:val="21"/>
                      <w:highlight w:val="none"/>
                      <w:lang w:val="en-US" w:eastAsia="zh-CN"/>
                    </w:rPr>
                    <w:t>各产业集聚区应限制建设不符合产业聚集区定位的项目。</w:t>
                  </w:r>
                </w:p>
              </w:tc>
              <w:tc>
                <w:tcPr>
                  <w:tcW w:w="2256" w:type="dxa"/>
                  <w:vAlign w:val="center"/>
                </w:tcPr>
                <w:p w14:paraId="564B7BBC">
                  <w:pPr>
                    <w:pStyle w:val="57"/>
                    <w:jc w:val="both"/>
                    <w:rPr>
                      <w:rFonts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项目符合开发区产业定位</w:t>
                  </w:r>
                </w:p>
              </w:tc>
              <w:tc>
                <w:tcPr>
                  <w:tcW w:w="531" w:type="dxa"/>
                  <w:vMerge w:val="restart"/>
                  <w:vAlign w:val="center"/>
                </w:tcPr>
                <w:p w14:paraId="28D6C938">
                  <w:pPr>
                    <w:pStyle w:val="57"/>
                    <w:jc w:val="center"/>
                    <w:rPr>
                      <w:rFonts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符合</w:t>
                  </w:r>
                </w:p>
              </w:tc>
            </w:tr>
            <w:tr w14:paraId="74DF52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2FF7770E">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439F13A0">
                  <w:pPr>
                    <w:pStyle w:val="57"/>
                    <w:jc w:val="both"/>
                    <w:rPr>
                      <w:rFonts w:ascii="Times New Roman" w:hAnsi="Times New Roman" w:cs="Times New Roman" w:eastAsiaTheme="minorEastAsia"/>
                      <w:sz w:val="21"/>
                      <w:szCs w:val="21"/>
                      <w:highlight w:val="none"/>
                      <w:lang w:eastAsia="zh-CN"/>
                    </w:rPr>
                  </w:pPr>
                  <w:r>
                    <w:rPr>
                      <w:rFonts w:hint="eastAsia" w:ascii="Times New Roman" w:hAnsi="Times New Roman" w:eastAsia="宋体" w:cs="Times New Roman"/>
                      <w:sz w:val="21"/>
                      <w:szCs w:val="21"/>
                      <w:highlight w:val="none"/>
                      <w:lang w:val="en-US" w:eastAsia="zh-CN"/>
                    </w:rPr>
                    <w:t>2.禁止在工业企业和产业集聚区大气污染防护距离内建设居住、学校、医院等环境敏感项目。对城市建成区内重污染企业、不符合安全防护距离和卫生防护距离的危化企业实施有序搬迁改造或依法关闭。引导重点行业向环境容量充足、扩散条件较好区域布局。</w:t>
                  </w:r>
                </w:p>
              </w:tc>
              <w:tc>
                <w:tcPr>
                  <w:tcW w:w="2256" w:type="dxa"/>
                  <w:vAlign w:val="center"/>
                </w:tcPr>
                <w:p w14:paraId="48C0BC2A">
                  <w:pPr>
                    <w:pStyle w:val="57"/>
                    <w:jc w:val="both"/>
                    <w:rPr>
                      <w:rFonts w:ascii="Times New Roman" w:hAnsi="Times New Roman" w:cs="Times New Roman" w:eastAsiaTheme="minorEastAsia"/>
                      <w:sz w:val="21"/>
                      <w:szCs w:val="21"/>
                      <w:highlight w:val="none"/>
                      <w:lang w:eastAsia="zh-CN"/>
                    </w:rPr>
                  </w:pPr>
                  <w:r>
                    <w:rPr>
                      <w:rFonts w:hint="eastAsia" w:ascii="Times New Roman" w:hAnsi="Times New Roman" w:eastAsia="宋体" w:cs="Times New Roman"/>
                      <w:sz w:val="21"/>
                      <w:szCs w:val="21"/>
                      <w:highlight w:val="none"/>
                      <w:lang w:val="en-US" w:eastAsia="zh-CN"/>
                    </w:rPr>
                    <w:t>项目不需设大气环境防护距离；项目不位于城市建成区；项目行业不属于重点行业。</w:t>
                  </w:r>
                </w:p>
              </w:tc>
              <w:tc>
                <w:tcPr>
                  <w:tcW w:w="531" w:type="dxa"/>
                  <w:vMerge w:val="continue"/>
                  <w:vAlign w:val="center"/>
                </w:tcPr>
                <w:p w14:paraId="24FF6556">
                  <w:pPr>
                    <w:pStyle w:val="57"/>
                    <w:jc w:val="center"/>
                    <w:rPr>
                      <w:rFonts w:ascii="Times New Roman" w:hAnsi="Times New Roman" w:cs="Times New Roman" w:eastAsiaTheme="minorEastAsia"/>
                      <w:sz w:val="21"/>
                      <w:szCs w:val="21"/>
                      <w:highlight w:val="none"/>
                      <w:lang w:eastAsia="zh-CN"/>
                    </w:rPr>
                  </w:pPr>
                </w:p>
              </w:tc>
            </w:tr>
            <w:tr w14:paraId="06F24B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5" w:hRule="atLeast"/>
                <w:jc w:val="center"/>
              </w:trPr>
              <w:tc>
                <w:tcPr>
                  <w:tcW w:w="664" w:type="dxa"/>
                  <w:vMerge w:val="continue"/>
                  <w:vAlign w:val="center"/>
                </w:tcPr>
                <w:p w14:paraId="365BDDAB">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7D53C940">
                  <w:pPr>
                    <w:pStyle w:val="57"/>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3.依法依规划定实施移动源低排放控制区，制定中心城区重型柴油货车绕行方案划定绕行路线，减少重型货车穿城。</w:t>
                  </w:r>
                </w:p>
              </w:tc>
              <w:tc>
                <w:tcPr>
                  <w:tcW w:w="2256" w:type="dxa"/>
                  <w:vAlign w:val="center"/>
                </w:tcPr>
                <w:p w14:paraId="125C9E2E">
                  <w:pPr>
                    <w:pStyle w:val="57"/>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项目不位于中心城区。</w:t>
                  </w:r>
                </w:p>
              </w:tc>
              <w:tc>
                <w:tcPr>
                  <w:tcW w:w="531" w:type="dxa"/>
                  <w:vMerge w:val="continue"/>
                  <w:vAlign w:val="center"/>
                </w:tcPr>
                <w:p w14:paraId="062CFCFE">
                  <w:pPr>
                    <w:pStyle w:val="57"/>
                    <w:jc w:val="center"/>
                    <w:rPr>
                      <w:rFonts w:ascii="Times New Roman" w:hAnsi="Times New Roman" w:cs="Times New Roman" w:eastAsiaTheme="minorEastAsia"/>
                      <w:sz w:val="21"/>
                      <w:szCs w:val="21"/>
                      <w:highlight w:val="none"/>
                      <w:lang w:eastAsia="zh-CN"/>
                    </w:rPr>
                  </w:pPr>
                </w:p>
              </w:tc>
            </w:tr>
            <w:tr w14:paraId="37BA53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 w:hRule="atLeast"/>
                <w:jc w:val="center"/>
              </w:trPr>
              <w:tc>
                <w:tcPr>
                  <w:tcW w:w="664" w:type="dxa"/>
                  <w:vMerge w:val="restart"/>
                  <w:vAlign w:val="center"/>
                </w:tcPr>
                <w:p w14:paraId="0CABF2A5">
                  <w:pPr>
                    <w:pStyle w:val="57"/>
                    <w:jc w:val="center"/>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污染物排放管控</w:t>
                  </w:r>
                </w:p>
              </w:tc>
              <w:tc>
                <w:tcPr>
                  <w:tcW w:w="4790" w:type="dxa"/>
                  <w:vAlign w:val="center"/>
                </w:tcPr>
                <w:p w14:paraId="3B884F7A">
                  <w:pPr>
                    <w:pStyle w:val="57"/>
                    <w:jc w:val="both"/>
                    <w:rPr>
                      <w:rFonts w:ascii="Times New Roman" w:hAnsi="Times New Roman" w:eastAsia="宋体" w:cs="Times New Roman"/>
                      <w:sz w:val="21"/>
                      <w:szCs w:val="21"/>
                      <w:highlight w:val="none"/>
                      <w:lang w:eastAsia="zh-CN"/>
                    </w:rPr>
                  </w:pPr>
                  <w:r>
                    <w:rPr>
                      <w:rFonts w:ascii="Times New Roman" w:hAnsi="Times New Roman" w:eastAsia="宋体" w:cs="Times New Roman"/>
                      <w:sz w:val="21"/>
                      <w:szCs w:val="21"/>
                      <w:highlight w:val="none"/>
                      <w:lang w:val="en-US" w:eastAsia="zh-CN"/>
                    </w:rPr>
                    <w:t>1.</w:t>
                  </w:r>
                  <w:r>
                    <w:rPr>
                      <w:rFonts w:hint="eastAsia" w:ascii="Times New Roman" w:hAnsi="Times New Roman" w:eastAsia="宋体" w:cs="Times New Roman"/>
                      <w:sz w:val="21"/>
                      <w:szCs w:val="21"/>
                      <w:highlight w:val="none"/>
                      <w:lang w:val="en-US" w:eastAsia="zh-CN"/>
                    </w:rPr>
                    <w:t>严格执行河北省生态环境准入要求，禁止建设不符合国家产业政策和行业准入条件的工业项目。</w:t>
                  </w:r>
                </w:p>
              </w:tc>
              <w:tc>
                <w:tcPr>
                  <w:tcW w:w="2256" w:type="dxa"/>
                  <w:vAlign w:val="center"/>
                </w:tcPr>
                <w:p w14:paraId="775DC340">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项目属于《产业结构调整指导目录（2024年本）》中的允许类项目，已取得围场满族蒙古族自治县数据和政务服务局出具的备案文件（围数政备变字〔2024〕50号），符合产业政策要求</w:t>
                  </w:r>
                </w:p>
              </w:tc>
              <w:tc>
                <w:tcPr>
                  <w:tcW w:w="531" w:type="dxa"/>
                  <w:vMerge w:val="restart"/>
                  <w:vAlign w:val="center"/>
                </w:tcPr>
                <w:p w14:paraId="63185679">
                  <w:pPr>
                    <w:pStyle w:val="57"/>
                    <w:jc w:val="center"/>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符合</w:t>
                  </w:r>
                </w:p>
              </w:tc>
            </w:tr>
            <w:tr w14:paraId="77209B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02196CD1">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24702CE0">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2.现有及新建企业污染排放应满足排污许可证要求。未发放排污许可证工业企业满足行业排放标准与总量控制要求。规定期限内未获得排污许可证的企业应关停退出。</w:t>
                  </w:r>
                </w:p>
              </w:tc>
              <w:tc>
                <w:tcPr>
                  <w:tcW w:w="2256" w:type="dxa"/>
                  <w:vAlign w:val="center"/>
                </w:tcPr>
                <w:p w14:paraId="7E764186">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项目污染物排放满足行业排放标准与总量控制要求</w:t>
                  </w:r>
                </w:p>
              </w:tc>
              <w:tc>
                <w:tcPr>
                  <w:tcW w:w="531" w:type="dxa"/>
                  <w:vMerge w:val="continue"/>
                  <w:vAlign w:val="center"/>
                </w:tcPr>
                <w:p w14:paraId="19BCB2B5">
                  <w:pPr>
                    <w:pStyle w:val="57"/>
                    <w:jc w:val="both"/>
                    <w:rPr>
                      <w:rFonts w:ascii="Times New Roman" w:hAnsi="Times New Roman" w:cs="Times New Roman" w:eastAsiaTheme="minorEastAsia"/>
                      <w:sz w:val="21"/>
                      <w:szCs w:val="21"/>
                      <w:highlight w:val="none"/>
                      <w:lang w:eastAsia="zh-CN"/>
                    </w:rPr>
                  </w:pPr>
                </w:p>
              </w:tc>
            </w:tr>
            <w:tr w14:paraId="63812E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38FA5DDC">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77EF8B2C">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3.巩固钢铁、水泥、焦化等重点行业和燃煤锅炉超低排放改造成效。以重点区域、高排放企业为重点，实施“一厂一策”企业减排工程，提升工业企业污染防治水平，促进企业绩效评价“晋B 升A”。</w:t>
                  </w:r>
                </w:p>
              </w:tc>
              <w:tc>
                <w:tcPr>
                  <w:tcW w:w="2256" w:type="dxa"/>
                  <w:vAlign w:val="center"/>
                </w:tcPr>
                <w:p w14:paraId="3BBB1769">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项目行业不属于钢铁、水泥、焦化等重点行业，项目不涉及燃煤锅炉。</w:t>
                  </w:r>
                </w:p>
              </w:tc>
              <w:tc>
                <w:tcPr>
                  <w:tcW w:w="531" w:type="dxa"/>
                  <w:vMerge w:val="continue"/>
                  <w:vAlign w:val="center"/>
                </w:tcPr>
                <w:p w14:paraId="137DFDE0">
                  <w:pPr>
                    <w:pStyle w:val="57"/>
                    <w:jc w:val="both"/>
                    <w:rPr>
                      <w:rFonts w:ascii="Times New Roman" w:hAnsi="Times New Roman" w:cs="Times New Roman" w:eastAsiaTheme="minorEastAsia"/>
                      <w:sz w:val="21"/>
                      <w:szCs w:val="21"/>
                      <w:highlight w:val="none"/>
                      <w:lang w:eastAsia="zh-CN"/>
                    </w:rPr>
                  </w:pPr>
                </w:p>
              </w:tc>
            </w:tr>
            <w:tr w14:paraId="1BC96B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6DF3F3ED">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42E1B366">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4.严格执行质量、环保、能耗、安全等法规标准，加大重点行业低效和过剩产能压减力度，淘汰4.3 米焦炉，关停部分1000立方米以下高炉和100吨以下转炉。</w:t>
                  </w:r>
                </w:p>
              </w:tc>
              <w:tc>
                <w:tcPr>
                  <w:tcW w:w="2256" w:type="dxa"/>
                  <w:vAlign w:val="center"/>
                </w:tcPr>
                <w:p w14:paraId="67AC23E6">
                  <w:pPr>
                    <w:pStyle w:val="57"/>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项目不涉及。</w:t>
                  </w:r>
                </w:p>
              </w:tc>
              <w:tc>
                <w:tcPr>
                  <w:tcW w:w="531" w:type="dxa"/>
                  <w:vMerge w:val="continue"/>
                  <w:vAlign w:val="center"/>
                </w:tcPr>
                <w:p w14:paraId="51EA1235">
                  <w:pPr>
                    <w:pStyle w:val="57"/>
                    <w:jc w:val="both"/>
                    <w:rPr>
                      <w:rFonts w:ascii="Times New Roman" w:hAnsi="Times New Roman" w:cs="Times New Roman" w:eastAsiaTheme="minorEastAsia"/>
                      <w:sz w:val="21"/>
                      <w:szCs w:val="21"/>
                      <w:highlight w:val="none"/>
                      <w:lang w:eastAsia="zh-CN"/>
                    </w:rPr>
                  </w:pPr>
                </w:p>
              </w:tc>
            </w:tr>
            <w:tr w14:paraId="26973E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192AE4DB">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5ED8D359">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5.现有、新改扩建医药制造工业、石油炼制工业、石油化学工业、有机化工业、炼焦工业、钢铁冶炼和压延加工业、木材加工业、家具制造业、交通运输设备制造业、表面涂装业、印刷工业项目挥发性有机物排放应满足《工业企业挥发性有机物排放控制标准》（DB13/ 2322-2016）要求，现有项目应限期完成升级改造。</w:t>
                  </w:r>
                </w:p>
                <w:p w14:paraId="3F30F884">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现有、新改扩建钢铁工业项目执行《钢铁工业大气污染物超低排放标准》（DB13/ 2169-2018）要求。</w:t>
                  </w:r>
                </w:p>
                <w:p w14:paraId="54BAC21C">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现有、新改扩建水泥工业项目执行《水泥工业大气污染物超低排放标准》（DB13/ 2167-2020）要求。</w:t>
                  </w:r>
                </w:p>
                <w:p w14:paraId="1BB58411">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现有、新改扩建平板玻璃工业项目执行《平板玻璃工业大气污染物超低排放标准》（DB13/ 2168-2020）要求。</w:t>
                  </w:r>
                </w:p>
                <w:p w14:paraId="73613B12">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现有、新改扩建非发电锅炉执行《锅炉大气污染物排放标准》（DB13/ 5161-2020）要求，现有项目应限期完成升级改造。</w:t>
                  </w:r>
                </w:p>
                <w:p w14:paraId="74240C62">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现有、新改扩建陶瓷工业项目执行《陶瓷工业大气污染物排放标准》（DB13∕ 5214-2020）要求。</w:t>
                  </w:r>
                </w:p>
                <w:p w14:paraId="25FC0CB4">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现有、新改扩建燃煤电厂项目执行《燃煤电厂大气污染物排放标准》（DB13/ 2209-2015）要求。</w:t>
                  </w:r>
                </w:p>
                <w:p w14:paraId="3D72BE2D">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现有、新改扩建生物和化学制药行业项目挥发性有机物与恶臭气体污染执行《生物和化学制药行业挥发性有机物与恶臭气体污染控制技术指南》（DB13/T 5363-2021）要求。</w:t>
                  </w:r>
                </w:p>
                <w:p w14:paraId="1D9A5823">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现有、新改扩建青霉素类制药企业或生产设施建设项目挥发性有机物与和恶臭特征污染物排放执行《青霉素类制药挥发性有机物和恶臭特征污染物排放标准》（DB13/ 2208-2015）要求。</w:t>
                  </w:r>
                </w:p>
              </w:tc>
              <w:tc>
                <w:tcPr>
                  <w:tcW w:w="2256" w:type="dxa"/>
                  <w:vAlign w:val="center"/>
                </w:tcPr>
                <w:p w14:paraId="4534017E">
                  <w:pPr>
                    <w:rPr>
                      <w:rFonts w:ascii="Times New Roman" w:hAnsi="Times New Roman" w:eastAsia="宋体" w:cs="Times New Roman"/>
                      <w:szCs w:val="21"/>
                      <w:highlight w:val="none"/>
                      <w:lang w:eastAsia="zh-CN"/>
                    </w:rPr>
                  </w:pPr>
                  <w:r>
                    <w:rPr>
                      <w:rFonts w:hint="eastAsia" w:ascii="Times New Roman" w:hAnsi="Times New Roman" w:eastAsia="宋体" w:cs="Times New Roman"/>
                      <w:szCs w:val="21"/>
                      <w:highlight w:val="none"/>
                      <w:lang w:eastAsia="zh-CN"/>
                    </w:rPr>
                    <w:t>项目不属于：“医药制造工业、石油炼制工业、石油化学工业、有机化工业、炼焦工业、钢铁冶炼和压延加工业、木材加工业、家具制造业、交通运输设备制造业、表面涂装业、印刷工业项目、钢铁工业项目、水泥工业项目、平板玻璃工业项目、非发电锅炉、陶瓷工业项目、燃煤电厂项目、生物和化学制药行业项目、青霉素类制药企业或生产设施建设项目”等项目。</w:t>
                  </w:r>
                </w:p>
              </w:tc>
              <w:tc>
                <w:tcPr>
                  <w:tcW w:w="531" w:type="dxa"/>
                  <w:vMerge w:val="continue"/>
                  <w:vAlign w:val="center"/>
                </w:tcPr>
                <w:p w14:paraId="772A2340">
                  <w:pPr>
                    <w:pStyle w:val="57"/>
                    <w:jc w:val="both"/>
                    <w:rPr>
                      <w:rFonts w:ascii="Times New Roman" w:hAnsi="Times New Roman" w:cs="Times New Roman" w:eastAsiaTheme="minorEastAsia"/>
                      <w:sz w:val="21"/>
                      <w:szCs w:val="21"/>
                      <w:highlight w:val="none"/>
                      <w:lang w:eastAsia="zh-CN"/>
                    </w:rPr>
                  </w:pPr>
                </w:p>
              </w:tc>
            </w:tr>
            <w:tr w14:paraId="2E0295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133F859F">
                  <w:pPr>
                    <w:pStyle w:val="57"/>
                    <w:jc w:val="center"/>
                    <w:rPr>
                      <w:rFonts w:ascii="Times New Roman" w:hAnsi="Times New Roman" w:cs="Times New Roman" w:eastAsiaTheme="minorEastAsia"/>
                      <w:szCs w:val="21"/>
                      <w:highlight w:val="none"/>
                      <w:lang w:eastAsia="zh-CN"/>
                    </w:rPr>
                  </w:pPr>
                </w:p>
              </w:tc>
              <w:tc>
                <w:tcPr>
                  <w:tcW w:w="4790" w:type="dxa"/>
                  <w:vAlign w:val="center"/>
                </w:tcPr>
                <w:p w14:paraId="06F5DB77">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6.有序推动合法生产露天矿山综合治理，对标现代化矿山开采模式，推动矿山资源规范开采、集约开采、绿色开采。严格落实矿产资源开采、运输和加工过程防尘、除尘措施，各种物料入棚进仓，运输通道硬化防尘，进出车辆苫盖冲洗，开采、加工作业区污染物达标排放。</w:t>
                  </w:r>
                </w:p>
              </w:tc>
              <w:tc>
                <w:tcPr>
                  <w:tcW w:w="2256" w:type="dxa"/>
                  <w:vAlign w:val="center"/>
                </w:tcPr>
                <w:p w14:paraId="20F10846">
                  <w:pPr>
                    <w:pStyle w:val="57"/>
                    <w:jc w:val="both"/>
                    <w:rPr>
                      <w:rFonts w:eastAsia="宋体" w:cs="Times New Roman"/>
                      <w:sz w:val="21"/>
                      <w:szCs w:val="21"/>
                      <w:highlight w:val="none"/>
                      <w:lang w:eastAsia="zh-CN"/>
                    </w:rPr>
                  </w:pPr>
                  <w:r>
                    <w:rPr>
                      <w:rFonts w:hint="eastAsia" w:eastAsia="宋体" w:cs="Times New Roman"/>
                      <w:sz w:val="21"/>
                      <w:szCs w:val="21"/>
                      <w:highlight w:val="none"/>
                      <w:lang w:eastAsia="zh-CN"/>
                    </w:rPr>
                    <w:t>项目不涉及矿产资源开采</w:t>
                  </w:r>
                </w:p>
              </w:tc>
              <w:tc>
                <w:tcPr>
                  <w:tcW w:w="531" w:type="dxa"/>
                  <w:vMerge w:val="continue"/>
                  <w:vAlign w:val="center"/>
                </w:tcPr>
                <w:p w14:paraId="59D72711">
                  <w:pPr>
                    <w:pStyle w:val="57"/>
                    <w:jc w:val="both"/>
                    <w:rPr>
                      <w:rFonts w:ascii="Times New Roman" w:hAnsi="Times New Roman" w:cs="Times New Roman" w:eastAsiaTheme="minorEastAsia"/>
                      <w:sz w:val="21"/>
                      <w:szCs w:val="21"/>
                      <w:highlight w:val="none"/>
                      <w:lang w:eastAsia="zh-CN"/>
                    </w:rPr>
                  </w:pPr>
                </w:p>
              </w:tc>
            </w:tr>
            <w:tr w14:paraId="64EAD4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342E905E">
                  <w:pPr>
                    <w:pStyle w:val="57"/>
                    <w:jc w:val="center"/>
                    <w:rPr>
                      <w:rFonts w:ascii="Times New Roman" w:hAnsi="Times New Roman" w:cs="Times New Roman" w:eastAsiaTheme="minorEastAsia"/>
                      <w:szCs w:val="21"/>
                      <w:highlight w:val="none"/>
                      <w:lang w:eastAsia="zh-CN"/>
                    </w:rPr>
                  </w:pPr>
                </w:p>
              </w:tc>
              <w:tc>
                <w:tcPr>
                  <w:tcW w:w="4790" w:type="dxa"/>
                  <w:vAlign w:val="center"/>
                </w:tcPr>
                <w:p w14:paraId="79652E73">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7.建筑施工严格贯彻《河北省扬尘污染防治办法》《河北省施工场地扬尘排放标准》《河北省建筑施工扬尘防治强化措施18条》，压实企业主体责任，建筑施工现场落实“六个百分之百”和“两个全覆盖”，强化督查执法，对扬尘管控不到位的，依法予以严惩，对建筑市场主体的不良行为信息依法依规纳入建筑市场信用管理体系，情节严重的，列入“黑名单”。</w:t>
                  </w:r>
                </w:p>
              </w:tc>
              <w:tc>
                <w:tcPr>
                  <w:tcW w:w="2256" w:type="dxa"/>
                  <w:vAlign w:val="center"/>
                </w:tcPr>
                <w:p w14:paraId="39B3FCD8">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项目严格按照《河北省建筑施工扬尘防治标准》等要求进行建设施工。</w:t>
                  </w:r>
                </w:p>
              </w:tc>
              <w:tc>
                <w:tcPr>
                  <w:tcW w:w="531" w:type="dxa"/>
                  <w:vMerge w:val="continue"/>
                  <w:vAlign w:val="center"/>
                </w:tcPr>
                <w:p w14:paraId="48F7C91A">
                  <w:pPr>
                    <w:pStyle w:val="57"/>
                    <w:jc w:val="both"/>
                    <w:rPr>
                      <w:rFonts w:ascii="Times New Roman" w:hAnsi="Times New Roman" w:cs="Times New Roman" w:eastAsiaTheme="minorEastAsia"/>
                      <w:sz w:val="21"/>
                      <w:szCs w:val="21"/>
                      <w:highlight w:val="none"/>
                      <w:lang w:eastAsia="zh-CN"/>
                    </w:rPr>
                  </w:pPr>
                </w:p>
              </w:tc>
            </w:tr>
            <w:tr w14:paraId="51C06D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1FD77AE8">
                  <w:pPr>
                    <w:pStyle w:val="57"/>
                    <w:jc w:val="center"/>
                    <w:rPr>
                      <w:rFonts w:ascii="Times New Roman" w:hAnsi="Times New Roman" w:cs="Times New Roman" w:eastAsiaTheme="minorEastAsia"/>
                      <w:szCs w:val="21"/>
                      <w:highlight w:val="none"/>
                      <w:lang w:eastAsia="zh-CN"/>
                    </w:rPr>
                  </w:pPr>
                </w:p>
              </w:tc>
              <w:tc>
                <w:tcPr>
                  <w:tcW w:w="4790" w:type="dxa"/>
                  <w:vAlign w:val="center"/>
                </w:tcPr>
                <w:p w14:paraId="2892D61F">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8.深入实施清洁柴油车（机）行动，基本淘汰国一及以下排放标准或使用15 年以上的工程机械，具备条件的更换国三及以上排放标准的发动机。全面实施非道路移动机械第四阶段排放标准，落实非道路移动机械使用登记管理制度，对超标排放车辆全链条环境监管。严格执行国六车用乙醇汽油质量标准，加强劣质油品整治，坚决取缔黑加油站（点）、黑油罐车。</w:t>
                  </w:r>
                </w:p>
              </w:tc>
              <w:tc>
                <w:tcPr>
                  <w:tcW w:w="2256" w:type="dxa"/>
                  <w:vAlign w:val="center"/>
                </w:tcPr>
                <w:p w14:paraId="242D33D0">
                  <w:pPr>
                    <w:pStyle w:val="57"/>
                    <w:jc w:val="both"/>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项目不涉及车辆运输</w:t>
                  </w:r>
                </w:p>
              </w:tc>
              <w:tc>
                <w:tcPr>
                  <w:tcW w:w="531" w:type="dxa"/>
                  <w:vMerge w:val="continue"/>
                  <w:vAlign w:val="center"/>
                </w:tcPr>
                <w:p w14:paraId="75297027">
                  <w:pPr>
                    <w:pStyle w:val="57"/>
                    <w:jc w:val="both"/>
                    <w:rPr>
                      <w:rFonts w:ascii="Times New Roman" w:hAnsi="Times New Roman" w:cs="Times New Roman" w:eastAsiaTheme="minorEastAsia"/>
                      <w:sz w:val="21"/>
                      <w:szCs w:val="21"/>
                      <w:highlight w:val="none"/>
                      <w:lang w:eastAsia="zh-CN"/>
                    </w:rPr>
                  </w:pPr>
                </w:p>
              </w:tc>
            </w:tr>
            <w:tr w14:paraId="4F399B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18F0B9EE">
                  <w:pPr>
                    <w:pStyle w:val="57"/>
                    <w:jc w:val="center"/>
                    <w:rPr>
                      <w:rFonts w:ascii="Times New Roman" w:hAnsi="Times New Roman" w:cs="Times New Roman" w:eastAsiaTheme="minorEastAsia"/>
                      <w:szCs w:val="21"/>
                      <w:highlight w:val="none"/>
                      <w:lang w:eastAsia="zh-CN"/>
                    </w:rPr>
                  </w:pPr>
                </w:p>
              </w:tc>
              <w:tc>
                <w:tcPr>
                  <w:tcW w:w="4790" w:type="dxa"/>
                  <w:vAlign w:val="center"/>
                </w:tcPr>
                <w:p w14:paraId="6619B0D5">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9.大力开展国土绿化，实施城镇裸露地面绿化、硬化，推动城市和县城、重要集镇“黄土不见天”，有效减少本地尘源，降低扬尘污染。</w:t>
                  </w:r>
                </w:p>
              </w:tc>
              <w:tc>
                <w:tcPr>
                  <w:tcW w:w="2256" w:type="dxa"/>
                  <w:vAlign w:val="center"/>
                </w:tcPr>
                <w:p w14:paraId="02A1BF43">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项目厂区实现“非硬即绿”</w:t>
                  </w:r>
                </w:p>
              </w:tc>
              <w:tc>
                <w:tcPr>
                  <w:tcW w:w="531" w:type="dxa"/>
                  <w:vMerge w:val="continue"/>
                  <w:vAlign w:val="center"/>
                </w:tcPr>
                <w:p w14:paraId="123325B0">
                  <w:pPr>
                    <w:pStyle w:val="57"/>
                    <w:jc w:val="both"/>
                    <w:rPr>
                      <w:rFonts w:ascii="Times New Roman" w:hAnsi="Times New Roman" w:cs="Times New Roman" w:eastAsiaTheme="minorEastAsia"/>
                      <w:sz w:val="21"/>
                      <w:szCs w:val="21"/>
                      <w:highlight w:val="none"/>
                      <w:lang w:eastAsia="zh-CN"/>
                    </w:rPr>
                  </w:pPr>
                </w:p>
              </w:tc>
            </w:tr>
            <w:tr w14:paraId="6E56AC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7E3F048A">
                  <w:pPr>
                    <w:pStyle w:val="57"/>
                    <w:jc w:val="center"/>
                    <w:rPr>
                      <w:rFonts w:ascii="Times New Roman" w:hAnsi="Times New Roman" w:cs="Times New Roman" w:eastAsiaTheme="minorEastAsia"/>
                      <w:szCs w:val="21"/>
                      <w:highlight w:val="none"/>
                      <w:lang w:eastAsia="zh-CN"/>
                    </w:rPr>
                  </w:pPr>
                </w:p>
              </w:tc>
              <w:tc>
                <w:tcPr>
                  <w:tcW w:w="4790" w:type="dxa"/>
                  <w:vAlign w:val="center"/>
                </w:tcPr>
                <w:p w14:paraId="529E0F01">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10.禁止露天焚烧农作物秸秆等行为，切实加强秸秆焚烧、烧荒烧垃圾等露天焚烧问题监督管理，开展重点时段秸秆禁烧专项整治，完善秸秆焚烧视频监控系统点位建设。</w:t>
                  </w:r>
                </w:p>
              </w:tc>
              <w:tc>
                <w:tcPr>
                  <w:tcW w:w="2256" w:type="dxa"/>
                  <w:vAlign w:val="center"/>
                </w:tcPr>
                <w:p w14:paraId="14B2705C">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项目不涉及焚烧农作物秸秆等行为</w:t>
                  </w:r>
                </w:p>
              </w:tc>
              <w:tc>
                <w:tcPr>
                  <w:tcW w:w="531" w:type="dxa"/>
                  <w:vMerge w:val="continue"/>
                  <w:vAlign w:val="center"/>
                </w:tcPr>
                <w:p w14:paraId="1C8D287B">
                  <w:pPr>
                    <w:pStyle w:val="57"/>
                    <w:jc w:val="both"/>
                    <w:rPr>
                      <w:rFonts w:ascii="Times New Roman" w:hAnsi="Times New Roman" w:cs="Times New Roman" w:eastAsiaTheme="minorEastAsia"/>
                      <w:sz w:val="21"/>
                      <w:szCs w:val="21"/>
                      <w:highlight w:val="none"/>
                      <w:lang w:eastAsia="zh-CN"/>
                    </w:rPr>
                  </w:pPr>
                </w:p>
              </w:tc>
            </w:tr>
            <w:tr w14:paraId="2839FC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422367FF">
                  <w:pPr>
                    <w:pStyle w:val="57"/>
                    <w:jc w:val="center"/>
                    <w:rPr>
                      <w:rFonts w:ascii="Times New Roman" w:hAnsi="Times New Roman" w:cs="Times New Roman" w:eastAsiaTheme="minorEastAsia"/>
                      <w:szCs w:val="21"/>
                      <w:highlight w:val="none"/>
                      <w:lang w:eastAsia="zh-CN"/>
                    </w:rPr>
                  </w:pPr>
                </w:p>
              </w:tc>
              <w:tc>
                <w:tcPr>
                  <w:tcW w:w="4790" w:type="dxa"/>
                  <w:vAlign w:val="center"/>
                </w:tcPr>
                <w:p w14:paraId="63598417">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11.严格落实《承德市人民政府关于全域禁止销售和中心城区、重点区域禁止燃放烟花爆竹的通告》，实行全区域、全时段、常态化禁燃禁放烟花爆竹。</w:t>
                  </w:r>
                </w:p>
              </w:tc>
              <w:tc>
                <w:tcPr>
                  <w:tcW w:w="2256" w:type="dxa"/>
                  <w:vAlign w:val="center"/>
                </w:tcPr>
                <w:p w14:paraId="7C2D5A1E">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项目不涉及燃放烟花爆竹</w:t>
                  </w:r>
                </w:p>
              </w:tc>
              <w:tc>
                <w:tcPr>
                  <w:tcW w:w="531" w:type="dxa"/>
                  <w:vMerge w:val="continue"/>
                  <w:vAlign w:val="center"/>
                </w:tcPr>
                <w:p w14:paraId="72E72316">
                  <w:pPr>
                    <w:pStyle w:val="57"/>
                    <w:jc w:val="both"/>
                    <w:rPr>
                      <w:rFonts w:ascii="Times New Roman" w:hAnsi="Times New Roman" w:cs="Times New Roman" w:eastAsiaTheme="minorEastAsia"/>
                      <w:sz w:val="21"/>
                      <w:szCs w:val="21"/>
                      <w:highlight w:val="none"/>
                      <w:lang w:eastAsia="zh-CN"/>
                    </w:rPr>
                  </w:pPr>
                </w:p>
              </w:tc>
            </w:tr>
            <w:tr w14:paraId="7EC6C5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25916729">
                  <w:pPr>
                    <w:pStyle w:val="57"/>
                    <w:jc w:val="center"/>
                    <w:rPr>
                      <w:rFonts w:ascii="Times New Roman" w:hAnsi="Times New Roman" w:cs="Times New Roman" w:eastAsiaTheme="minorEastAsia"/>
                      <w:szCs w:val="21"/>
                      <w:highlight w:val="none"/>
                      <w:lang w:eastAsia="zh-CN"/>
                    </w:rPr>
                  </w:pPr>
                </w:p>
              </w:tc>
              <w:tc>
                <w:tcPr>
                  <w:tcW w:w="4790" w:type="dxa"/>
                  <w:vAlign w:val="center"/>
                </w:tcPr>
                <w:p w14:paraId="562F4997">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12.加强城市和县城建成区餐饮企业、经营商户油烟排放监督管理，各县（市、区）要建立餐饮油烟治理工作台账，定期开展餐饮油烟集中整治行动。</w:t>
                  </w:r>
                </w:p>
              </w:tc>
              <w:tc>
                <w:tcPr>
                  <w:tcW w:w="2256" w:type="dxa"/>
                  <w:vAlign w:val="center"/>
                </w:tcPr>
                <w:p w14:paraId="6F26FA72">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项目不位于城市建成区</w:t>
                  </w:r>
                </w:p>
              </w:tc>
              <w:tc>
                <w:tcPr>
                  <w:tcW w:w="531" w:type="dxa"/>
                  <w:vMerge w:val="continue"/>
                  <w:vAlign w:val="center"/>
                </w:tcPr>
                <w:p w14:paraId="4562EA64">
                  <w:pPr>
                    <w:pStyle w:val="57"/>
                    <w:jc w:val="both"/>
                    <w:rPr>
                      <w:rFonts w:ascii="Times New Roman" w:hAnsi="Times New Roman" w:cs="Times New Roman" w:eastAsiaTheme="minorEastAsia"/>
                      <w:sz w:val="21"/>
                      <w:szCs w:val="21"/>
                      <w:highlight w:val="none"/>
                      <w:lang w:eastAsia="zh-CN"/>
                    </w:rPr>
                  </w:pPr>
                </w:p>
              </w:tc>
            </w:tr>
            <w:tr w14:paraId="298A4B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5E42E40A">
                  <w:pPr>
                    <w:pStyle w:val="57"/>
                    <w:jc w:val="center"/>
                    <w:rPr>
                      <w:rFonts w:ascii="Times New Roman" w:hAnsi="Times New Roman" w:cs="Times New Roman" w:eastAsiaTheme="minorEastAsia"/>
                      <w:szCs w:val="21"/>
                      <w:highlight w:val="none"/>
                      <w:lang w:eastAsia="zh-CN"/>
                    </w:rPr>
                  </w:pPr>
                </w:p>
              </w:tc>
              <w:tc>
                <w:tcPr>
                  <w:tcW w:w="4790" w:type="dxa"/>
                  <w:vAlign w:val="center"/>
                </w:tcPr>
                <w:p w14:paraId="4733350A">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13.统筹加强减污降碳协同控制，开展重点行业资源利用效率、能源消耗、污染物排放对标行动，加大氮氧化物、挥发性有机物（VOCs）以及温室气体协同减排力度，加快补齐臭氧治理短板，严格落实国家和我省产品VOCs 含量限值标准，有序推进企业产品切换。</w:t>
                  </w:r>
                </w:p>
              </w:tc>
              <w:tc>
                <w:tcPr>
                  <w:tcW w:w="2256" w:type="dxa"/>
                  <w:vAlign w:val="center"/>
                </w:tcPr>
                <w:p w14:paraId="12869F92">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项目行业不属于重点行业</w:t>
                  </w:r>
                </w:p>
              </w:tc>
              <w:tc>
                <w:tcPr>
                  <w:tcW w:w="531" w:type="dxa"/>
                  <w:vMerge w:val="continue"/>
                  <w:vAlign w:val="center"/>
                </w:tcPr>
                <w:p w14:paraId="51A45CD5">
                  <w:pPr>
                    <w:pStyle w:val="57"/>
                    <w:jc w:val="both"/>
                    <w:rPr>
                      <w:rFonts w:ascii="Times New Roman" w:hAnsi="Times New Roman" w:cs="Times New Roman" w:eastAsiaTheme="minorEastAsia"/>
                      <w:sz w:val="21"/>
                      <w:szCs w:val="21"/>
                      <w:highlight w:val="none"/>
                      <w:lang w:eastAsia="zh-CN"/>
                    </w:rPr>
                  </w:pPr>
                </w:p>
              </w:tc>
            </w:tr>
            <w:tr w14:paraId="76501F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 w:hRule="atLeast"/>
                <w:jc w:val="center"/>
              </w:trPr>
              <w:tc>
                <w:tcPr>
                  <w:tcW w:w="664" w:type="dxa"/>
                  <w:vMerge w:val="restart"/>
                  <w:vAlign w:val="center"/>
                </w:tcPr>
                <w:p w14:paraId="397D15C1">
                  <w:pPr>
                    <w:pStyle w:val="57"/>
                    <w:jc w:val="center"/>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环境风险防控</w:t>
                  </w:r>
                </w:p>
              </w:tc>
              <w:tc>
                <w:tcPr>
                  <w:tcW w:w="4790" w:type="dxa"/>
                  <w:vAlign w:val="center"/>
                </w:tcPr>
                <w:p w14:paraId="0EB84F94">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1.健全完善重污染天气应急预案，在重污染天气情况下按照预警等级及时启动相应的应急预案和应急措施。</w:t>
                  </w:r>
                </w:p>
              </w:tc>
              <w:tc>
                <w:tcPr>
                  <w:tcW w:w="2256" w:type="dxa"/>
                  <w:vAlign w:val="center"/>
                </w:tcPr>
                <w:p w14:paraId="4FD198A9">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项目按要求落实重污染天气应急预案要求</w:t>
                  </w:r>
                </w:p>
              </w:tc>
              <w:tc>
                <w:tcPr>
                  <w:tcW w:w="531" w:type="dxa"/>
                  <w:vMerge w:val="restart"/>
                  <w:vAlign w:val="center"/>
                </w:tcPr>
                <w:p w14:paraId="36DA7891">
                  <w:pPr>
                    <w:pStyle w:val="57"/>
                    <w:jc w:val="center"/>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符合</w:t>
                  </w:r>
                </w:p>
              </w:tc>
            </w:tr>
            <w:tr w14:paraId="5E100D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7AC60CC5">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7EDB2E3C">
                  <w:pPr>
                    <w:pStyle w:val="57"/>
                    <w:jc w:val="both"/>
                    <w:rPr>
                      <w:rFonts w:ascii="Times New Roman" w:hAnsi="Times New Roman" w:eastAsia="宋体" w:cs="Times New Roman"/>
                      <w:sz w:val="21"/>
                      <w:szCs w:val="21"/>
                      <w:highlight w:val="none"/>
                      <w:lang w:eastAsia="zh-CN"/>
                    </w:rPr>
                  </w:pPr>
                  <w:r>
                    <w:rPr>
                      <w:rFonts w:ascii="Times New Roman" w:hAnsi="Times New Roman" w:eastAsia="宋体" w:cs="Times New Roman"/>
                      <w:sz w:val="21"/>
                      <w:szCs w:val="21"/>
                      <w:highlight w:val="none"/>
                      <w:lang w:eastAsia="zh-CN"/>
                    </w:rPr>
                    <w:t>2.</w:t>
                  </w:r>
                  <w:r>
                    <w:rPr>
                      <w:rFonts w:hint="eastAsia" w:ascii="Times New Roman" w:hAnsi="Times New Roman" w:eastAsia="宋体" w:cs="Times New Roman"/>
                      <w:sz w:val="21"/>
                      <w:szCs w:val="21"/>
                      <w:highlight w:val="none"/>
                      <w:lang w:eastAsia="zh-CN"/>
                    </w:rPr>
                    <w:t>严格化学品生产准入和行业准入，调整优化高风险化学品企业布局，提高区域环境风险防范能力。加强对</w:t>
                  </w:r>
                </w:p>
                <w:p w14:paraId="1AE4EA2A">
                  <w:pPr>
                    <w:pStyle w:val="57"/>
                    <w:jc w:val="both"/>
                    <w:rPr>
                      <w:rFonts w:ascii="Times New Roman" w:hAnsi="Times New Roman" w:cs="Times New Roman" w:eastAsiaTheme="minorEastAsia"/>
                      <w:sz w:val="21"/>
                      <w:szCs w:val="21"/>
                      <w:highlight w:val="none"/>
                      <w:lang w:eastAsia="zh-CN"/>
                    </w:rPr>
                  </w:pPr>
                  <w:r>
                    <w:rPr>
                      <w:rFonts w:hint="eastAsia" w:ascii="Times New Roman" w:hAnsi="Times New Roman" w:eastAsia="宋体" w:cs="Times New Roman"/>
                      <w:sz w:val="21"/>
                      <w:szCs w:val="21"/>
                      <w:highlight w:val="none"/>
                      <w:lang w:eastAsia="zh-CN"/>
                    </w:rPr>
                    <w:t>排放二噁英等持久性有机污染物企业的日常监管。</w:t>
                  </w:r>
                </w:p>
              </w:tc>
              <w:tc>
                <w:tcPr>
                  <w:tcW w:w="2256" w:type="dxa"/>
                  <w:vAlign w:val="center"/>
                </w:tcPr>
                <w:p w14:paraId="5AF805D4">
                  <w:pPr>
                    <w:pStyle w:val="57"/>
                    <w:jc w:val="both"/>
                    <w:rPr>
                      <w:rFonts w:ascii="Times New Roman" w:hAnsi="Times New Roman" w:cs="Times New Roman" w:eastAsiaTheme="minorEastAsia"/>
                      <w:sz w:val="21"/>
                      <w:szCs w:val="21"/>
                      <w:highlight w:val="none"/>
                      <w:lang w:eastAsia="zh-CN"/>
                    </w:rPr>
                  </w:pPr>
                  <w:r>
                    <w:rPr>
                      <w:rFonts w:hint="eastAsia" w:ascii="Times New Roman" w:hAnsi="Times New Roman" w:eastAsia="宋体" w:cs="Times New Roman"/>
                      <w:sz w:val="21"/>
                      <w:szCs w:val="21"/>
                      <w:highlight w:val="none"/>
                      <w:lang w:eastAsia="zh-CN"/>
                    </w:rPr>
                    <w:t>项目不涉及化学品生产</w:t>
                  </w:r>
                </w:p>
              </w:tc>
              <w:tc>
                <w:tcPr>
                  <w:tcW w:w="531" w:type="dxa"/>
                  <w:vMerge w:val="continue"/>
                  <w:vAlign w:val="center"/>
                </w:tcPr>
                <w:p w14:paraId="7804752C">
                  <w:pPr>
                    <w:pStyle w:val="57"/>
                    <w:jc w:val="center"/>
                    <w:rPr>
                      <w:rFonts w:ascii="Times New Roman" w:hAnsi="Times New Roman" w:cs="Times New Roman" w:eastAsiaTheme="minorEastAsia"/>
                      <w:sz w:val="21"/>
                      <w:szCs w:val="21"/>
                      <w:highlight w:val="none"/>
                      <w:lang w:eastAsia="zh-CN"/>
                    </w:rPr>
                  </w:pPr>
                </w:p>
              </w:tc>
            </w:tr>
            <w:tr w14:paraId="59A480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2B1127E5">
                  <w:pPr>
                    <w:pStyle w:val="57"/>
                    <w:jc w:val="both"/>
                    <w:rPr>
                      <w:rFonts w:ascii="Times New Roman" w:hAnsi="Times New Roman" w:eastAsia="宋体" w:cs="Times New Roman"/>
                      <w:sz w:val="21"/>
                      <w:szCs w:val="21"/>
                      <w:highlight w:val="none"/>
                      <w:lang w:eastAsia="zh-CN"/>
                    </w:rPr>
                  </w:pPr>
                </w:p>
              </w:tc>
              <w:tc>
                <w:tcPr>
                  <w:tcW w:w="4790" w:type="dxa"/>
                  <w:vAlign w:val="center"/>
                </w:tcPr>
                <w:p w14:paraId="4C3440D3">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3.全面开展消耗臭氧层物质（ODS）排放治理，实施含氢氯氟烃（HCFCs）淘汰和替代，推动三氟甲烷（HFC-23）的销毁和转化。</w:t>
                  </w:r>
                </w:p>
              </w:tc>
              <w:tc>
                <w:tcPr>
                  <w:tcW w:w="2256" w:type="dxa"/>
                  <w:vAlign w:val="center"/>
                </w:tcPr>
                <w:p w14:paraId="0BA7C72E">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项目不涉及消耗臭氧层物质的使用</w:t>
                  </w:r>
                </w:p>
              </w:tc>
              <w:tc>
                <w:tcPr>
                  <w:tcW w:w="531" w:type="dxa"/>
                  <w:vMerge w:val="continue"/>
                  <w:vAlign w:val="center"/>
                </w:tcPr>
                <w:p w14:paraId="3E90F219">
                  <w:pPr>
                    <w:pStyle w:val="57"/>
                    <w:jc w:val="both"/>
                    <w:rPr>
                      <w:rFonts w:ascii="Times New Roman" w:hAnsi="Times New Roman" w:eastAsia="宋体" w:cs="Times New Roman"/>
                      <w:sz w:val="21"/>
                      <w:szCs w:val="21"/>
                      <w:highlight w:val="none"/>
                      <w:lang w:eastAsia="zh-CN"/>
                    </w:rPr>
                  </w:pPr>
                </w:p>
              </w:tc>
            </w:tr>
            <w:tr w14:paraId="75A196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Align w:val="center"/>
                </w:tcPr>
                <w:p w14:paraId="16DDADCE">
                  <w:pPr>
                    <w:pStyle w:val="57"/>
                    <w:jc w:val="center"/>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资源利用效率</w:t>
                  </w:r>
                </w:p>
              </w:tc>
              <w:tc>
                <w:tcPr>
                  <w:tcW w:w="4790" w:type="dxa"/>
                  <w:vAlign w:val="center"/>
                </w:tcPr>
                <w:p w14:paraId="516183E3">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1.强化散煤治理，推动煤炭清洁高效利用，有序推进清洁取暖。城市建成区集中供热覆盖范围以外，因地制宜、多能互补，大力推广天然气、热泵、中深层地热、生物质、太阳能等清洁供热技术。到2025 年，除不具备改造条件的偏远山区和坝上地区外，其他农村地区实现清洁取暖全覆盖。</w:t>
                  </w:r>
                </w:p>
              </w:tc>
              <w:tc>
                <w:tcPr>
                  <w:tcW w:w="2256" w:type="dxa"/>
                  <w:vAlign w:val="center"/>
                </w:tcPr>
                <w:p w14:paraId="250D8351">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项目不涉及煤炭的使用</w:t>
                  </w:r>
                </w:p>
              </w:tc>
              <w:tc>
                <w:tcPr>
                  <w:tcW w:w="531" w:type="dxa"/>
                  <w:vAlign w:val="center"/>
                </w:tcPr>
                <w:p w14:paraId="12738AD4">
                  <w:pPr>
                    <w:pStyle w:val="57"/>
                    <w:jc w:val="center"/>
                    <w:rPr>
                      <w:rFonts w:ascii="Times New Roman" w:hAnsi="Times New Roman" w:cs="Times New Roman" w:eastAsiaTheme="minorEastAsia"/>
                      <w:sz w:val="21"/>
                      <w:szCs w:val="21"/>
                      <w:highlight w:val="none"/>
                      <w:lang w:eastAsia="zh-CN"/>
                    </w:rPr>
                  </w:pPr>
                  <w:r>
                    <w:rPr>
                      <w:rFonts w:hint="eastAsia" w:ascii="Times New Roman" w:hAnsi="Times New Roman" w:eastAsia="宋体" w:cs="Times New Roman"/>
                      <w:sz w:val="21"/>
                      <w:szCs w:val="21"/>
                      <w:highlight w:val="none"/>
                      <w:lang w:eastAsia="zh-CN"/>
                    </w:rPr>
                    <w:t>符合</w:t>
                  </w:r>
                </w:p>
              </w:tc>
            </w:tr>
          </w:tbl>
          <w:p w14:paraId="5AB39289">
            <w:pPr>
              <w:pStyle w:val="69"/>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left"/>
              <w:textAlignment w:val="auto"/>
              <w:rPr>
                <w:rFonts w:hint="eastAsia" w:ascii="Times New Roman" w:hAnsi="Times New Roman" w:eastAsia="宋体" w:cs="Times New Roman"/>
                <w:sz w:val="24"/>
                <w:szCs w:val="24"/>
                <w:highlight w:val="none"/>
                <w:lang w:val="en-US" w:eastAsia="zh-CN"/>
              </w:rPr>
            </w:pPr>
            <w:r>
              <w:rPr>
                <w:rFonts w:hint="eastAsia" w:ascii="Times New Roman" w:hAnsi="Times New Roman" w:eastAsia="宋体" w:cs="Times New Roman"/>
                <w:sz w:val="24"/>
                <w:szCs w:val="24"/>
                <w:highlight w:val="none"/>
                <w:lang w:val="en-US" w:eastAsia="zh-CN"/>
              </w:rPr>
              <w:t>d.土壤环境总体要求符合性</w:t>
            </w:r>
          </w:p>
          <w:p w14:paraId="7BADFBE2">
            <w:pPr>
              <w:pStyle w:val="69"/>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left"/>
              <w:textAlignment w:val="auto"/>
              <w:rPr>
                <w:rFonts w:hint="eastAsia" w:ascii="Times New Roman" w:hAnsi="Times New Roman" w:eastAsia="宋体" w:cs="Times New Roman"/>
                <w:sz w:val="24"/>
                <w:szCs w:val="24"/>
                <w:highlight w:val="none"/>
                <w:lang w:val="en-US" w:eastAsia="zh-CN"/>
              </w:rPr>
            </w:pPr>
            <w:r>
              <w:rPr>
                <w:rFonts w:hint="eastAsia"/>
                <w:color w:val="000000" w:themeColor="text1"/>
                <w:sz w:val="24"/>
                <w:highlight w:val="none"/>
                <w14:textFill>
                  <w14:solidFill>
                    <w14:schemeClr w14:val="tx1"/>
                  </w14:solidFill>
                </w14:textFill>
              </w:rPr>
              <w:t>项目</w:t>
            </w:r>
            <w:r>
              <w:rPr>
                <w:rFonts w:hint="eastAsia"/>
                <w:color w:val="000000" w:themeColor="text1"/>
                <w:sz w:val="24"/>
                <w:highlight w:val="none"/>
                <w:lang w:val="en-US" w:eastAsia="zh-CN"/>
                <w14:textFill>
                  <w14:solidFill>
                    <w14:schemeClr w14:val="tx1"/>
                  </w14:solidFill>
                </w14:textFill>
              </w:rPr>
              <w:t>与</w:t>
            </w:r>
            <w:r>
              <w:rPr>
                <w:rFonts w:hint="eastAsia"/>
                <w:color w:val="000000" w:themeColor="text1"/>
                <w:sz w:val="24"/>
                <w:highlight w:val="none"/>
                <w14:textFill>
                  <w14:solidFill>
                    <w14:schemeClr w14:val="tx1"/>
                  </w14:solidFill>
                </w14:textFill>
              </w:rPr>
              <w:t>承德市生态环境分区管控-</w:t>
            </w:r>
            <w:r>
              <w:rPr>
                <w:rFonts w:hint="eastAsia"/>
                <w:color w:val="000000" w:themeColor="text1"/>
                <w:sz w:val="24"/>
                <w:highlight w:val="none"/>
                <w:lang w:val="en-US" w:eastAsia="zh-CN"/>
                <w14:textFill>
                  <w14:solidFill>
                    <w14:schemeClr w14:val="tx1"/>
                  </w14:solidFill>
                </w14:textFill>
              </w:rPr>
              <w:t>土壤</w:t>
            </w:r>
            <w:r>
              <w:rPr>
                <w:rFonts w:hint="eastAsia"/>
                <w:color w:val="000000" w:themeColor="text1"/>
                <w:sz w:val="24"/>
                <w:highlight w:val="none"/>
                <w14:textFill>
                  <w14:solidFill>
                    <w14:schemeClr w14:val="tx1"/>
                  </w14:solidFill>
                </w14:textFill>
              </w:rPr>
              <w:t>环境总体要求</w:t>
            </w:r>
            <w:r>
              <w:rPr>
                <w:rFonts w:hint="eastAsia"/>
                <w:color w:val="000000" w:themeColor="text1"/>
                <w:sz w:val="24"/>
                <w:highlight w:val="none"/>
                <w:lang w:val="en-US" w:eastAsia="zh-CN"/>
                <w14:textFill>
                  <w14:solidFill>
                    <w14:schemeClr w14:val="tx1"/>
                  </w14:solidFill>
                </w14:textFill>
              </w:rPr>
              <w:t>符合性分析如下表</w:t>
            </w:r>
            <w:r>
              <w:rPr>
                <w:rFonts w:hint="eastAsia" w:ascii="Times New Roman" w:hAnsi="Times New Roman" w:eastAsia="宋体" w:cs="Times New Roman"/>
                <w:sz w:val="24"/>
                <w:szCs w:val="24"/>
                <w:highlight w:val="none"/>
                <w:lang w:val="en-US" w:eastAsia="zh-CN"/>
              </w:rPr>
              <w:t>。</w:t>
            </w:r>
          </w:p>
          <w:p w14:paraId="0E152991">
            <w:pPr>
              <w:pStyle w:val="50"/>
              <w:numPr>
                <w:ilvl w:val="0"/>
                <w:numId w:val="4"/>
              </w:numPr>
              <w:spacing w:line="360" w:lineRule="auto"/>
              <w:ind w:firstLineChars="0"/>
              <w:jc w:val="center"/>
              <w:rPr>
                <w:rFonts w:ascii="Times New Roman" w:hAnsi="Times New Roman" w:eastAsia="宋体"/>
                <w:b/>
                <w:sz w:val="21"/>
                <w:szCs w:val="21"/>
                <w:highlight w:val="none"/>
              </w:rPr>
            </w:pPr>
            <w:r>
              <w:rPr>
                <w:rFonts w:hint="eastAsia" w:ascii="Times New Roman" w:hAnsi="Times New Roman" w:eastAsia="宋体"/>
                <w:b/>
                <w:bCs/>
                <w:sz w:val="21"/>
                <w:szCs w:val="21"/>
                <w:highlight w:val="none"/>
              </w:rPr>
              <w:t>承德市生态环境分区管控-土壤环境总体要求符合性分析一览表</w:t>
            </w:r>
          </w:p>
          <w:tbl>
            <w:tblPr>
              <w:tblStyle w:val="64"/>
              <w:tblW w:w="824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64"/>
              <w:gridCol w:w="4790"/>
              <w:gridCol w:w="2256"/>
              <w:gridCol w:w="531"/>
            </w:tblGrid>
            <w:tr w14:paraId="290299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 w:hRule="atLeast"/>
                <w:jc w:val="center"/>
              </w:trPr>
              <w:tc>
                <w:tcPr>
                  <w:tcW w:w="664" w:type="dxa"/>
                  <w:vAlign w:val="center"/>
                </w:tcPr>
                <w:p w14:paraId="398749B0">
                  <w:pPr>
                    <w:pStyle w:val="57"/>
                    <w:jc w:val="center"/>
                    <w:rPr>
                      <w:rFonts w:ascii="Times New Roman" w:hAnsi="Times New Roman" w:eastAsia="宋体" w:cs="Times New Roman"/>
                      <w:b/>
                      <w:sz w:val="21"/>
                      <w:szCs w:val="21"/>
                      <w:highlight w:val="none"/>
                      <w:lang w:eastAsia="en-US"/>
                    </w:rPr>
                  </w:pPr>
                  <w:r>
                    <w:rPr>
                      <w:rFonts w:hint="eastAsia" w:ascii="Times New Roman" w:hAnsi="Times New Roman" w:eastAsia="宋体" w:cs="Times New Roman"/>
                      <w:b/>
                      <w:sz w:val="21"/>
                      <w:szCs w:val="21"/>
                      <w:highlight w:val="none"/>
                      <w:lang w:eastAsia="zh-CN"/>
                    </w:rPr>
                    <w:t>维度</w:t>
                  </w:r>
                </w:p>
              </w:tc>
              <w:tc>
                <w:tcPr>
                  <w:tcW w:w="4790" w:type="dxa"/>
                  <w:vAlign w:val="center"/>
                </w:tcPr>
                <w:p w14:paraId="1622AB73">
                  <w:pPr>
                    <w:pStyle w:val="57"/>
                    <w:jc w:val="center"/>
                    <w:rPr>
                      <w:rFonts w:ascii="Times New Roman" w:hAnsi="Times New Roman" w:eastAsia="宋体" w:cs="Times New Roman"/>
                      <w:b/>
                      <w:sz w:val="21"/>
                      <w:szCs w:val="21"/>
                      <w:highlight w:val="none"/>
                      <w:lang w:eastAsia="en-US"/>
                    </w:rPr>
                  </w:pPr>
                  <w:r>
                    <w:rPr>
                      <w:rFonts w:hint="eastAsia" w:ascii="Times New Roman" w:hAnsi="Times New Roman" w:eastAsia="宋体" w:cs="Times New Roman"/>
                      <w:b/>
                      <w:sz w:val="21"/>
                      <w:szCs w:val="21"/>
                      <w:highlight w:val="none"/>
                      <w:lang w:eastAsia="zh-CN"/>
                    </w:rPr>
                    <w:t>管控要求</w:t>
                  </w:r>
                </w:p>
              </w:tc>
              <w:tc>
                <w:tcPr>
                  <w:tcW w:w="2256" w:type="dxa"/>
                  <w:vAlign w:val="center"/>
                </w:tcPr>
                <w:p w14:paraId="4B180B55">
                  <w:pPr>
                    <w:pStyle w:val="57"/>
                    <w:jc w:val="center"/>
                    <w:rPr>
                      <w:rFonts w:ascii="Times New Roman" w:hAnsi="Times New Roman" w:eastAsia="宋体" w:cs="Times New Roman"/>
                      <w:b/>
                      <w:sz w:val="21"/>
                      <w:szCs w:val="21"/>
                      <w:highlight w:val="none"/>
                      <w:lang w:eastAsia="en-US"/>
                    </w:rPr>
                  </w:pPr>
                  <w:r>
                    <w:rPr>
                      <w:rFonts w:ascii="Times New Roman" w:hAnsi="Times New Roman" w:eastAsia="宋体" w:cs="Times New Roman"/>
                      <w:b/>
                      <w:sz w:val="21"/>
                      <w:szCs w:val="21"/>
                      <w:highlight w:val="none"/>
                      <w:lang w:eastAsia="zh-CN"/>
                    </w:rPr>
                    <w:t>项目符合性分析</w:t>
                  </w:r>
                </w:p>
              </w:tc>
              <w:tc>
                <w:tcPr>
                  <w:tcW w:w="531" w:type="dxa"/>
                  <w:vAlign w:val="center"/>
                </w:tcPr>
                <w:p w14:paraId="74778A53">
                  <w:pPr>
                    <w:pStyle w:val="57"/>
                    <w:jc w:val="center"/>
                    <w:rPr>
                      <w:rFonts w:ascii="Times New Roman" w:hAnsi="Times New Roman" w:eastAsia="宋体" w:cs="Times New Roman"/>
                      <w:b/>
                      <w:sz w:val="21"/>
                      <w:szCs w:val="21"/>
                      <w:highlight w:val="none"/>
                      <w:lang w:eastAsia="en-US"/>
                    </w:rPr>
                  </w:pPr>
                  <w:r>
                    <w:rPr>
                      <w:rFonts w:ascii="Times New Roman" w:hAnsi="Times New Roman" w:eastAsia="宋体" w:cs="Times New Roman"/>
                      <w:b/>
                      <w:sz w:val="21"/>
                      <w:szCs w:val="21"/>
                      <w:highlight w:val="none"/>
                      <w:lang w:eastAsia="zh-CN"/>
                    </w:rPr>
                    <w:t>结论</w:t>
                  </w:r>
                </w:p>
              </w:tc>
            </w:tr>
            <w:tr w14:paraId="16ADBE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2" w:hRule="atLeast"/>
                <w:jc w:val="center"/>
              </w:trPr>
              <w:tc>
                <w:tcPr>
                  <w:tcW w:w="664" w:type="dxa"/>
                  <w:vMerge w:val="restart"/>
                  <w:vAlign w:val="center"/>
                </w:tcPr>
                <w:p w14:paraId="63BB131C">
                  <w:pPr>
                    <w:pStyle w:val="57"/>
                    <w:jc w:val="center"/>
                    <w:rPr>
                      <w:rFonts w:ascii="Times New Roman" w:hAnsi="Times New Roman" w:eastAsia="宋体" w:cs="Times New Roman"/>
                      <w:sz w:val="21"/>
                      <w:szCs w:val="21"/>
                      <w:highlight w:val="none"/>
                      <w:lang w:eastAsia="en-US"/>
                    </w:rPr>
                  </w:pPr>
                  <w:r>
                    <w:rPr>
                      <w:rFonts w:hint="eastAsia" w:ascii="Times New Roman" w:hAnsi="Times New Roman" w:eastAsia="宋体" w:cs="Times New Roman"/>
                      <w:sz w:val="21"/>
                      <w:szCs w:val="21"/>
                      <w:highlight w:val="none"/>
                      <w:lang w:eastAsia="zh-CN"/>
                    </w:rPr>
                    <w:t>空间布局约束</w:t>
                  </w:r>
                </w:p>
              </w:tc>
              <w:tc>
                <w:tcPr>
                  <w:tcW w:w="4790" w:type="dxa"/>
                  <w:vAlign w:val="center"/>
                </w:tcPr>
                <w:p w14:paraId="1AD9091E">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1、农用地优先保护区内实行严格保护，确保其土壤环境质量不下降。在永久基本农田集中区域，不得新建可能造成土壤污染的建设项目；已经建成的，应当限期关闭拆除。</w:t>
                  </w:r>
                </w:p>
              </w:tc>
              <w:tc>
                <w:tcPr>
                  <w:tcW w:w="2256" w:type="dxa"/>
                  <w:vAlign w:val="center"/>
                </w:tcPr>
                <w:p w14:paraId="133F859D">
                  <w:pPr>
                    <w:pStyle w:val="57"/>
                    <w:jc w:val="both"/>
                    <w:rPr>
                      <w:rFonts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项目不涉及农用地优先保护区、不涉及永久基本农田集中区域</w:t>
                  </w:r>
                </w:p>
              </w:tc>
              <w:tc>
                <w:tcPr>
                  <w:tcW w:w="531" w:type="dxa"/>
                  <w:vMerge w:val="restart"/>
                  <w:vAlign w:val="center"/>
                </w:tcPr>
                <w:p w14:paraId="06F596FB">
                  <w:pPr>
                    <w:pStyle w:val="57"/>
                    <w:jc w:val="center"/>
                    <w:rPr>
                      <w:rFonts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符合</w:t>
                  </w:r>
                </w:p>
              </w:tc>
            </w:tr>
            <w:tr w14:paraId="499DEF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22711701">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678C3C2E">
                  <w:pPr>
                    <w:pStyle w:val="57"/>
                    <w:jc w:val="both"/>
                    <w:rPr>
                      <w:rFonts w:ascii="Times New Roman" w:hAnsi="Times New Roman" w:cs="Times New Roman" w:eastAsiaTheme="minorEastAsia"/>
                      <w:sz w:val="21"/>
                      <w:szCs w:val="21"/>
                      <w:highlight w:val="none"/>
                      <w:lang w:eastAsia="zh-CN"/>
                    </w:rPr>
                  </w:pPr>
                  <w:r>
                    <w:rPr>
                      <w:rFonts w:hint="eastAsia" w:ascii="Times New Roman" w:hAnsi="Times New Roman" w:eastAsia="宋体" w:cs="Times New Roman"/>
                      <w:sz w:val="21"/>
                      <w:szCs w:val="21"/>
                      <w:highlight w:val="none"/>
                      <w:lang w:eastAsia="zh-CN"/>
                    </w:rPr>
                    <w:t>2、加强特定农产品严格管控区管理，严禁种植特定食用农产品和饲草；重度污染耕地应纳入退耕还林还草实施范围，重度污染的牧草地纳入禁牧休牧实施范围。</w:t>
                  </w:r>
                </w:p>
              </w:tc>
              <w:tc>
                <w:tcPr>
                  <w:tcW w:w="2256" w:type="dxa"/>
                  <w:vAlign w:val="center"/>
                </w:tcPr>
                <w:p w14:paraId="09EDA11B">
                  <w:pPr>
                    <w:pStyle w:val="57"/>
                    <w:jc w:val="both"/>
                    <w:rPr>
                      <w:rFonts w:ascii="Times New Roman" w:hAnsi="Times New Roman" w:cs="Times New Roman" w:eastAsiaTheme="minorEastAsia"/>
                      <w:sz w:val="21"/>
                      <w:szCs w:val="21"/>
                      <w:highlight w:val="none"/>
                      <w:lang w:eastAsia="zh-CN"/>
                    </w:rPr>
                  </w:pPr>
                  <w:r>
                    <w:rPr>
                      <w:rFonts w:hint="eastAsia" w:ascii="Times New Roman" w:hAnsi="Times New Roman" w:eastAsia="宋体" w:cs="Times New Roman"/>
                      <w:sz w:val="21"/>
                      <w:szCs w:val="21"/>
                      <w:highlight w:val="none"/>
                      <w:lang w:val="en-US" w:eastAsia="zh-CN"/>
                    </w:rPr>
                    <w:t>项目不涉及种植农产品，项目不涉及耕地、牧草地</w:t>
                  </w:r>
                </w:p>
              </w:tc>
              <w:tc>
                <w:tcPr>
                  <w:tcW w:w="531" w:type="dxa"/>
                  <w:vMerge w:val="continue"/>
                  <w:vAlign w:val="center"/>
                </w:tcPr>
                <w:p w14:paraId="7C4A4DF7">
                  <w:pPr>
                    <w:pStyle w:val="57"/>
                    <w:jc w:val="center"/>
                    <w:rPr>
                      <w:rFonts w:ascii="Times New Roman" w:hAnsi="Times New Roman" w:cs="Times New Roman" w:eastAsiaTheme="minorEastAsia"/>
                      <w:sz w:val="21"/>
                      <w:szCs w:val="21"/>
                      <w:highlight w:val="none"/>
                      <w:lang w:eastAsia="zh-CN"/>
                    </w:rPr>
                  </w:pPr>
                </w:p>
              </w:tc>
            </w:tr>
            <w:tr w14:paraId="061A49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288C98F7">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34D4F307">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3、禁止企业向滩涂、沼泽、荒地等未利用地非法排污、倾倒有毒有害物质</w:t>
                  </w:r>
                </w:p>
              </w:tc>
              <w:tc>
                <w:tcPr>
                  <w:tcW w:w="2256" w:type="dxa"/>
                  <w:vAlign w:val="center"/>
                </w:tcPr>
                <w:p w14:paraId="687C2F54">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项目不涉及非法排污、倾倒有毒有害物质</w:t>
                  </w:r>
                </w:p>
              </w:tc>
              <w:tc>
                <w:tcPr>
                  <w:tcW w:w="531" w:type="dxa"/>
                  <w:vMerge w:val="continue"/>
                  <w:vAlign w:val="center"/>
                </w:tcPr>
                <w:p w14:paraId="7F3096E8">
                  <w:pPr>
                    <w:pStyle w:val="57"/>
                    <w:jc w:val="center"/>
                    <w:rPr>
                      <w:rFonts w:ascii="Times New Roman" w:hAnsi="Times New Roman" w:cs="Times New Roman" w:eastAsiaTheme="minorEastAsia"/>
                      <w:sz w:val="21"/>
                      <w:szCs w:val="21"/>
                      <w:highlight w:val="none"/>
                      <w:lang w:eastAsia="zh-CN"/>
                    </w:rPr>
                  </w:pPr>
                </w:p>
              </w:tc>
            </w:tr>
            <w:tr w14:paraId="3ACA98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7A45ADAF">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5E251D91">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4、禁止在居民区和学校、医院、疗养院、养老院等单位周边新建、改建、扩建有色金属冶炼、石油加工、焦化、化工、电镀、制革等可能造成土壤污染的建设项目。</w:t>
                  </w:r>
                </w:p>
              </w:tc>
              <w:tc>
                <w:tcPr>
                  <w:tcW w:w="2256" w:type="dxa"/>
                  <w:vAlign w:val="center"/>
                </w:tcPr>
                <w:p w14:paraId="50EC1B6B">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项目不属于“有色金属冶炼、石油加工、焦化、化工、电镀、制革等”项目</w:t>
                  </w:r>
                </w:p>
              </w:tc>
              <w:tc>
                <w:tcPr>
                  <w:tcW w:w="531" w:type="dxa"/>
                  <w:vMerge w:val="continue"/>
                  <w:vAlign w:val="center"/>
                </w:tcPr>
                <w:p w14:paraId="0CE4A640">
                  <w:pPr>
                    <w:pStyle w:val="57"/>
                    <w:jc w:val="center"/>
                    <w:rPr>
                      <w:rFonts w:ascii="Times New Roman" w:hAnsi="Times New Roman" w:cs="Times New Roman" w:eastAsiaTheme="minorEastAsia"/>
                      <w:sz w:val="21"/>
                      <w:szCs w:val="21"/>
                      <w:highlight w:val="none"/>
                      <w:lang w:eastAsia="zh-CN"/>
                    </w:rPr>
                  </w:pPr>
                </w:p>
              </w:tc>
            </w:tr>
            <w:tr w14:paraId="7CC6AC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01BF28C5">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1D8BCB3C">
                  <w:pPr>
                    <w:pStyle w:val="57"/>
                    <w:jc w:val="both"/>
                    <w:rPr>
                      <w:rFonts w:ascii="Times New Roman" w:hAnsi="Times New Roman" w:eastAsia="宋体" w:cs="Times New Roman"/>
                      <w:sz w:val="21"/>
                      <w:szCs w:val="21"/>
                      <w:highlight w:val="none"/>
                      <w:lang w:eastAsia="zh-CN"/>
                    </w:rPr>
                  </w:pPr>
                  <w:r>
                    <w:rPr>
                      <w:rFonts w:ascii="Times New Roman" w:hAnsi="Times New Roman" w:eastAsia="宋体" w:cs="Times New Roman"/>
                      <w:sz w:val="21"/>
                      <w:szCs w:val="21"/>
                      <w:highlight w:val="none"/>
                      <w:lang w:eastAsia="zh-CN"/>
                    </w:rPr>
                    <w:t>5</w:t>
                  </w:r>
                  <w:r>
                    <w:rPr>
                      <w:rFonts w:hint="eastAsia" w:ascii="Times New Roman" w:hAnsi="Times New Roman" w:eastAsia="宋体" w:cs="Times New Roman"/>
                      <w:sz w:val="21"/>
                      <w:szCs w:val="21"/>
                      <w:highlight w:val="none"/>
                      <w:lang w:eastAsia="zh-CN"/>
                    </w:rPr>
                    <w:t>、未利用地、复垦土地等拟开垦为耕地的，要进行土壤污染状况调查，依法进行分类管理，原则上禁止曾用于生产、使用、贮存、回收、处置有毒有害物质的工矿用地开垦为种植食用农产品的耕地。</w:t>
                  </w:r>
                </w:p>
              </w:tc>
              <w:tc>
                <w:tcPr>
                  <w:tcW w:w="2256" w:type="dxa"/>
                  <w:vAlign w:val="center"/>
                </w:tcPr>
                <w:p w14:paraId="17008316">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项目所在位置属于河北</w:t>
                  </w:r>
                  <w:r>
                    <w:rPr>
                      <w:rFonts w:hint="eastAsia" w:ascii="Times New Roman" w:hAnsi="Times New Roman" w:eastAsia="宋体" w:cs="Times New Roman"/>
                      <w:sz w:val="21"/>
                      <w:szCs w:val="21"/>
                      <w:highlight w:val="none"/>
                      <w:lang w:val="en-US" w:eastAsia="zh-CN"/>
                    </w:rPr>
                    <w:t>围场</w:t>
                  </w:r>
                  <w:r>
                    <w:rPr>
                      <w:rFonts w:hint="eastAsia" w:ascii="Times New Roman" w:hAnsi="Times New Roman" w:eastAsia="宋体" w:cs="Times New Roman"/>
                      <w:sz w:val="21"/>
                      <w:szCs w:val="21"/>
                      <w:highlight w:val="none"/>
                      <w:lang w:eastAsia="zh-CN"/>
                    </w:rPr>
                    <w:t>经济开发区的工业用地，不属于未利用地、复垦土地等拟开垦为耕地的</w:t>
                  </w:r>
                </w:p>
              </w:tc>
              <w:tc>
                <w:tcPr>
                  <w:tcW w:w="531" w:type="dxa"/>
                  <w:vMerge w:val="continue"/>
                  <w:vAlign w:val="center"/>
                </w:tcPr>
                <w:p w14:paraId="09B195A6">
                  <w:pPr>
                    <w:pStyle w:val="57"/>
                    <w:jc w:val="center"/>
                    <w:rPr>
                      <w:rFonts w:ascii="Times New Roman" w:hAnsi="Times New Roman" w:cs="Times New Roman" w:eastAsiaTheme="minorEastAsia"/>
                      <w:sz w:val="21"/>
                      <w:szCs w:val="21"/>
                      <w:highlight w:val="none"/>
                      <w:lang w:eastAsia="zh-CN"/>
                    </w:rPr>
                  </w:pPr>
                </w:p>
              </w:tc>
            </w:tr>
            <w:tr w14:paraId="47844B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1D6E6ABD">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300187EA">
                  <w:pPr>
                    <w:pStyle w:val="57"/>
                    <w:jc w:val="both"/>
                    <w:rPr>
                      <w:rFonts w:ascii="Times New Roman" w:hAnsi="Times New Roman" w:eastAsia="宋体" w:cs="Times New Roman"/>
                      <w:sz w:val="21"/>
                      <w:szCs w:val="21"/>
                      <w:highlight w:val="none"/>
                      <w:lang w:eastAsia="zh-CN"/>
                    </w:rPr>
                  </w:pPr>
                  <w:r>
                    <w:rPr>
                      <w:rFonts w:ascii="Times New Roman" w:hAnsi="Times New Roman" w:eastAsia="宋体" w:cs="Times New Roman"/>
                      <w:sz w:val="21"/>
                      <w:szCs w:val="21"/>
                      <w:highlight w:val="none"/>
                      <w:lang w:eastAsia="zh-CN"/>
                    </w:rPr>
                    <w:t>6</w:t>
                  </w:r>
                  <w:r>
                    <w:rPr>
                      <w:rFonts w:hint="eastAsia" w:ascii="Times New Roman" w:hAnsi="Times New Roman" w:eastAsia="宋体" w:cs="Times New Roman"/>
                      <w:sz w:val="21"/>
                      <w:szCs w:val="21"/>
                      <w:highlight w:val="none"/>
                      <w:lang w:eastAsia="zh-CN"/>
                    </w:rPr>
                    <w:t>、工矿企业中，涉及排放有毒有害物质可能造成土壤污染的新（改、扩）建项目，依法进行环境影响评价，提出并落实防腐蚀、防渗漏、防遗撒等土壤防治具体措施。</w:t>
                  </w:r>
                </w:p>
              </w:tc>
              <w:tc>
                <w:tcPr>
                  <w:tcW w:w="2256" w:type="dxa"/>
                  <w:vAlign w:val="center"/>
                </w:tcPr>
                <w:p w14:paraId="45C7D8C6">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项目不涉及排放有毒有害物质</w:t>
                  </w:r>
                </w:p>
              </w:tc>
              <w:tc>
                <w:tcPr>
                  <w:tcW w:w="531" w:type="dxa"/>
                  <w:vMerge w:val="continue"/>
                  <w:vAlign w:val="center"/>
                </w:tcPr>
                <w:p w14:paraId="1ED409AF">
                  <w:pPr>
                    <w:pStyle w:val="57"/>
                    <w:jc w:val="center"/>
                    <w:rPr>
                      <w:rFonts w:ascii="Times New Roman" w:hAnsi="Times New Roman" w:cs="Times New Roman" w:eastAsiaTheme="minorEastAsia"/>
                      <w:sz w:val="21"/>
                      <w:szCs w:val="21"/>
                      <w:highlight w:val="none"/>
                      <w:lang w:eastAsia="zh-CN"/>
                    </w:rPr>
                  </w:pPr>
                </w:p>
              </w:tc>
            </w:tr>
            <w:tr w14:paraId="6DCE22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0174EA95">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7D5804CE">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7、禁止在环境敏感区域新建或扩建危险化学品项目，新建危险化学品企业必须全部进入符合要求的化工园区，开展化工园区整体安全风险评估，加强和规范化工园区的安全管理。</w:t>
                  </w:r>
                </w:p>
              </w:tc>
              <w:tc>
                <w:tcPr>
                  <w:tcW w:w="2256" w:type="dxa"/>
                  <w:vAlign w:val="center"/>
                </w:tcPr>
                <w:p w14:paraId="34BD5942">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项目不属于危险化学品项目</w:t>
                  </w:r>
                </w:p>
              </w:tc>
              <w:tc>
                <w:tcPr>
                  <w:tcW w:w="531" w:type="dxa"/>
                  <w:vMerge w:val="continue"/>
                  <w:vAlign w:val="center"/>
                </w:tcPr>
                <w:p w14:paraId="5F16191C">
                  <w:pPr>
                    <w:pStyle w:val="57"/>
                    <w:jc w:val="center"/>
                    <w:rPr>
                      <w:rFonts w:ascii="Times New Roman" w:hAnsi="Times New Roman" w:cs="Times New Roman" w:eastAsiaTheme="minorEastAsia"/>
                      <w:sz w:val="21"/>
                      <w:szCs w:val="21"/>
                      <w:highlight w:val="none"/>
                      <w:lang w:eastAsia="zh-CN"/>
                    </w:rPr>
                  </w:pPr>
                </w:p>
              </w:tc>
            </w:tr>
            <w:tr w14:paraId="225E0E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5" w:hRule="atLeast"/>
                <w:jc w:val="center"/>
              </w:trPr>
              <w:tc>
                <w:tcPr>
                  <w:tcW w:w="664" w:type="dxa"/>
                  <w:vMerge w:val="continue"/>
                  <w:vAlign w:val="center"/>
                </w:tcPr>
                <w:p w14:paraId="4B006589">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6944209E">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8、严防土壤污染风险不明地块进入用地程序。列入建设用地土壤污染风险管控和修复名录的地块，严格土地征收、收回、收购、土地供应以及转让、改变土地用途等环节监管，原则上不得办理相关手续。依法应当开展土壤污染状况调查或风险评估而未开展或尚未完成的地块，以及未达到土壤污染风险评估报告确定的风险管控、修复目标的地块，不得开工建设与风险管控、修复无关的项目。</w:t>
                  </w:r>
                </w:p>
              </w:tc>
              <w:tc>
                <w:tcPr>
                  <w:tcW w:w="2256" w:type="dxa"/>
                  <w:vAlign w:val="center"/>
                </w:tcPr>
                <w:p w14:paraId="75A44428">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项目位置不属于土壤污染风险不明地块</w:t>
                  </w:r>
                </w:p>
              </w:tc>
              <w:tc>
                <w:tcPr>
                  <w:tcW w:w="531" w:type="dxa"/>
                  <w:vMerge w:val="continue"/>
                  <w:vAlign w:val="center"/>
                </w:tcPr>
                <w:p w14:paraId="39D7AEEA">
                  <w:pPr>
                    <w:pStyle w:val="57"/>
                    <w:jc w:val="center"/>
                    <w:rPr>
                      <w:rFonts w:ascii="Times New Roman" w:hAnsi="Times New Roman" w:cs="Times New Roman" w:eastAsiaTheme="minorEastAsia"/>
                      <w:sz w:val="21"/>
                      <w:szCs w:val="21"/>
                      <w:highlight w:val="none"/>
                      <w:lang w:eastAsia="zh-CN"/>
                    </w:rPr>
                  </w:pPr>
                </w:p>
              </w:tc>
            </w:tr>
            <w:tr w14:paraId="39A5F4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 w:hRule="atLeast"/>
                <w:jc w:val="center"/>
              </w:trPr>
              <w:tc>
                <w:tcPr>
                  <w:tcW w:w="664" w:type="dxa"/>
                  <w:vMerge w:val="restart"/>
                  <w:vAlign w:val="center"/>
                </w:tcPr>
                <w:p w14:paraId="0D619610">
                  <w:pPr>
                    <w:pStyle w:val="57"/>
                    <w:jc w:val="center"/>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污染物排放管控</w:t>
                  </w:r>
                </w:p>
              </w:tc>
              <w:tc>
                <w:tcPr>
                  <w:tcW w:w="4790" w:type="dxa"/>
                  <w:vAlign w:val="center"/>
                </w:tcPr>
                <w:p w14:paraId="73C69EEE">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1、对区域土壤环境质量下降的县（市、区），依法采取环评限批等措施。</w:t>
                  </w:r>
                </w:p>
              </w:tc>
              <w:tc>
                <w:tcPr>
                  <w:tcW w:w="2256" w:type="dxa"/>
                  <w:vAlign w:val="center"/>
                </w:tcPr>
                <w:p w14:paraId="25CBF65E">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经调查，项目区域不属于环评限批区域</w:t>
                  </w:r>
                </w:p>
              </w:tc>
              <w:tc>
                <w:tcPr>
                  <w:tcW w:w="531" w:type="dxa"/>
                  <w:vMerge w:val="restart"/>
                  <w:vAlign w:val="center"/>
                </w:tcPr>
                <w:p w14:paraId="1CB728D3">
                  <w:pPr>
                    <w:pStyle w:val="57"/>
                    <w:jc w:val="center"/>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符合</w:t>
                  </w:r>
                </w:p>
              </w:tc>
            </w:tr>
            <w:tr w14:paraId="1153E9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2EAA67C0">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5A5B04F8">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2、新、改、扩建项目选址用地应当达到工业用地土壤环境质量要求。超过国家土壤污染风险管控有关工业类建设用地筛选值标准的工业地块，未经治理修复或者治理修复不符合相关标准的，不得新、改、扩建项目。</w:t>
                  </w:r>
                </w:p>
              </w:tc>
              <w:tc>
                <w:tcPr>
                  <w:tcW w:w="2256" w:type="dxa"/>
                  <w:vAlign w:val="center"/>
                </w:tcPr>
                <w:p w14:paraId="70DA7E39">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项目位置满足工业用地土壤环境质量要求</w:t>
                  </w:r>
                </w:p>
              </w:tc>
              <w:tc>
                <w:tcPr>
                  <w:tcW w:w="531" w:type="dxa"/>
                  <w:vMerge w:val="continue"/>
                  <w:vAlign w:val="center"/>
                </w:tcPr>
                <w:p w14:paraId="092952A3">
                  <w:pPr>
                    <w:pStyle w:val="57"/>
                    <w:jc w:val="both"/>
                    <w:rPr>
                      <w:rFonts w:ascii="Times New Roman" w:hAnsi="Times New Roman" w:cs="Times New Roman" w:eastAsiaTheme="minorEastAsia"/>
                      <w:sz w:val="21"/>
                      <w:szCs w:val="21"/>
                      <w:highlight w:val="none"/>
                      <w:lang w:eastAsia="zh-CN"/>
                    </w:rPr>
                  </w:pPr>
                </w:p>
              </w:tc>
            </w:tr>
            <w:tr w14:paraId="775008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5B315C0A">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0FA4E099">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3、严控新增重金属排放量，遵循“减量置换”或“等量置换”原则对全市所有新、改、扩建涉重金属重点行业项目进行审批审核。</w:t>
                  </w:r>
                </w:p>
              </w:tc>
              <w:tc>
                <w:tcPr>
                  <w:tcW w:w="2256" w:type="dxa"/>
                  <w:vAlign w:val="center"/>
                </w:tcPr>
                <w:p w14:paraId="434915D0">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项目不涉及重金属排放</w:t>
                  </w:r>
                </w:p>
              </w:tc>
              <w:tc>
                <w:tcPr>
                  <w:tcW w:w="531" w:type="dxa"/>
                  <w:vMerge w:val="continue"/>
                  <w:vAlign w:val="center"/>
                </w:tcPr>
                <w:p w14:paraId="65D6AA4C">
                  <w:pPr>
                    <w:pStyle w:val="57"/>
                    <w:jc w:val="both"/>
                    <w:rPr>
                      <w:rFonts w:ascii="Times New Roman" w:hAnsi="Times New Roman" w:cs="Times New Roman" w:eastAsiaTheme="minorEastAsia"/>
                      <w:sz w:val="21"/>
                      <w:szCs w:val="21"/>
                      <w:highlight w:val="none"/>
                      <w:lang w:eastAsia="zh-CN"/>
                    </w:rPr>
                  </w:pPr>
                </w:p>
              </w:tc>
            </w:tr>
            <w:tr w14:paraId="100350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545DC10F">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2BC43E3B">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4、未利用地的开发应符合土地整治规划，经科学论证与评估，依法批准后方可进行。拟开发为农用地的，有关县（市、区）政府要组织开展土壤环境质量状况评估，达不到相关标准的，不得种植食用农产品和饲草。拟开发为建设用地的未利用地，符合土壤环境质量要求的地块，方可进入用地程序；不符合土壤环境质量要求的，由所在地县（市、区）政府组织划定管控区域，按照相关规定采取环境风险管控措施。</w:t>
                  </w:r>
                </w:p>
              </w:tc>
              <w:tc>
                <w:tcPr>
                  <w:tcW w:w="2256" w:type="dxa"/>
                  <w:vAlign w:val="center"/>
                </w:tcPr>
                <w:p w14:paraId="229438D9">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项目所在位置属于河北</w:t>
                  </w:r>
                  <w:r>
                    <w:rPr>
                      <w:rFonts w:hint="eastAsia" w:ascii="Times New Roman" w:hAnsi="Times New Roman" w:eastAsia="宋体" w:cs="Times New Roman"/>
                      <w:sz w:val="21"/>
                      <w:szCs w:val="21"/>
                      <w:highlight w:val="none"/>
                      <w:lang w:val="en-US" w:eastAsia="zh-CN"/>
                    </w:rPr>
                    <w:t>围场</w:t>
                  </w:r>
                  <w:r>
                    <w:rPr>
                      <w:rFonts w:hint="eastAsia" w:ascii="Times New Roman" w:hAnsi="Times New Roman" w:eastAsia="宋体" w:cs="Times New Roman"/>
                      <w:sz w:val="21"/>
                      <w:szCs w:val="21"/>
                      <w:highlight w:val="none"/>
                      <w:lang w:eastAsia="zh-CN"/>
                    </w:rPr>
                    <w:t>经济开发区的工业用地，不属于未利用地</w:t>
                  </w:r>
                </w:p>
              </w:tc>
              <w:tc>
                <w:tcPr>
                  <w:tcW w:w="531" w:type="dxa"/>
                  <w:vMerge w:val="continue"/>
                  <w:vAlign w:val="center"/>
                </w:tcPr>
                <w:p w14:paraId="2B55A763">
                  <w:pPr>
                    <w:pStyle w:val="57"/>
                    <w:jc w:val="both"/>
                    <w:rPr>
                      <w:rFonts w:ascii="Times New Roman" w:hAnsi="Times New Roman" w:cs="Times New Roman" w:eastAsiaTheme="minorEastAsia"/>
                      <w:sz w:val="21"/>
                      <w:szCs w:val="21"/>
                      <w:highlight w:val="none"/>
                      <w:lang w:eastAsia="zh-CN"/>
                    </w:rPr>
                  </w:pPr>
                </w:p>
              </w:tc>
            </w:tr>
            <w:tr w14:paraId="12A1F9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6A359439">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786B0690">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5、严格控制高毒高残留高风险农药使用；严格落实农膜管理制度，推广地膜科学使用回收；开展秸秆资源台账填报，落实秸秆还田离田支持政策。</w:t>
                  </w:r>
                </w:p>
              </w:tc>
              <w:tc>
                <w:tcPr>
                  <w:tcW w:w="2256" w:type="dxa"/>
                  <w:vAlign w:val="center"/>
                </w:tcPr>
                <w:p w14:paraId="3CE7BC72">
                  <w:pPr>
                    <w:rPr>
                      <w:rFonts w:ascii="Times New Roman" w:hAnsi="Times New Roman" w:eastAsia="宋体" w:cs="Times New Roman"/>
                      <w:szCs w:val="21"/>
                      <w:highlight w:val="none"/>
                      <w:lang w:eastAsia="zh-CN"/>
                    </w:rPr>
                  </w:pPr>
                  <w:r>
                    <w:rPr>
                      <w:rFonts w:hint="eastAsia" w:ascii="Times New Roman" w:hAnsi="Times New Roman" w:eastAsia="宋体" w:cs="Times New Roman"/>
                      <w:szCs w:val="21"/>
                      <w:highlight w:val="none"/>
                      <w:lang w:eastAsia="zh-CN"/>
                    </w:rPr>
                    <w:t>项目不涉及高毒高残留高风险农药</w:t>
                  </w:r>
                </w:p>
              </w:tc>
              <w:tc>
                <w:tcPr>
                  <w:tcW w:w="531" w:type="dxa"/>
                  <w:vMerge w:val="continue"/>
                  <w:vAlign w:val="center"/>
                </w:tcPr>
                <w:p w14:paraId="21353E41">
                  <w:pPr>
                    <w:pStyle w:val="57"/>
                    <w:jc w:val="both"/>
                    <w:rPr>
                      <w:rFonts w:ascii="Times New Roman" w:hAnsi="Times New Roman" w:cs="Times New Roman" w:eastAsiaTheme="minorEastAsia"/>
                      <w:sz w:val="21"/>
                      <w:szCs w:val="21"/>
                      <w:highlight w:val="none"/>
                      <w:lang w:eastAsia="zh-CN"/>
                    </w:rPr>
                  </w:pPr>
                </w:p>
              </w:tc>
            </w:tr>
            <w:tr w14:paraId="7A3087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6ADE9B89">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7901B3FA">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6、健全粪污收储体系，强化粪污资源化利用计划和台账管理；落实畜禽规模养殖场环境影响评价及排污许可制度，依法规范畜禽养殖禁养区管理，防止粪污偷排漏排。</w:t>
                  </w:r>
                </w:p>
              </w:tc>
              <w:tc>
                <w:tcPr>
                  <w:tcW w:w="2256" w:type="dxa"/>
                  <w:vAlign w:val="center"/>
                </w:tcPr>
                <w:p w14:paraId="51627C86">
                  <w:pPr>
                    <w:pStyle w:val="57"/>
                    <w:jc w:val="both"/>
                    <w:rPr>
                      <w:rFonts w:eastAsia="宋体" w:cs="Times New Roman"/>
                      <w:sz w:val="21"/>
                      <w:szCs w:val="21"/>
                      <w:highlight w:val="none"/>
                      <w:lang w:eastAsia="zh-CN"/>
                    </w:rPr>
                  </w:pPr>
                  <w:r>
                    <w:rPr>
                      <w:rFonts w:hint="eastAsia" w:eastAsia="宋体" w:cs="Times New Roman"/>
                      <w:sz w:val="21"/>
                      <w:szCs w:val="21"/>
                      <w:highlight w:val="none"/>
                      <w:lang w:eastAsia="zh-CN"/>
                    </w:rPr>
                    <w:t>项目不属于畜禽规模养殖场项目</w:t>
                  </w:r>
                </w:p>
              </w:tc>
              <w:tc>
                <w:tcPr>
                  <w:tcW w:w="531" w:type="dxa"/>
                  <w:vMerge w:val="continue"/>
                  <w:vAlign w:val="center"/>
                </w:tcPr>
                <w:p w14:paraId="4A500083">
                  <w:pPr>
                    <w:pStyle w:val="57"/>
                    <w:jc w:val="both"/>
                    <w:rPr>
                      <w:rFonts w:ascii="Times New Roman" w:hAnsi="Times New Roman" w:cs="Times New Roman" w:eastAsiaTheme="minorEastAsia"/>
                      <w:sz w:val="21"/>
                      <w:szCs w:val="21"/>
                      <w:highlight w:val="none"/>
                      <w:lang w:eastAsia="zh-CN"/>
                    </w:rPr>
                  </w:pPr>
                </w:p>
              </w:tc>
            </w:tr>
            <w:tr w14:paraId="49D39C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 w:hRule="atLeast"/>
                <w:jc w:val="center"/>
              </w:trPr>
              <w:tc>
                <w:tcPr>
                  <w:tcW w:w="664" w:type="dxa"/>
                  <w:vMerge w:val="restart"/>
                  <w:vAlign w:val="center"/>
                </w:tcPr>
                <w:p w14:paraId="632EFD05">
                  <w:pPr>
                    <w:pStyle w:val="57"/>
                    <w:jc w:val="center"/>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环境风险防控</w:t>
                  </w:r>
                </w:p>
              </w:tc>
              <w:tc>
                <w:tcPr>
                  <w:tcW w:w="4790" w:type="dxa"/>
                  <w:vAlign w:val="center"/>
                </w:tcPr>
                <w:p w14:paraId="1CAD95B1">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1、严禁向农田施用重金属不达标肥料等农业投入品；涉及严格管控类耕地的县（市、区）制定风险管控实施方案，因地施策采取种植结构调整、轮作休耕、退耕还林还草还湿等措施，降低环境风险。</w:t>
                  </w:r>
                </w:p>
              </w:tc>
              <w:tc>
                <w:tcPr>
                  <w:tcW w:w="2256" w:type="dxa"/>
                  <w:vAlign w:val="center"/>
                </w:tcPr>
                <w:p w14:paraId="4A5457DB">
                  <w:pPr>
                    <w:pStyle w:val="57"/>
                    <w:jc w:val="both"/>
                    <w:rPr>
                      <w:rFonts w:ascii="Times New Roman" w:hAnsi="Times New Roman" w:eastAsia="宋体" w:cs="Times New Roman"/>
                      <w:szCs w:val="21"/>
                      <w:highlight w:val="none"/>
                      <w:lang w:eastAsia="zh-CN"/>
                    </w:rPr>
                  </w:pPr>
                  <w:r>
                    <w:rPr>
                      <w:rFonts w:hint="eastAsia" w:ascii="Times New Roman" w:hAnsi="Times New Roman" w:eastAsia="宋体" w:cs="Times New Roman"/>
                      <w:sz w:val="21"/>
                      <w:szCs w:val="21"/>
                      <w:highlight w:val="none"/>
                      <w:lang w:eastAsia="zh-CN"/>
                    </w:rPr>
                    <w:t>项目不涉及农业投入品</w:t>
                  </w:r>
                </w:p>
              </w:tc>
              <w:tc>
                <w:tcPr>
                  <w:tcW w:w="531" w:type="dxa"/>
                  <w:vMerge w:val="restart"/>
                  <w:vAlign w:val="center"/>
                </w:tcPr>
                <w:p w14:paraId="20BB3B03">
                  <w:pPr>
                    <w:pStyle w:val="57"/>
                    <w:jc w:val="center"/>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符合</w:t>
                  </w:r>
                </w:p>
              </w:tc>
            </w:tr>
            <w:tr w14:paraId="4BB7C1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56234194">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52CBF1E2">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2、严格控制在农用地优先保护区边界800 米缓冲区范围内新建有色金属冶炼、石油加工、化工、焦化、电镀、制革、制药、铅酸蓄电池行业企业。严格控制在农用地优先保护区边界800 米缓冲区范围内布局城乡生活垃圾处理、危险废物处置、废旧资源再生利用等设施和场所，合理确定畜禽养殖布局和规模。</w:t>
                  </w:r>
                </w:p>
              </w:tc>
              <w:tc>
                <w:tcPr>
                  <w:tcW w:w="2256" w:type="dxa"/>
                  <w:vAlign w:val="center"/>
                </w:tcPr>
                <w:p w14:paraId="750B4FA7">
                  <w:pPr>
                    <w:pStyle w:val="57"/>
                    <w:jc w:val="both"/>
                    <w:rPr>
                      <w:rFonts w:ascii="Times New Roman" w:hAnsi="Times New Roman" w:eastAsia="宋体" w:cs="Times New Roman"/>
                      <w:szCs w:val="21"/>
                      <w:highlight w:val="none"/>
                      <w:lang w:eastAsia="zh-CN"/>
                    </w:rPr>
                  </w:pPr>
                  <w:r>
                    <w:rPr>
                      <w:rFonts w:hint="eastAsia" w:ascii="Times New Roman" w:hAnsi="Times New Roman" w:eastAsia="宋体" w:cs="Times New Roman"/>
                      <w:sz w:val="21"/>
                      <w:szCs w:val="21"/>
                      <w:highlight w:val="none"/>
                      <w:lang w:eastAsia="zh-CN"/>
                    </w:rPr>
                    <w:t>项目所属行业不属于有色金属冶炼、石油加工、化工、焦化、电镀、制革、制药、铅酸蓄电池行业企业。项目不涉及城乡生活垃圾处理、危险废物处置、废旧资源再生利用等，也不涉及畜禽养殖。</w:t>
                  </w:r>
                </w:p>
              </w:tc>
              <w:tc>
                <w:tcPr>
                  <w:tcW w:w="531" w:type="dxa"/>
                  <w:vMerge w:val="continue"/>
                  <w:vAlign w:val="center"/>
                </w:tcPr>
                <w:p w14:paraId="4DFBB0BA">
                  <w:pPr>
                    <w:pStyle w:val="57"/>
                    <w:jc w:val="center"/>
                    <w:rPr>
                      <w:rFonts w:ascii="Times New Roman" w:hAnsi="Times New Roman" w:cs="Times New Roman" w:eastAsiaTheme="minorEastAsia"/>
                      <w:sz w:val="21"/>
                      <w:szCs w:val="21"/>
                      <w:highlight w:val="none"/>
                      <w:lang w:eastAsia="zh-CN"/>
                    </w:rPr>
                  </w:pPr>
                </w:p>
              </w:tc>
            </w:tr>
            <w:tr w14:paraId="640880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3E2578B8">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3E9506B5">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3、经风险评估对人体健康有严重影响的被污染场地，未经治理修复或者治理修复不符合相关标准的，不得用于居民住宅、学校、幼儿园、医院、养老场所等项目开发。</w:t>
                  </w:r>
                </w:p>
              </w:tc>
              <w:tc>
                <w:tcPr>
                  <w:tcW w:w="2256" w:type="dxa"/>
                  <w:vAlign w:val="center"/>
                </w:tcPr>
                <w:p w14:paraId="762F1BC0">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项目地不属于对人体健康有严重影响的污染场地。</w:t>
                  </w:r>
                </w:p>
              </w:tc>
              <w:tc>
                <w:tcPr>
                  <w:tcW w:w="531" w:type="dxa"/>
                  <w:vMerge w:val="continue"/>
                  <w:vAlign w:val="center"/>
                </w:tcPr>
                <w:p w14:paraId="08489854">
                  <w:pPr>
                    <w:pStyle w:val="57"/>
                    <w:jc w:val="center"/>
                    <w:rPr>
                      <w:rFonts w:ascii="Times New Roman" w:hAnsi="Times New Roman" w:cs="Times New Roman" w:eastAsiaTheme="minorEastAsia"/>
                      <w:sz w:val="21"/>
                      <w:szCs w:val="21"/>
                      <w:highlight w:val="none"/>
                      <w:lang w:eastAsia="zh-CN"/>
                    </w:rPr>
                  </w:pPr>
                </w:p>
              </w:tc>
            </w:tr>
            <w:tr w14:paraId="11C0E5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15D6E25E">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6FB6F84D">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4、企业事业单位拆除设施、设备或者建筑物、构筑物的，应当采取相应的土壤污染防治措施，安全处置残留物料、污染物、污染设施和设备，防范拆除活动污染土壤。</w:t>
                  </w:r>
                </w:p>
              </w:tc>
              <w:tc>
                <w:tcPr>
                  <w:tcW w:w="2256" w:type="dxa"/>
                  <w:vAlign w:val="center"/>
                </w:tcPr>
                <w:p w14:paraId="59609F1A">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项目不涉及拆除设施、设备或者建筑物、构筑物</w:t>
                  </w:r>
                  <w:r>
                    <w:rPr>
                      <w:rFonts w:ascii="Times New Roman" w:hAnsi="Times New Roman" w:eastAsia="宋体" w:cs="Times New Roman"/>
                      <w:sz w:val="21"/>
                      <w:szCs w:val="21"/>
                      <w:highlight w:val="none"/>
                      <w:lang w:eastAsia="zh-CN"/>
                    </w:rPr>
                    <w:t xml:space="preserve"> </w:t>
                  </w:r>
                </w:p>
              </w:tc>
              <w:tc>
                <w:tcPr>
                  <w:tcW w:w="531" w:type="dxa"/>
                  <w:vMerge w:val="continue"/>
                  <w:vAlign w:val="center"/>
                </w:tcPr>
                <w:p w14:paraId="6AC48F78">
                  <w:pPr>
                    <w:pStyle w:val="57"/>
                    <w:jc w:val="center"/>
                    <w:rPr>
                      <w:rFonts w:ascii="Times New Roman" w:hAnsi="Times New Roman" w:cs="Times New Roman" w:eastAsiaTheme="minorEastAsia"/>
                      <w:sz w:val="21"/>
                      <w:szCs w:val="21"/>
                      <w:highlight w:val="none"/>
                      <w:lang w:eastAsia="zh-CN"/>
                    </w:rPr>
                  </w:pPr>
                </w:p>
              </w:tc>
            </w:tr>
            <w:tr w14:paraId="1AB3CE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5F279604">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0CB2F903">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5、尾矿库运营、管理单位应当按照规定加强尾矿库的安全管理，采取措施防止土壤污染。危库、险库、病库以及其他需要重点监管的尾矿库运营、管理单位应当按照规定进行土壤污染状况监测和定期评估。</w:t>
                  </w:r>
                </w:p>
              </w:tc>
              <w:tc>
                <w:tcPr>
                  <w:tcW w:w="2256" w:type="dxa"/>
                  <w:vAlign w:val="center"/>
                </w:tcPr>
                <w:p w14:paraId="4907AE99">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项目不涉及尾矿库</w:t>
                  </w:r>
                </w:p>
              </w:tc>
              <w:tc>
                <w:tcPr>
                  <w:tcW w:w="531" w:type="dxa"/>
                  <w:vMerge w:val="continue"/>
                  <w:vAlign w:val="center"/>
                </w:tcPr>
                <w:p w14:paraId="46C1FA80">
                  <w:pPr>
                    <w:pStyle w:val="57"/>
                    <w:jc w:val="center"/>
                    <w:rPr>
                      <w:rFonts w:ascii="Times New Roman" w:hAnsi="Times New Roman" w:cs="Times New Roman" w:eastAsiaTheme="minorEastAsia"/>
                      <w:sz w:val="21"/>
                      <w:szCs w:val="21"/>
                      <w:highlight w:val="none"/>
                      <w:lang w:eastAsia="zh-CN"/>
                    </w:rPr>
                  </w:pPr>
                </w:p>
              </w:tc>
            </w:tr>
            <w:tr w14:paraId="35CB0F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6388892C">
                  <w:pPr>
                    <w:pStyle w:val="57"/>
                    <w:jc w:val="both"/>
                    <w:rPr>
                      <w:rFonts w:ascii="Times New Roman" w:hAnsi="Times New Roman" w:eastAsia="宋体" w:cs="Times New Roman"/>
                      <w:sz w:val="21"/>
                      <w:szCs w:val="21"/>
                      <w:highlight w:val="none"/>
                      <w:lang w:eastAsia="zh-CN"/>
                    </w:rPr>
                  </w:pPr>
                </w:p>
              </w:tc>
              <w:tc>
                <w:tcPr>
                  <w:tcW w:w="4790" w:type="dxa"/>
                  <w:vAlign w:val="center"/>
                </w:tcPr>
                <w:p w14:paraId="0803461D">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6、开展尾矿库和历史遗留重金属废渣环境风险隐患排查评估，建立尾矿库分级分类环境管理制度，加强环境风险隐患排查。</w:t>
                  </w:r>
                </w:p>
              </w:tc>
              <w:tc>
                <w:tcPr>
                  <w:tcW w:w="2256" w:type="dxa"/>
                  <w:vAlign w:val="center"/>
                </w:tcPr>
                <w:p w14:paraId="00A573F2">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项目不涉及尾矿库</w:t>
                  </w:r>
                </w:p>
              </w:tc>
              <w:tc>
                <w:tcPr>
                  <w:tcW w:w="531" w:type="dxa"/>
                  <w:vMerge w:val="continue"/>
                  <w:vAlign w:val="center"/>
                </w:tcPr>
                <w:p w14:paraId="665DC13C">
                  <w:pPr>
                    <w:pStyle w:val="57"/>
                    <w:jc w:val="both"/>
                    <w:rPr>
                      <w:rFonts w:ascii="Times New Roman" w:hAnsi="Times New Roman" w:eastAsia="宋体" w:cs="Times New Roman"/>
                      <w:sz w:val="21"/>
                      <w:szCs w:val="21"/>
                      <w:highlight w:val="none"/>
                      <w:lang w:eastAsia="zh-CN"/>
                    </w:rPr>
                  </w:pPr>
                </w:p>
              </w:tc>
            </w:tr>
            <w:tr w14:paraId="2AD51D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Align w:val="center"/>
                </w:tcPr>
                <w:p w14:paraId="4A0EA0B3">
                  <w:pPr>
                    <w:pStyle w:val="57"/>
                    <w:jc w:val="center"/>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资源利用效率</w:t>
                  </w:r>
                </w:p>
              </w:tc>
              <w:tc>
                <w:tcPr>
                  <w:tcW w:w="4790" w:type="dxa"/>
                  <w:vAlign w:val="center"/>
                </w:tcPr>
                <w:p w14:paraId="2E37C779">
                  <w:pPr>
                    <w:pStyle w:val="57"/>
                    <w:jc w:val="both"/>
                    <w:rPr>
                      <w:rFonts w:ascii="Times New Roman" w:hAnsi="Times New Roman" w:eastAsia="宋体" w:cs="Times New Roman"/>
                      <w:szCs w:val="21"/>
                      <w:highlight w:val="none"/>
                      <w:lang w:eastAsia="zh-CN"/>
                    </w:rPr>
                  </w:pPr>
                  <w:r>
                    <w:rPr>
                      <w:rFonts w:hint="eastAsia" w:ascii="Times New Roman" w:hAnsi="Times New Roman" w:eastAsia="宋体" w:cs="Times New Roman"/>
                      <w:szCs w:val="21"/>
                      <w:highlight w:val="none"/>
                      <w:lang w:eastAsia="zh-CN"/>
                    </w:rPr>
                    <w:t>/</w:t>
                  </w:r>
                </w:p>
              </w:tc>
              <w:tc>
                <w:tcPr>
                  <w:tcW w:w="2256" w:type="dxa"/>
                  <w:vAlign w:val="center"/>
                </w:tcPr>
                <w:p w14:paraId="2CEC3BA2">
                  <w:pPr>
                    <w:pStyle w:val="57"/>
                    <w:jc w:val="both"/>
                    <w:rPr>
                      <w:rFonts w:ascii="Times New Roman" w:hAnsi="Times New Roman" w:eastAsia="宋体" w:cs="Times New Roman"/>
                      <w:szCs w:val="21"/>
                      <w:highlight w:val="none"/>
                      <w:lang w:eastAsia="zh-CN"/>
                    </w:rPr>
                  </w:pPr>
                  <w:r>
                    <w:rPr>
                      <w:rFonts w:hint="eastAsia" w:ascii="Times New Roman" w:hAnsi="Times New Roman" w:eastAsia="宋体" w:cs="Times New Roman"/>
                      <w:szCs w:val="21"/>
                      <w:highlight w:val="none"/>
                      <w:lang w:eastAsia="zh-CN"/>
                    </w:rPr>
                    <w:t>/</w:t>
                  </w:r>
                </w:p>
              </w:tc>
              <w:tc>
                <w:tcPr>
                  <w:tcW w:w="531" w:type="dxa"/>
                  <w:vAlign w:val="center"/>
                </w:tcPr>
                <w:p w14:paraId="7DB8850C">
                  <w:pPr>
                    <w:pStyle w:val="57"/>
                    <w:jc w:val="center"/>
                    <w:rPr>
                      <w:rFonts w:ascii="Times New Roman" w:hAnsi="Times New Roman" w:cs="Times New Roman" w:eastAsiaTheme="minorEastAsia"/>
                      <w:sz w:val="21"/>
                      <w:szCs w:val="21"/>
                      <w:highlight w:val="none"/>
                      <w:lang w:eastAsia="zh-CN"/>
                    </w:rPr>
                  </w:pPr>
                  <w:r>
                    <w:rPr>
                      <w:rFonts w:hint="eastAsia" w:ascii="Times New Roman" w:hAnsi="Times New Roman" w:cs="Times New Roman" w:eastAsiaTheme="minorEastAsia"/>
                      <w:sz w:val="21"/>
                      <w:szCs w:val="21"/>
                      <w:highlight w:val="none"/>
                      <w:lang w:eastAsia="zh-CN"/>
                    </w:rPr>
                    <w:t>/</w:t>
                  </w:r>
                </w:p>
              </w:tc>
            </w:tr>
          </w:tbl>
          <w:p w14:paraId="36BDA000">
            <w:pPr>
              <w:pStyle w:val="69"/>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left"/>
              <w:textAlignment w:val="auto"/>
              <w:rPr>
                <w:rFonts w:hint="eastAsia" w:ascii="Times New Roman" w:hAnsi="Times New Roman" w:eastAsia="宋体" w:cs="Times New Roman"/>
                <w:sz w:val="24"/>
                <w:szCs w:val="24"/>
                <w:highlight w:val="none"/>
                <w:lang w:val="en-US" w:eastAsia="zh-CN"/>
              </w:rPr>
            </w:pPr>
            <w:r>
              <w:rPr>
                <w:rFonts w:hint="eastAsia" w:ascii="Times New Roman" w:hAnsi="Times New Roman" w:eastAsia="宋体" w:cs="Times New Roman"/>
                <w:sz w:val="24"/>
                <w:szCs w:val="24"/>
                <w:highlight w:val="none"/>
                <w:lang w:val="en-US" w:eastAsia="zh-CN"/>
              </w:rPr>
              <w:t>e.资源利用总体要求符合性</w:t>
            </w:r>
          </w:p>
          <w:p w14:paraId="0A3AC286">
            <w:pPr>
              <w:pStyle w:val="69"/>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left"/>
              <w:textAlignment w:val="auto"/>
              <w:rPr>
                <w:rFonts w:hint="eastAsia" w:ascii="Times New Roman" w:hAnsi="Times New Roman" w:cs="Times New Roman"/>
                <w:sz w:val="24"/>
                <w:szCs w:val="24"/>
                <w:highlight w:val="none"/>
                <w:lang w:val="en-US" w:eastAsia="zh-CN"/>
              </w:rPr>
            </w:pPr>
            <w:r>
              <w:rPr>
                <w:rFonts w:hint="eastAsia"/>
                <w:color w:val="000000" w:themeColor="text1"/>
                <w:sz w:val="24"/>
                <w:highlight w:val="none"/>
                <w14:textFill>
                  <w14:solidFill>
                    <w14:schemeClr w14:val="tx1"/>
                  </w14:solidFill>
                </w14:textFill>
              </w:rPr>
              <w:t>项目</w:t>
            </w:r>
            <w:r>
              <w:rPr>
                <w:rFonts w:hint="eastAsia"/>
                <w:color w:val="000000" w:themeColor="text1"/>
                <w:sz w:val="24"/>
                <w:highlight w:val="none"/>
                <w:lang w:val="en-US" w:eastAsia="zh-CN"/>
                <w14:textFill>
                  <w14:solidFill>
                    <w14:schemeClr w14:val="tx1"/>
                  </w14:solidFill>
                </w14:textFill>
              </w:rPr>
              <w:t>与</w:t>
            </w:r>
            <w:r>
              <w:rPr>
                <w:rFonts w:hint="eastAsia"/>
                <w:color w:val="000000" w:themeColor="text1"/>
                <w:sz w:val="24"/>
                <w:highlight w:val="none"/>
                <w14:textFill>
                  <w14:solidFill>
                    <w14:schemeClr w14:val="tx1"/>
                  </w14:solidFill>
                </w14:textFill>
              </w:rPr>
              <w:t>承德市生态环境分区管控-</w:t>
            </w:r>
            <w:r>
              <w:rPr>
                <w:rFonts w:hint="eastAsia"/>
                <w:color w:val="000000" w:themeColor="text1"/>
                <w:sz w:val="24"/>
                <w:highlight w:val="none"/>
                <w:lang w:val="en-US" w:eastAsia="zh-CN"/>
                <w14:textFill>
                  <w14:solidFill>
                    <w14:schemeClr w14:val="tx1"/>
                  </w14:solidFill>
                </w14:textFill>
              </w:rPr>
              <w:t>资源利用</w:t>
            </w:r>
            <w:r>
              <w:rPr>
                <w:rFonts w:hint="eastAsia"/>
                <w:color w:val="000000" w:themeColor="text1"/>
                <w:sz w:val="24"/>
                <w:highlight w:val="none"/>
                <w14:textFill>
                  <w14:solidFill>
                    <w14:schemeClr w14:val="tx1"/>
                  </w14:solidFill>
                </w14:textFill>
              </w:rPr>
              <w:t>总体要求</w:t>
            </w:r>
            <w:r>
              <w:rPr>
                <w:rFonts w:hint="eastAsia"/>
                <w:color w:val="000000" w:themeColor="text1"/>
                <w:sz w:val="24"/>
                <w:highlight w:val="none"/>
                <w:lang w:val="en-US" w:eastAsia="zh-CN"/>
                <w14:textFill>
                  <w14:solidFill>
                    <w14:schemeClr w14:val="tx1"/>
                  </w14:solidFill>
                </w14:textFill>
              </w:rPr>
              <w:t>符合性分析如下表</w:t>
            </w:r>
            <w:r>
              <w:rPr>
                <w:rFonts w:hint="eastAsia" w:ascii="Times New Roman" w:hAnsi="Times New Roman" w:cs="Times New Roman"/>
                <w:sz w:val="24"/>
                <w:szCs w:val="24"/>
                <w:highlight w:val="none"/>
                <w:lang w:val="en-US" w:eastAsia="zh-CN"/>
              </w:rPr>
              <w:t>。</w:t>
            </w:r>
          </w:p>
          <w:p w14:paraId="21BBAED5">
            <w:pPr>
              <w:pStyle w:val="50"/>
              <w:numPr>
                <w:ilvl w:val="0"/>
                <w:numId w:val="4"/>
              </w:numPr>
              <w:spacing w:line="360" w:lineRule="auto"/>
              <w:ind w:firstLineChars="0"/>
              <w:jc w:val="center"/>
              <w:rPr>
                <w:rFonts w:ascii="Times New Roman" w:hAnsi="Times New Roman" w:eastAsia="宋体"/>
                <w:b/>
                <w:sz w:val="21"/>
                <w:szCs w:val="21"/>
                <w:highlight w:val="none"/>
              </w:rPr>
            </w:pPr>
            <w:r>
              <w:rPr>
                <w:rFonts w:hint="eastAsia" w:ascii="Times New Roman" w:hAnsi="Times New Roman" w:eastAsia="宋体"/>
                <w:b/>
                <w:bCs/>
                <w:sz w:val="21"/>
                <w:szCs w:val="21"/>
                <w:highlight w:val="none"/>
              </w:rPr>
              <w:t>承德市生态环境分区管控-资源利用总体要求符合性分析一览表</w:t>
            </w:r>
          </w:p>
          <w:tbl>
            <w:tblPr>
              <w:tblStyle w:val="64"/>
              <w:tblW w:w="824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64"/>
              <w:gridCol w:w="4790"/>
              <w:gridCol w:w="2256"/>
              <w:gridCol w:w="531"/>
            </w:tblGrid>
            <w:tr w14:paraId="465C1C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 w:hRule="atLeast"/>
                <w:jc w:val="center"/>
              </w:trPr>
              <w:tc>
                <w:tcPr>
                  <w:tcW w:w="664" w:type="dxa"/>
                  <w:vAlign w:val="center"/>
                </w:tcPr>
                <w:p w14:paraId="5C31A998">
                  <w:pPr>
                    <w:pStyle w:val="57"/>
                    <w:jc w:val="center"/>
                    <w:rPr>
                      <w:rFonts w:ascii="Times New Roman" w:hAnsi="Times New Roman" w:eastAsia="宋体" w:cs="Times New Roman"/>
                      <w:b/>
                      <w:sz w:val="21"/>
                      <w:szCs w:val="21"/>
                      <w:highlight w:val="none"/>
                      <w:lang w:eastAsia="en-US"/>
                    </w:rPr>
                  </w:pPr>
                  <w:r>
                    <w:rPr>
                      <w:rFonts w:hint="eastAsia" w:ascii="Times New Roman" w:hAnsi="Times New Roman" w:eastAsia="宋体" w:cs="Times New Roman"/>
                      <w:b/>
                      <w:sz w:val="21"/>
                      <w:szCs w:val="21"/>
                      <w:highlight w:val="none"/>
                      <w:lang w:eastAsia="zh-CN"/>
                    </w:rPr>
                    <w:t>维度</w:t>
                  </w:r>
                </w:p>
              </w:tc>
              <w:tc>
                <w:tcPr>
                  <w:tcW w:w="4790" w:type="dxa"/>
                  <w:vAlign w:val="center"/>
                </w:tcPr>
                <w:p w14:paraId="78441BDC">
                  <w:pPr>
                    <w:pStyle w:val="57"/>
                    <w:jc w:val="center"/>
                    <w:rPr>
                      <w:rFonts w:ascii="Times New Roman" w:hAnsi="Times New Roman" w:eastAsia="宋体" w:cs="Times New Roman"/>
                      <w:b/>
                      <w:sz w:val="21"/>
                      <w:szCs w:val="21"/>
                      <w:highlight w:val="none"/>
                      <w:lang w:eastAsia="en-US"/>
                    </w:rPr>
                  </w:pPr>
                  <w:r>
                    <w:rPr>
                      <w:rFonts w:hint="eastAsia" w:ascii="Times New Roman" w:hAnsi="Times New Roman" w:eastAsia="宋体" w:cs="Times New Roman"/>
                      <w:b/>
                      <w:sz w:val="21"/>
                      <w:szCs w:val="21"/>
                      <w:highlight w:val="none"/>
                      <w:lang w:eastAsia="zh-CN"/>
                    </w:rPr>
                    <w:t>管控要求</w:t>
                  </w:r>
                </w:p>
              </w:tc>
              <w:tc>
                <w:tcPr>
                  <w:tcW w:w="2256" w:type="dxa"/>
                  <w:vAlign w:val="center"/>
                </w:tcPr>
                <w:p w14:paraId="67EDB97C">
                  <w:pPr>
                    <w:pStyle w:val="57"/>
                    <w:jc w:val="center"/>
                    <w:rPr>
                      <w:rFonts w:ascii="Times New Roman" w:hAnsi="Times New Roman" w:eastAsia="宋体" w:cs="Times New Roman"/>
                      <w:b/>
                      <w:sz w:val="21"/>
                      <w:szCs w:val="21"/>
                      <w:highlight w:val="none"/>
                      <w:lang w:eastAsia="en-US"/>
                    </w:rPr>
                  </w:pPr>
                  <w:r>
                    <w:rPr>
                      <w:rFonts w:ascii="Times New Roman" w:hAnsi="Times New Roman" w:eastAsia="宋体" w:cs="Times New Roman"/>
                      <w:b/>
                      <w:sz w:val="21"/>
                      <w:szCs w:val="21"/>
                      <w:highlight w:val="none"/>
                      <w:lang w:eastAsia="zh-CN"/>
                    </w:rPr>
                    <w:t>项目符合性分析</w:t>
                  </w:r>
                </w:p>
              </w:tc>
              <w:tc>
                <w:tcPr>
                  <w:tcW w:w="531" w:type="dxa"/>
                  <w:vAlign w:val="center"/>
                </w:tcPr>
                <w:p w14:paraId="25F1BFE9">
                  <w:pPr>
                    <w:pStyle w:val="57"/>
                    <w:jc w:val="center"/>
                    <w:rPr>
                      <w:rFonts w:ascii="Times New Roman" w:hAnsi="Times New Roman" w:eastAsia="宋体" w:cs="Times New Roman"/>
                      <w:b/>
                      <w:sz w:val="21"/>
                      <w:szCs w:val="21"/>
                      <w:highlight w:val="none"/>
                      <w:lang w:eastAsia="en-US"/>
                    </w:rPr>
                  </w:pPr>
                  <w:r>
                    <w:rPr>
                      <w:rFonts w:ascii="Times New Roman" w:hAnsi="Times New Roman" w:eastAsia="宋体" w:cs="Times New Roman"/>
                      <w:b/>
                      <w:sz w:val="21"/>
                      <w:szCs w:val="21"/>
                      <w:highlight w:val="none"/>
                      <w:lang w:eastAsia="zh-CN"/>
                    </w:rPr>
                    <w:t>结论</w:t>
                  </w:r>
                </w:p>
              </w:tc>
            </w:tr>
            <w:tr w14:paraId="0ED433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2" w:hRule="atLeast"/>
                <w:jc w:val="center"/>
              </w:trPr>
              <w:tc>
                <w:tcPr>
                  <w:tcW w:w="664" w:type="dxa"/>
                  <w:vMerge w:val="restart"/>
                  <w:vAlign w:val="center"/>
                </w:tcPr>
                <w:p w14:paraId="56C88436">
                  <w:pPr>
                    <w:pStyle w:val="57"/>
                    <w:jc w:val="center"/>
                    <w:rPr>
                      <w:rFonts w:ascii="Times New Roman" w:hAnsi="Times New Roman" w:eastAsia="宋体" w:cs="Times New Roman"/>
                      <w:sz w:val="21"/>
                      <w:szCs w:val="21"/>
                      <w:highlight w:val="none"/>
                      <w:lang w:eastAsia="en-US"/>
                    </w:rPr>
                  </w:pPr>
                  <w:r>
                    <w:rPr>
                      <w:rFonts w:hint="eastAsia" w:ascii="Times New Roman" w:hAnsi="Times New Roman" w:eastAsia="宋体" w:cs="Times New Roman"/>
                      <w:sz w:val="21"/>
                      <w:szCs w:val="21"/>
                      <w:highlight w:val="none"/>
                      <w:lang w:eastAsia="zh-CN"/>
                    </w:rPr>
                    <w:t>水资源</w:t>
                  </w:r>
                </w:p>
              </w:tc>
              <w:tc>
                <w:tcPr>
                  <w:tcW w:w="4790" w:type="dxa"/>
                  <w:vAlign w:val="center"/>
                </w:tcPr>
                <w:p w14:paraId="6584F2DE">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1.禁止新建、改扩建《高耗水工艺、技术和装备淘汰目录》中项目，现有企业应限期关停退出。</w:t>
                  </w:r>
                </w:p>
              </w:tc>
              <w:tc>
                <w:tcPr>
                  <w:tcW w:w="2256" w:type="dxa"/>
                  <w:vAlign w:val="center"/>
                </w:tcPr>
                <w:p w14:paraId="38661407">
                  <w:pPr>
                    <w:pStyle w:val="57"/>
                    <w:jc w:val="both"/>
                    <w:rPr>
                      <w:rFonts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项目不属于</w:t>
                  </w:r>
                  <w:r>
                    <w:rPr>
                      <w:rFonts w:hint="eastAsia" w:ascii="Times New Roman" w:hAnsi="Times New Roman" w:eastAsia="宋体" w:cs="Times New Roman"/>
                      <w:sz w:val="21"/>
                      <w:szCs w:val="21"/>
                      <w:highlight w:val="none"/>
                      <w:lang w:eastAsia="zh-CN"/>
                    </w:rPr>
                    <w:t>《高耗水工艺、技术和装备淘汰目录》中项目</w:t>
                  </w:r>
                </w:p>
              </w:tc>
              <w:tc>
                <w:tcPr>
                  <w:tcW w:w="531" w:type="dxa"/>
                  <w:vMerge w:val="restart"/>
                  <w:vAlign w:val="center"/>
                </w:tcPr>
                <w:p w14:paraId="3F1B212B">
                  <w:pPr>
                    <w:pStyle w:val="57"/>
                    <w:jc w:val="center"/>
                    <w:rPr>
                      <w:rFonts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符合</w:t>
                  </w:r>
                </w:p>
              </w:tc>
            </w:tr>
            <w:tr w14:paraId="5021E2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7DBC4D44">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3BED1693">
                  <w:pPr>
                    <w:pStyle w:val="57"/>
                    <w:jc w:val="both"/>
                    <w:rPr>
                      <w:rFonts w:ascii="Times New Roman" w:hAnsi="Times New Roman" w:cs="Times New Roman" w:eastAsiaTheme="minorEastAsia"/>
                      <w:sz w:val="21"/>
                      <w:szCs w:val="21"/>
                      <w:highlight w:val="none"/>
                      <w:lang w:eastAsia="zh-CN"/>
                    </w:rPr>
                  </w:pPr>
                  <w:r>
                    <w:rPr>
                      <w:rFonts w:hint="eastAsia" w:ascii="Times New Roman" w:hAnsi="Times New Roman" w:eastAsia="宋体" w:cs="Times New Roman"/>
                      <w:sz w:val="21"/>
                      <w:szCs w:val="21"/>
                      <w:highlight w:val="none"/>
                      <w:lang w:eastAsia="zh-CN"/>
                    </w:rPr>
                    <w:t>2.禁止建设不符合河北省《工业取水定额》（DB13/T5448-2021）标准的产品，位于公共供水管网覆盖范围内且水量、水质能够满足要求的，不予批准取用地下水。</w:t>
                  </w:r>
                </w:p>
              </w:tc>
              <w:tc>
                <w:tcPr>
                  <w:tcW w:w="2256" w:type="dxa"/>
                  <w:vAlign w:val="center"/>
                </w:tcPr>
                <w:p w14:paraId="1187DC66">
                  <w:pPr>
                    <w:pStyle w:val="57"/>
                    <w:jc w:val="both"/>
                    <w:rPr>
                      <w:rFonts w:ascii="Times New Roman" w:hAnsi="Times New Roman" w:cs="Times New Roman" w:eastAsiaTheme="minorEastAsia"/>
                      <w:sz w:val="21"/>
                      <w:szCs w:val="21"/>
                      <w:highlight w:val="none"/>
                      <w:lang w:eastAsia="zh-CN"/>
                    </w:rPr>
                  </w:pPr>
                  <w:r>
                    <w:rPr>
                      <w:rFonts w:hint="eastAsia" w:ascii="Times New Roman" w:hAnsi="Times New Roman" w:eastAsia="宋体" w:cs="Times New Roman"/>
                      <w:sz w:val="21"/>
                      <w:szCs w:val="21"/>
                      <w:highlight w:val="none"/>
                      <w:lang w:val="en-US" w:eastAsia="zh-CN"/>
                    </w:rPr>
                    <w:t>项目产品符合</w:t>
                  </w:r>
                  <w:r>
                    <w:rPr>
                      <w:rFonts w:hint="eastAsia" w:ascii="Times New Roman" w:hAnsi="Times New Roman" w:eastAsia="宋体" w:cs="Times New Roman"/>
                      <w:sz w:val="21"/>
                      <w:szCs w:val="21"/>
                      <w:highlight w:val="none"/>
                      <w:lang w:eastAsia="zh-CN"/>
                    </w:rPr>
                    <w:t>符合河北省《工业取水定额》（DB13/T5448-2021）标准</w:t>
                  </w:r>
                </w:p>
              </w:tc>
              <w:tc>
                <w:tcPr>
                  <w:tcW w:w="531" w:type="dxa"/>
                  <w:vMerge w:val="continue"/>
                  <w:vAlign w:val="center"/>
                </w:tcPr>
                <w:p w14:paraId="241EE41D">
                  <w:pPr>
                    <w:pStyle w:val="57"/>
                    <w:jc w:val="center"/>
                    <w:rPr>
                      <w:rFonts w:ascii="Times New Roman" w:hAnsi="Times New Roman" w:cs="Times New Roman" w:eastAsiaTheme="minorEastAsia"/>
                      <w:sz w:val="21"/>
                      <w:szCs w:val="21"/>
                      <w:highlight w:val="none"/>
                      <w:lang w:eastAsia="zh-CN"/>
                    </w:rPr>
                  </w:pPr>
                </w:p>
              </w:tc>
            </w:tr>
            <w:tr w14:paraId="20A5F4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3F03201B">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75F38A4A">
                  <w:pPr>
                    <w:pStyle w:val="57"/>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3.到2025 年，钢铁、食品、医药等高耗水行业用水效率达到国内先进水平，万元国内生产总值用水量、万元工业增加值用水量较2020 年分别下降11.2%和17.3%。</w:t>
                  </w:r>
                </w:p>
              </w:tc>
              <w:tc>
                <w:tcPr>
                  <w:tcW w:w="2256" w:type="dxa"/>
                  <w:vAlign w:val="center"/>
                </w:tcPr>
                <w:p w14:paraId="1B0D3AF6">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项目行业不属于钢铁、食品、医药等高耗水行业</w:t>
                  </w:r>
                </w:p>
              </w:tc>
              <w:tc>
                <w:tcPr>
                  <w:tcW w:w="531" w:type="dxa"/>
                  <w:vMerge w:val="continue"/>
                  <w:vAlign w:val="center"/>
                </w:tcPr>
                <w:p w14:paraId="659BAF6E">
                  <w:pPr>
                    <w:pStyle w:val="57"/>
                    <w:jc w:val="center"/>
                    <w:rPr>
                      <w:rFonts w:ascii="Times New Roman" w:hAnsi="Times New Roman" w:cs="Times New Roman" w:eastAsiaTheme="minorEastAsia"/>
                      <w:sz w:val="21"/>
                      <w:szCs w:val="21"/>
                      <w:highlight w:val="none"/>
                      <w:lang w:eastAsia="zh-CN"/>
                    </w:rPr>
                  </w:pPr>
                </w:p>
              </w:tc>
            </w:tr>
            <w:tr w14:paraId="0C2E69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199E5E1A">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6B8CCBE2">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4.2025 年前，公共管网覆盖范围内年取水量5 万立方米以上的重点监控用水单位基本实现监测全覆盖，已安装在线监控设施的用水单位，实现与水行政主管部门的监控系统联网，保存原有监测记录；未安装计量设施的用水单位，由省级统一组织，市、县具体实施。</w:t>
                  </w:r>
                </w:p>
              </w:tc>
              <w:tc>
                <w:tcPr>
                  <w:tcW w:w="2256" w:type="dxa"/>
                  <w:vAlign w:val="center"/>
                </w:tcPr>
                <w:p w14:paraId="13767F09">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项目年取水量在5万立方米以下</w:t>
                  </w:r>
                </w:p>
              </w:tc>
              <w:tc>
                <w:tcPr>
                  <w:tcW w:w="531" w:type="dxa"/>
                  <w:vMerge w:val="continue"/>
                  <w:vAlign w:val="center"/>
                </w:tcPr>
                <w:p w14:paraId="43F43F55">
                  <w:pPr>
                    <w:pStyle w:val="57"/>
                    <w:jc w:val="center"/>
                    <w:rPr>
                      <w:rFonts w:ascii="Times New Roman" w:hAnsi="Times New Roman" w:cs="Times New Roman" w:eastAsiaTheme="minorEastAsia"/>
                      <w:sz w:val="21"/>
                      <w:szCs w:val="21"/>
                      <w:highlight w:val="none"/>
                      <w:lang w:eastAsia="zh-CN"/>
                    </w:rPr>
                  </w:pPr>
                </w:p>
              </w:tc>
            </w:tr>
            <w:tr w14:paraId="3890E1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6B851618">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6BAD8C81">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5.产业集聚区工业用水重复利用与资源产出水平应在2025 年前达到循环经济园区标准要求。</w:t>
                  </w:r>
                </w:p>
              </w:tc>
              <w:tc>
                <w:tcPr>
                  <w:tcW w:w="2256" w:type="dxa"/>
                  <w:vAlign w:val="center"/>
                </w:tcPr>
                <w:p w14:paraId="7BF41F61">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项目水重复利用与资源产出水平满足循环经济园区标准</w:t>
                  </w:r>
                </w:p>
              </w:tc>
              <w:tc>
                <w:tcPr>
                  <w:tcW w:w="531" w:type="dxa"/>
                  <w:vMerge w:val="continue"/>
                  <w:vAlign w:val="center"/>
                </w:tcPr>
                <w:p w14:paraId="5F64C971">
                  <w:pPr>
                    <w:pStyle w:val="57"/>
                    <w:jc w:val="center"/>
                    <w:rPr>
                      <w:rFonts w:ascii="Times New Roman" w:hAnsi="Times New Roman" w:cs="Times New Roman" w:eastAsiaTheme="minorEastAsia"/>
                      <w:sz w:val="21"/>
                      <w:szCs w:val="21"/>
                      <w:highlight w:val="none"/>
                      <w:lang w:eastAsia="zh-CN"/>
                    </w:rPr>
                  </w:pPr>
                </w:p>
              </w:tc>
            </w:tr>
            <w:tr w14:paraId="32A40C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2939D2D8">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2A5A6397">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6.2025年承德市潮河流域用水总量控制在9371万立方米、流域内实施高效节水灌溉14.98万亩；2025年底前，流域内万元工业增加值用水量较2017年下降15%。</w:t>
                  </w:r>
                </w:p>
              </w:tc>
              <w:tc>
                <w:tcPr>
                  <w:tcW w:w="2256" w:type="dxa"/>
                  <w:vAlign w:val="center"/>
                </w:tcPr>
                <w:p w14:paraId="68AB5764">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项目不涉及潮河流域</w:t>
                  </w:r>
                </w:p>
              </w:tc>
              <w:tc>
                <w:tcPr>
                  <w:tcW w:w="531" w:type="dxa"/>
                  <w:vMerge w:val="continue"/>
                  <w:vAlign w:val="center"/>
                </w:tcPr>
                <w:p w14:paraId="104498BC">
                  <w:pPr>
                    <w:pStyle w:val="57"/>
                    <w:jc w:val="center"/>
                    <w:rPr>
                      <w:rFonts w:ascii="Times New Roman" w:hAnsi="Times New Roman" w:cs="Times New Roman" w:eastAsiaTheme="minorEastAsia"/>
                      <w:sz w:val="21"/>
                      <w:szCs w:val="21"/>
                      <w:highlight w:val="none"/>
                      <w:lang w:eastAsia="zh-CN"/>
                    </w:rPr>
                  </w:pPr>
                </w:p>
              </w:tc>
            </w:tr>
            <w:tr w14:paraId="489856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5A6D8CE8">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37C37480">
                  <w:pPr>
                    <w:pStyle w:val="57"/>
                    <w:jc w:val="both"/>
                    <w:rPr>
                      <w:rFonts w:ascii="Times New Roman" w:hAnsi="Times New Roman" w:eastAsia="宋体" w:cs="Times New Roman"/>
                      <w:sz w:val="21"/>
                      <w:szCs w:val="21"/>
                      <w:highlight w:val="none"/>
                      <w:lang w:eastAsia="zh-CN"/>
                    </w:rPr>
                  </w:pPr>
                  <w:r>
                    <w:rPr>
                      <w:rFonts w:ascii="Times New Roman" w:hAnsi="Times New Roman" w:eastAsia="宋体" w:cs="Times New Roman"/>
                      <w:sz w:val="21"/>
                      <w:szCs w:val="21"/>
                      <w:highlight w:val="none"/>
                      <w:lang w:eastAsia="zh-CN"/>
                    </w:rPr>
                    <w:t>7.2025年承德市滦河流域，用水总量控制在88000 万立方米、万元工业增加值用水量控制在27.5 立方米。</w:t>
                  </w:r>
                </w:p>
              </w:tc>
              <w:tc>
                <w:tcPr>
                  <w:tcW w:w="2256" w:type="dxa"/>
                  <w:vAlign w:val="center"/>
                </w:tcPr>
                <w:p w14:paraId="605932A2">
                  <w:pPr>
                    <w:pStyle w:val="57"/>
                    <w:jc w:val="both"/>
                    <w:rPr>
                      <w:rFonts w:ascii="Times New Roman" w:hAnsi="Times New Roman" w:eastAsia="宋体" w:cs="Times New Roman"/>
                      <w:sz w:val="21"/>
                      <w:szCs w:val="21"/>
                      <w:highlight w:val="none"/>
                      <w:lang w:eastAsia="zh-CN"/>
                    </w:rPr>
                  </w:pPr>
                  <w:r>
                    <w:rPr>
                      <w:rFonts w:ascii="Times New Roman" w:hAnsi="Times New Roman" w:eastAsia="宋体" w:cs="Times New Roman"/>
                      <w:sz w:val="21"/>
                      <w:szCs w:val="21"/>
                      <w:highlight w:val="none"/>
                      <w:lang w:val="en-US" w:eastAsia="zh-CN"/>
                    </w:rPr>
                    <w:t>根据工程分析，项目新鲜水用量为</w:t>
                  </w:r>
                  <w:r>
                    <w:rPr>
                      <w:rFonts w:hint="eastAsia" w:ascii="Times New Roman" w:hAnsi="Times New Roman" w:eastAsia="宋体" w:cs="Times New Roman"/>
                      <w:sz w:val="21"/>
                      <w:szCs w:val="21"/>
                      <w:highlight w:val="none"/>
                      <w:lang w:val="en-US" w:eastAsia="zh-CN"/>
                    </w:rPr>
                    <w:t>650.38</w:t>
                  </w:r>
                  <w:r>
                    <w:rPr>
                      <w:rFonts w:ascii="Times New Roman" w:hAnsi="Times New Roman" w:eastAsia="宋体" w:cs="Times New Roman"/>
                      <w:sz w:val="21"/>
                      <w:szCs w:val="21"/>
                      <w:highlight w:val="none"/>
                      <w:lang w:val="en-US" w:eastAsia="zh-CN"/>
                    </w:rPr>
                    <w:t>m</w:t>
                  </w:r>
                  <w:r>
                    <w:rPr>
                      <w:rFonts w:ascii="Times New Roman" w:hAnsi="Times New Roman" w:eastAsia="宋体" w:cs="Times New Roman"/>
                      <w:sz w:val="21"/>
                      <w:szCs w:val="21"/>
                      <w:highlight w:val="none"/>
                      <w:vertAlign w:val="superscript"/>
                      <w:lang w:val="en-US" w:eastAsia="zh-CN"/>
                    </w:rPr>
                    <w:t>3</w:t>
                  </w:r>
                  <w:r>
                    <w:rPr>
                      <w:rFonts w:ascii="Times New Roman" w:hAnsi="Times New Roman" w:eastAsia="宋体" w:cs="Times New Roman"/>
                      <w:sz w:val="21"/>
                      <w:szCs w:val="21"/>
                      <w:highlight w:val="none"/>
                      <w:lang w:val="en-US" w:eastAsia="zh-CN"/>
                    </w:rPr>
                    <w:t>/a，用水量不大，不会突破水资源利用上线。</w:t>
                  </w:r>
                </w:p>
              </w:tc>
              <w:tc>
                <w:tcPr>
                  <w:tcW w:w="531" w:type="dxa"/>
                  <w:vMerge w:val="continue"/>
                  <w:vAlign w:val="center"/>
                </w:tcPr>
                <w:p w14:paraId="58F84C6A">
                  <w:pPr>
                    <w:pStyle w:val="57"/>
                    <w:jc w:val="center"/>
                    <w:rPr>
                      <w:rFonts w:ascii="Times New Roman" w:hAnsi="Times New Roman" w:cs="Times New Roman" w:eastAsiaTheme="minorEastAsia"/>
                      <w:sz w:val="21"/>
                      <w:szCs w:val="21"/>
                      <w:highlight w:val="none"/>
                      <w:lang w:eastAsia="zh-CN"/>
                    </w:rPr>
                  </w:pPr>
                </w:p>
              </w:tc>
            </w:tr>
            <w:tr w14:paraId="7E2C12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36CD0B4C">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73373CAC">
                  <w:pPr>
                    <w:pStyle w:val="57"/>
                    <w:jc w:val="both"/>
                    <w:rPr>
                      <w:rFonts w:ascii="Times New Roman" w:hAnsi="Times New Roman" w:cs="Times New Roman" w:eastAsiaTheme="minorEastAsia"/>
                      <w:sz w:val="21"/>
                      <w:szCs w:val="21"/>
                      <w:highlight w:val="none"/>
                      <w:lang w:eastAsia="zh-CN"/>
                    </w:rPr>
                  </w:pPr>
                  <w:r>
                    <w:rPr>
                      <w:rFonts w:hint="eastAsia" w:ascii="Times New Roman" w:hAnsi="Times New Roman" w:eastAsia="宋体" w:cs="Times New Roman"/>
                      <w:sz w:val="21"/>
                      <w:szCs w:val="21"/>
                      <w:highlight w:val="none"/>
                      <w:lang w:eastAsia="zh-CN"/>
                    </w:rPr>
                    <w:t>8.2025 年，全市用水总量控制在9.50 亿立方米以内，其中地下水总量控制在5.95 亿立方米以内，万元国内生产总值用水量和万元工业增加值用水量分别下降至44 立方米和27.5 立方米，降幅分别为11.1%和17.2%。</w:t>
                  </w:r>
                </w:p>
              </w:tc>
              <w:tc>
                <w:tcPr>
                  <w:tcW w:w="2256" w:type="dxa"/>
                  <w:vAlign w:val="center"/>
                </w:tcPr>
                <w:p w14:paraId="291F7910">
                  <w:pPr>
                    <w:pStyle w:val="57"/>
                    <w:jc w:val="both"/>
                    <w:rPr>
                      <w:rFonts w:ascii="Times New Roman" w:hAnsi="Times New Roman" w:cs="Times New Roman" w:eastAsiaTheme="minorEastAsia"/>
                      <w:sz w:val="21"/>
                      <w:szCs w:val="21"/>
                      <w:highlight w:val="none"/>
                      <w:lang w:val="en-US" w:eastAsia="zh-CN"/>
                    </w:rPr>
                  </w:pPr>
                  <w:r>
                    <w:rPr>
                      <w:rFonts w:ascii="Times New Roman" w:hAnsi="Times New Roman" w:eastAsia="宋体" w:cs="Times New Roman"/>
                      <w:sz w:val="21"/>
                      <w:szCs w:val="21"/>
                      <w:highlight w:val="none"/>
                      <w:lang w:val="en-US" w:eastAsia="zh-CN"/>
                    </w:rPr>
                    <w:t>根据工程分析，项目新鲜水用量为</w:t>
                  </w:r>
                  <w:r>
                    <w:rPr>
                      <w:rFonts w:hint="eastAsia" w:ascii="Times New Roman" w:hAnsi="Times New Roman" w:eastAsia="宋体" w:cs="Times New Roman"/>
                      <w:sz w:val="21"/>
                      <w:szCs w:val="21"/>
                      <w:highlight w:val="none"/>
                      <w:lang w:val="en-US" w:eastAsia="zh-CN"/>
                    </w:rPr>
                    <w:t>650.38</w:t>
                  </w:r>
                  <w:r>
                    <w:rPr>
                      <w:rFonts w:ascii="Times New Roman" w:hAnsi="Times New Roman" w:eastAsia="宋体" w:cs="Times New Roman"/>
                      <w:sz w:val="21"/>
                      <w:szCs w:val="21"/>
                      <w:highlight w:val="none"/>
                      <w:lang w:val="en-US" w:eastAsia="zh-CN"/>
                    </w:rPr>
                    <w:t>m</w:t>
                  </w:r>
                  <w:r>
                    <w:rPr>
                      <w:rFonts w:ascii="Times New Roman" w:hAnsi="Times New Roman" w:eastAsia="宋体" w:cs="Times New Roman"/>
                      <w:sz w:val="21"/>
                      <w:szCs w:val="21"/>
                      <w:highlight w:val="none"/>
                      <w:vertAlign w:val="superscript"/>
                      <w:lang w:val="en-US" w:eastAsia="zh-CN"/>
                    </w:rPr>
                    <w:t>3</w:t>
                  </w:r>
                  <w:r>
                    <w:rPr>
                      <w:rFonts w:ascii="Times New Roman" w:hAnsi="Times New Roman" w:eastAsia="宋体" w:cs="Times New Roman"/>
                      <w:sz w:val="21"/>
                      <w:szCs w:val="21"/>
                      <w:highlight w:val="none"/>
                      <w:lang w:val="en-US" w:eastAsia="zh-CN"/>
                    </w:rPr>
                    <w:t>/a，用水量不大，不会突破水资源利用上线。</w:t>
                  </w:r>
                </w:p>
              </w:tc>
              <w:tc>
                <w:tcPr>
                  <w:tcW w:w="531" w:type="dxa"/>
                  <w:vMerge w:val="continue"/>
                  <w:vAlign w:val="center"/>
                </w:tcPr>
                <w:p w14:paraId="377427EA">
                  <w:pPr>
                    <w:pStyle w:val="57"/>
                    <w:jc w:val="center"/>
                    <w:rPr>
                      <w:rFonts w:ascii="Times New Roman" w:hAnsi="Times New Roman" w:cs="Times New Roman" w:eastAsiaTheme="minorEastAsia"/>
                      <w:sz w:val="21"/>
                      <w:szCs w:val="21"/>
                      <w:highlight w:val="none"/>
                      <w:lang w:eastAsia="zh-CN"/>
                    </w:rPr>
                  </w:pPr>
                </w:p>
              </w:tc>
            </w:tr>
            <w:tr w14:paraId="019467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5" w:hRule="atLeast"/>
                <w:jc w:val="center"/>
              </w:trPr>
              <w:tc>
                <w:tcPr>
                  <w:tcW w:w="664" w:type="dxa"/>
                  <w:vMerge w:val="continue"/>
                  <w:vAlign w:val="center"/>
                </w:tcPr>
                <w:p w14:paraId="174E6256">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351F2DB9">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9.2025年，规划解决农村集中供水人口60.47 万人，自来水普及率达到88%。</w:t>
                  </w:r>
                </w:p>
              </w:tc>
              <w:tc>
                <w:tcPr>
                  <w:tcW w:w="2256" w:type="dxa"/>
                  <w:vAlign w:val="center"/>
                </w:tcPr>
                <w:p w14:paraId="0829D9B1">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项目不涉及农村集中供水</w:t>
                  </w:r>
                </w:p>
              </w:tc>
              <w:tc>
                <w:tcPr>
                  <w:tcW w:w="531" w:type="dxa"/>
                  <w:vMerge w:val="continue"/>
                  <w:vAlign w:val="center"/>
                </w:tcPr>
                <w:p w14:paraId="489119B7">
                  <w:pPr>
                    <w:pStyle w:val="57"/>
                    <w:jc w:val="center"/>
                    <w:rPr>
                      <w:rFonts w:ascii="Times New Roman" w:hAnsi="Times New Roman" w:cs="Times New Roman" w:eastAsiaTheme="minorEastAsia"/>
                      <w:sz w:val="21"/>
                      <w:szCs w:val="21"/>
                      <w:highlight w:val="none"/>
                      <w:lang w:eastAsia="zh-CN"/>
                    </w:rPr>
                  </w:pPr>
                </w:p>
              </w:tc>
            </w:tr>
            <w:tr w14:paraId="30748E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 w:hRule="atLeast"/>
                <w:jc w:val="center"/>
              </w:trPr>
              <w:tc>
                <w:tcPr>
                  <w:tcW w:w="664" w:type="dxa"/>
                  <w:vMerge w:val="restart"/>
                  <w:vAlign w:val="center"/>
                </w:tcPr>
                <w:p w14:paraId="35437628">
                  <w:pPr>
                    <w:pStyle w:val="57"/>
                    <w:jc w:val="center"/>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能源重点管控</w:t>
                  </w:r>
                </w:p>
              </w:tc>
              <w:tc>
                <w:tcPr>
                  <w:tcW w:w="4790" w:type="dxa"/>
                  <w:vAlign w:val="center"/>
                </w:tcPr>
                <w:p w14:paraId="7818BB17">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1.到2025 年，全市重点区域和行业能源利用效率显著提高，单位地区生产总值能耗比2020 年下降17.5%。加强能耗总量和强度双控、煤炭消费和污染物排放总量控制，提高非化石能源占比，降低煤炭在能源消费中的比重。强化市场准入约束，抑制高碳投资，坚决遏制高耗能、高排放、低水平项目盲目发展。</w:t>
                  </w:r>
                </w:p>
              </w:tc>
              <w:tc>
                <w:tcPr>
                  <w:tcW w:w="2256" w:type="dxa"/>
                  <w:vAlign w:val="center"/>
                </w:tcPr>
                <w:p w14:paraId="67CE4F89">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项目不属于重点区域和行业，不属于高耗能、高排放、低水平项目，项目不涉及煤炭资源的使用</w:t>
                  </w:r>
                </w:p>
              </w:tc>
              <w:tc>
                <w:tcPr>
                  <w:tcW w:w="531" w:type="dxa"/>
                  <w:vMerge w:val="restart"/>
                  <w:vAlign w:val="center"/>
                </w:tcPr>
                <w:p w14:paraId="70CE2BD5">
                  <w:pPr>
                    <w:pStyle w:val="57"/>
                    <w:jc w:val="center"/>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符合</w:t>
                  </w:r>
                </w:p>
              </w:tc>
            </w:tr>
            <w:tr w14:paraId="3450F3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02822178">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554AA181">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2.高污染燃料禁燃区内执行《高污染燃料目录》中的Ⅱ类（较严）要求，不得新建燃烧煤炭、重油、渣油等高污染燃料的设施，禁止原煤散烧；现有燃烧高污染燃料的设施，应当限期改用清洁能源；未改用清洁能源替代的高污染燃料设施，应当配套建设先进工艺的脱硫、脱硝、除尘装置或者采取其他措施，控制二氧化硫、氮氧化物和烟尘等排放；仍未达到大气污染物排放标准的，应当停止使用。</w:t>
                  </w:r>
                </w:p>
              </w:tc>
              <w:tc>
                <w:tcPr>
                  <w:tcW w:w="2256" w:type="dxa"/>
                  <w:vAlign w:val="center"/>
                </w:tcPr>
                <w:p w14:paraId="2B22B273">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项目选址位于高污染燃料禁燃区，但项目不涉及燃烧煤炭、重油、渣油等高污染燃料的设施，符合管控要求。</w:t>
                  </w:r>
                </w:p>
              </w:tc>
              <w:tc>
                <w:tcPr>
                  <w:tcW w:w="531" w:type="dxa"/>
                  <w:vMerge w:val="continue"/>
                  <w:vAlign w:val="center"/>
                </w:tcPr>
                <w:p w14:paraId="6D24B56C">
                  <w:pPr>
                    <w:pStyle w:val="57"/>
                    <w:jc w:val="both"/>
                    <w:rPr>
                      <w:rFonts w:ascii="Times New Roman" w:hAnsi="Times New Roman" w:cs="Times New Roman" w:eastAsiaTheme="minorEastAsia"/>
                      <w:sz w:val="21"/>
                      <w:szCs w:val="21"/>
                      <w:highlight w:val="none"/>
                      <w:lang w:eastAsia="zh-CN"/>
                    </w:rPr>
                  </w:pPr>
                </w:p>
              </w:tc>
            </w:tr>
            <w:tr w14:paraId="4F6BB8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20A064F3">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444D8DDA">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3.严把环境准入关口，新建项目单位产品能耗达到《河北省主要产品能耗限额和设备能效限定值》准入值要求，严格执行煤炭减量替代。产业集聚区能源利用效率达到循环经济园区标准。在省级以上园区全面推行能源梯级利用和资源综合利用，依法推进强制性清洁生产审核。</w:t>
                  </w:r>
                </w:p>
              </w:tc>
              <w:tc>
                <w:tcPr>
                  <w:tcW w:w="2256" w:type="dxa"/>
                  <w:vAlign w:val="center"/>
                </w:tcPr>
                <w:p w14:paraId="6E47BA49">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项目不涉及煤炭，项目能源利用效率满足循环经济园区标准，项目满足能源梯级利用和资源综合利用</w:t>
                  </w:r>
                </w:p>
              </w:tc>
              <w:tc>
                <w:tcPr>
                  <w:tcW w:w="531" w:type="dxa"/>
                  <w:vMerge w:val="continue"/>
                  <w:vAlign w:val="center"/>
                </w:tcPr>
                <w:p w14:paraId="50C27768">
                  <w:pPr>
                    <w:pStyle w:val="57"/>
                    <w:jc w:val="both"/>
                    <w:rPr>
                      <w:rFonts w:ascii="Times New Roman" w:hAnsi="Times New Roman" w:cs="Times New Roman" w:eastAsiaTheme="minorEastAsia"/>
                      <w:sz w:val="21"/>
                      <w:szCs w:val="21"/>
                      <w:highlight w:val="none"/>
                      <w:lang w:eastAsia="zh-CN"/>
                    </w:rPr>
                  </w:pPr>
                </w:p>
              </w:tc>
            </w:tr>
            <w:tr w14:paraId="442E2E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728E4FA3">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58920298">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4.严禁新增钢铁、焦化、水泥熟料、平板玻璃、煤化工产能，合理控制煤制油气产能规模。严格落实钢铁、焦化、水泥等重点行业产能置换政策，推动钢铁行业短流程改造，严格控制新增煤电装机规模，严禁新增化工园区。</w:t>
                  </w:r>
                </w:p>
              </w:tc>
              <w:tc>
                <w:tcPr>
                  <w:tcW w:w="2256" w:type="dxa"/>
                  <w:vAlign w:val="center"/>
                </w:tcPr>
                <w:p w14:paraId="747A6E16">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项目不属于“钢铁、焦化、水泥熟料、平板玻璃、煤化工、煤制油气”等项目，项目不属于新增化工园区项目</w:t>
                  </w:r>
                </w:p>
              </w:tc>
              <w:tc>
                <w:tcPr>
                  <w:tcW w:w="531" w:type="dxa"/>
                  <w:vMerge w:val="continue"/>
                  <w:vAlign w:val="center"/>
                </w:tcPr>
                <w:p w14:paraId="17DE3F46">
                  <w:pPr>
                    <w:pStyle w:val="57"/>
                    <w:jc w:val="both"/>
                    <w:rPr>
                      <w:rFonts w:ascii="Times New Roman" w:hAnsi="Times New Roman" w:cs="Times New Roman" w:eastAsiaTheme="minorEastAsia"/>
                      <w:sz w:val="21"/>
                      <w:szCs w:val="21"/>
                      <w:highlight w:val="none"/>
                      <w:lang w:eastAsia="zh-CN"/>
                    </w:rPr>
                  </w:pPr>
                </w:p>
              </w:tc>
            </w:tr>
            <w:tr w14:paraId="1220D9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3AC94E65">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57D15EAB">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5.严格执行质量、环保、能耗、安全等法规标准，加大重点行业低效和过剩产能压减力度，淘汰4.3 米焦炉、1000 立方米以下高炉、100 吨以下转炉、步进式烧结机和球团竖炉，推广高效精馏系统、高温高压干熄焦、富氧强化熔炼等节能技术。</w:t>
                  </w:r>
                </w:p>
              </w:tc>
              <w:tc>
                <w:tcPr>
                  <w:tcW w:w="2256" w:type="dxa"/>
                  <w:vAlign w:val="center"/>
                </w:tcPr>
                <w:p w14:paraId="1629A821">
                  <w:pPr>
                    <w:rPr>
                      <w:rFonts w:ascii="Times New Roman" w:hAnsi="Times New Roman" w:eastAsia="宋体" w:cs="Times New Roman"/>
                      <w:szCs w:val="21"/>
                      <w:highlight w:val="none"/>
                      <w:lang w:eastAsia="zh-CN"/>
                    </w:rPr>
                  </w:pPr>
                  <w:r>
                    <w:rPr>
                      <w:rFonts w:hint="eastAsia" w:ascii="Times New Roman" w:hAnsi="Times New Roman" w:eastAsia="宋体" w:cs="Times New Roman"/>
                      <w:szCs w:val="21"/>
                      <w:highlight w:val="none"/>
                      <w:lang w:eastAsia="zh-CN"/>
                    </w:rPr>
                    <w:t>项目行业不属于重点行业，项目不涉及低效和过剩产能</w:t>
                  </w:r>
                </w:p>
              </w:tc>
              <w:tc>
                <w:tcPr>
                  <w:tcW w:w="531" w:type="dxa"/>
                  <w:vMerge w:val="continue"/>
                  <w:vAlign w:val="center"/>
                </w:tcPr>
                <w:p w14:paraId="5723C3F1">
                  <w:pPr>
                    <w:pStyle w:val="57"/>
                    <w:jc w:val="both"/>
                    <w:rPr>
                      <w:rFonts w:ascii="Times New Roman" w:hAnsi="Times New Roman" w:cs="Times New Roman" w:eastAsiaTheme="minorEastAsia"/>
                      <w:sz w:val="21"/>
                      <w:szCs w:val="21"/>
                      <w:highlight w:val="none"/>
                      <w:lang w:eastAsia="zh-CN"/>
                    </w:rPr>
                  </w:pPr>
                </w:p>
              </w:tc>
            </w:tr>
            <w:tr w14:paraId="28F3D2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0D1A1A42">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3D6E0050">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6.严格控制煤炭消费总量，对新增耗煤项目实施减量替代，严格控制燃煤机组新增装机规模，新增用电量主要依靠区域内非化石能源发电和外送电满足。</w:t>
                  </w:r>
                </w:p>
              </w:tc>
              <w:tc>
                <w:tcPr>
                  <w:tcW w:w="2256" w:type="dxa"/>
                  <w:vAlign w:val="center"/>
                </w:tcPr>
                <w:p w14:paraId="400EC897">
                  <w:pPr>
                    <w:rPr>
                      <w:rFonts w:ascii="Times New Roman" w:hAnsi="Times New Roman" w:eastAsia="宋体" w:cs="Times New Roman"/>
                      <w:kern w:val="0"/>
                      <w:szCs w:val="21"/>
                      <w:highlight w:val="none"/>
                      <w:lang w:val="zh-CN" w:eastAsia="zh-CN" w:bidi="zh-CN"/>
                    </w:rPr>
                  </w:pPr>
                  <w:r>
                    <w:rPr>
                      <w:rFonts w:hint="eastAsia" w:ascii="Times New Roman" w:hAnsi="Times New Roman" w:eastAsia="宋体" w:cs="Times New Roman"/>
                      <w:kern w:val="0"/>
                      <w:szCs w:val="21"/>
                      <w:highlight w:val="none"/>
                      <w:lang w:val="zh-CN" w:eastAsia="zh-CN" w:bidi="zh-CN"/>
                    </w:rPr>
                    <w:t>项目不涉及煤炭</w:t>
                  </w:r>
                </w:p>
              </w:tc>
              <w:tc>
                <w:tcPr>
                  <w:tcW w:w="531" w:type="dxa"/>
                  <w:vMerge w:val="continue"/>
                  <w:vAlign w:val="center"/>
                </w:tcPr>
                <w:p w14:paraId="1232264B">
                  <w:pPr>
                    <w:pStyle w:val="57"/>
                    <w:jc w:val="both"/>
                    <w:rPr>
                      <w:rFonts w:ascii="Times New Roman" w:hAnsi="Times New Roman" w:cs="Times New Roman" w:eastAsiaTheme="minorEastAsia"/>
                      <w:sz w:val="21"/>
                      <w:szCs w:val="21"/>
                      <w:highlight w:val="none"/>
                      <w:lang w:eastAsia="zh-CN"/>
                    </w:rPr>
                  </w:pPr>
                </w:p>
              </w:tc>
            </w:tr>
            <w:tr w14:paraId="1BB9DC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459DC052">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4FE7D46B">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7.稳步实施冬季清洁取暖，保障天然气和电力供应，有序推进“电代煤、气代煤”改造工程。全面推行清洁取暖和增加集中供热面积，实施农村清洁取暖农户动态管理，完成种养殖业及农副产品加工业燃煤设施清洁能源替代，有序推进清洁能源发展。全面推进城镇绿色规划、绿色建设、绿色运行管理，到2025 年，新建装配式建筑占当年新建建筑比例达30%以上。</w:t>
                  </w:r>
                </w:p>
              </w:tc>
              <w:tc>
                <w:tcPr>
                  <w:tcW w:w="2256" w:type="dxa"/>
                  <w:vAlign w:val="center"/>
                </w:tcPr>
                <w:p w14:paraId="0BCCE36B">
                  <w:pPr>
                    <w:rPr>
                      <w:rFonts w:ascii="Times New Roman" w:hAnsi="Times New Roman" w:eastAsia="宋体" w:cs="Times New Roman"/>
                      <w:kern w:val="0"/>
                      <w:szCs w:val="21"/>
                      <w:highlight w:val="none"/>
                      <w:lang w:val="zh-CN" w:eastAsia="zh-CN" w:bidi="zh-CN"/>
                    </w:rPr>
                  </w:pPr>
                  <w:r>
                    <w:rPr>
                      <w:rFonts w:hint="eastAsia" w:ascii="Times New Roman" w:hAnsi="Times New Roman" w:eastAsia="宋体" w:cs="Times New Roman"/>
                      <w:kern w:val="0"/>
                      <w:szCs w:val="21"/>
                      <w:highlight w:val="none"/>
                      <w:lang w:val="zh-CN" w:eastAsia="zh-CN" w:bidi="zh-CN"/>
                    </w:rPr>
                    <w:t>项目不涉及</w:t>
                  </w:r>
                  <w:r>
                    <w:rPr>
                      <w:rFonts w:hint="eastAsia" w:ascii="Times New Roman" w:hAnsi="Times New Roman" w:eastAsia="宋体" w:cs="Times New Roman"/>
                      <w:szCs w:val="21"/>
                      <w:highlight w:val="none"/>
                      <w:lang w:eastAsia="zh-CN"/>
                    </w:rPr>
                    <w:t>“电代煤、气代煤”</w:t>
                  </w:r>
                </w:p>
              </w:tc>
              <w:tc>
                <w:tcPr>
                  <w:tcW w:w="531" w:type="dxa"/>
                  <w:vMerge w:val="continue"/>
                  <w:vAlign w:val="center"/>
                </w:tcPr>
                <w:p w14:paraId="4E3D2B7B">
                  <w:pPr>
                    <w:pStyle w:val="57"/>
                    <w:jc w:val="both"/>
                    <w:rPr>
                      <w:rFonts w:ascii="Times New Roman" w:hAnsi="Times New Roman" w:cs="Times New Roman" w:eastAsiaTheme="minorEastAsia"/>
                      <w:sz w:val="21"/>
                      <w:szCs w:val="21"/>
                      <w:highlight w:val="none"/>
                      <w:lang w:eastAsia="zh-CN"/>
                    </w:rPr>
                  </w:pPr>
                </w:p>
              </w:tc>
            </w:tr>
            <w:tr w14:paraId="475A63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6FECE6BA">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6E5C67B3">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8.统筹能源安全和绿色低碳发展，推动能源供给体系清洁化低碳化。实施可再生能源替代行动大力发展风能、太阳能、生物质能、地热能等，积极推进储能氢能产业，推动抽水蓄能电站建设，加大力度规划建设配套电网项目，提高可再生能源消纳能力。</w:t>
                  </w:r>
                </w:p>
              </w:tc>
              <w:tc>
                <w:tcPr>
                  <w:tcW w:w="2256" w:type="dxa"/>
                  <w:vAlign w:val="center"/>
                </w:tcPr>
                <w:p w14:paraId="6A034139">
                  <w:pPr>
                    <w:rPr>
                      <w:rFonts w:ascii="Times New Roman" w:hAnsi="Times New Roman" w:eastAsia="宋体" w:cs="Times New Roman"/>
                      <w:kern w:val="0"/>
                      <w:szCs w:val="21"/>
                      <w:highlight w:val="none"/>
                      <w:lang w:val="zh-CN" w:eastAsia="zh-CN" w:bidi="zh-CN"/>
                    </w:rPr>
                  </w:pPr>
                  <w:r>
                    <w:rPr>
                      <w:rFonts w:hint="eastAsia" w:ascii="Times New Roman" w:hAnsi="Times New Roman" w:eastAsia="宋体" w:cs="Times New Roman"/>
                      <w:kern w:val="0"/>
                      <w:szCs w:val="21"/>
                      <w:highlight w:val="none"/>
                      <w:lang w:val="zh-CN" w:eastAsia="zh-CN" w:bidi="zh-CN"/>
                    </w:rPr>
                    <w:t>项目符合能源安全和绿色低碳发展要求</w:t>
                  </w:r>
                </w:p>
              </w:tc>
              <w:tc>
                <w:tcPr>
                  <w:tcW w:w="531" w:type="dxa"/>
                  <w:vMerge w:val="continue"/>
                  <w:vAlign w:val="center"/>
                </w:tcPr>
                <w:p w14:paraId="19EA2A03">
                  <w:pPr>
                    <w:pStyle w:val="57"/>
                    <w:jc w:val="both"/>
                    <w:rPr>
                      <w:rFonts w:ascii="Times New Roman" w:hAnsi="Times New Roman" w:cs="Times New Roman" w:eastAsiaTheme="minorEastAsia"/>
                      <w:sz w:val="21"/>
                      <w:szCs w:val="21"/>
                      <w:highlight w:val="none"/>
                      <w:lang w:eastAsia="zh-CN"/>
                    </w:rPr>
                  </w:pPr>
                </w:p>
              </w:tc>
            </w:tr>
            <w:tr w14:paraId="21AF67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36E2215E">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1C26E233">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9.禁止生产高耗能落后设备产品，现有工业企业应限期关停退出</w:t>
                  </w:r>
                </w:p>
              </w:tc>
              <w:tc>
                <w:tcPr>
                  <w:tcW w:w="2256" w:type="dxa"/>
                  <w:vAlign w:val="center"/>
                </w:tcPr>
                <w:p w14:paraId="1AC08A35">
                  <w:pPr>
                    <w:rPr>
                      <w:rFonts w:ascii="Times New Roman" w:hAnsi="Times New Roman" w:eastAsia="宋体" w:cs="Times New Roman"/>
                      <w:kern w:val="0"/>
                      <w:szCs w:val="21"/>
                      <w:highlight w:val="none"/>
                      <w:lang w:val="zh-CN" w:eastAsia="zh-CN" w:bidi="zh-CN"/>
                    </w:rPr>
                  </w:pPr>
                  <w:r>
                    <w:rPr>
                      <w:rFonts w:hint="eastAsia" w:ascii="Times New Roman" w:hAnsi="Times New Roman" w:eastAsia="宋体" w:cs="Times New Roman"/>
                      <w:kern w:val="0"/>
                      <w:szCs w:val="21"/>
                      <w:highlight w:val="none"/>
                      <w:lang w:val="zh-CN" w:eastAsia="zh-CN" w:bidi="zh-CN"/>
                    </w:rPr>
                    <w:t>项目不生产高耗能落后设备产品</w:t>
                  </w:r>
                </w:p>
              </w:tc>
              <w:tc>
                <w:tcPr>
                  <w:tcW w:w="531" w:type="dxa"/>
                  <w:vMerge w:val="continue"/>
                  <w:vAlign w:val="center"/>
                </w:tcPr>
                <w:p w14:paraId="6782D843">
                  <w:pPr>
                    <w:pStyle w:val="57"/>
                    <w:jc w:val="both"/>
                    <w:rPr>
                      <w:rFonts w:ascii="Times New Roman" w:hAnsi="Times New Roman" w:cs="Times New Roman" w:eastAsiaTheme="minorEastAsia"/>
                      <w:sz w:val="21"/>
                      <w:szCs w:val="21"/>
                      <w:highlight w:val="none"/>
                      <w:lang w:eastAsia="zh-CN"/>
                    </w:rPr>
                  </w:pPr>
                </w:p>
              </w:tc>
            </w:tr>
            <w:tr w14:paraId="5A63D7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1135B182">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53E793C1">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10.新建项目能效应不低于国内平均水平。</w:t>
                  </w:r>
                </w:p>
              </w:tc>
              <w:tc>
                <w:tcPr>
                  <w:tcW w:w="2256" w:type="dxa"/>
                  <w:vAlign w:val="center"/>
                </w:tcPr>
                <w:p w14:paraId="761C308C">
                  <w:pPr>
                    <w:pStyle w:val="57"/>
                    <w:jc w:val="both"/>
                    <w:rPr>
                      <w:rFonts w:eastAsia="宋体" w:cs="Times New Roman"/>
                      <w:sz w:val="21"/>
                      <w:szCs w:val="21"/>
                      <w:highlight w:val="none"/>
                      <w:lang w:eastAsia="zh-CN"/>
                    </w:rPr>
                  </w:pPr>
                  <w:r>
                    <w:rPr>
                      <w:rFonts w:hint="eastAsia" w:eastAsia="宋体" w:cs="Times New Roman"/>
                      <w:sz w:val="21"/>
                      <w:szCs w:val="21"/>
                      <w:highlight w:val="none"/>
                      <w:lang w:eastAsia="zh-CN"/>
                    </w:rPr>
                    <w:t>项目</w:t>
                  </w:r>
                  <w:r>
                    <w:rPr>
                      <w:rFonts w:hint="eastAsia" w:ascii="Times New Roman" w:hAnsi="Times New Roman" w:eastAsia="宋体" w:cs="Times New Roman"/>
                      <w:sz w:val="21"/>
                      <w:szCs w:val="21"/>
                      <w:highlight w:val="none"/>
                      <w:lang w:eastAsia="zh-CN"/>
                    </w:rPr>
                    <w:t>能效不低于国内平均水平。</w:t>
                  </w:r>
                </w:p>
              </w:tc>
              <w:tc>
                <w:tcPr>
                  <w:tcW w:w="531" w:type="dxa"/>
                  <w:vMerge w:val="continue"/>
                  <w:vAlign w:val="center"/>
                </w:tcPr>
                <w:p w14:paraId="327F581B">
                  <w:pPr>
                    <w:pStyle w:val="57"/>
                    <w:jc w:val="both"/>
                    <w:rPr>
                      <w:rFonts w:ascii="Times New Roman" w:hAnsi="Times New Roman" w:cs="Times New Roman" w:eastAsiaTheme="minorEastAsia"/>
                      <w:sz w:val="21"/>
                      <w:szCs w:val="21"/>
                      <w:highlight w:val="none"/>
                      <w:lang w:eastAsia="zh-CN"/>
                    </w:rPr>
                  </w:pPr>
                </w:p>
              </w:tc>
            </w:tr>
            <w:tr w14:paraId="6DDC1B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 w:hRule="atLeast"/>
                <w:jc w:val="center"/>
              </w:trPr>
              <w:tc>
                <w:tcPr>
                  <w:tcW w:w="664" w:type="dxa"/>
                  <w:vMerge w:val="restart"/>
                  <w:vAlign w:val="center"/>
                </w:tcPr>
                <w:p w14:paraId="434985D7">
                  <w:pPr>
                    <w:pStyle w:val="57"/>
                    <w:jc w:val="center"/>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土地资源</w:t>
                  </w:r>
                </w:p>
              </w:tc>
              <w:tc>
                <w:tcPr>
                  <w:tcW w:w="4790" w:type="dxa"/>
                  <w:vAlign w:val="center"/>
                </w:tcPr>
                <w:p w14:paraId="76A06364">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1.产业集聚区开发建设应达到《河北省开发区建设用地控制指标实施细则（试行）》（冀国土资发[2015]11号）要求，对不符合要求的工业项目，原则上不得建设，因安全生产、地形地貌、工艺技术等有特殊要求确需突破控制指标的应遵循相关规定执行。</w:t>
                  </w:r>
                </w:p>
              </w:tc>
              <w:tc>
                <w:tcPr>
                  <w:tcW w:w="2256" w:type="dxa"/>
                  <w:vAlign w:val="center"/>
                </w:tcPr>
                <w:p w14:paraId="0211EED0">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项目不属于产业集聚区开发建设项目</w:t>
                  </w:r>
                </w:p>
              </w:tc>
              <w:tc>
                <w:tcPr>
                  <w:tcW w:w="531" w:type="dxa"/>
                  <w:vMerge w:val="restart"/>
                  <w:vAlign w:val="center"/>
                </w:tcPr>
                <w:p w14:paraId="0503623B">
                  <w:pPr>
                    <w:pStyle w:val="57"/>
                    <w:jc w:val="center"/>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符合</w:t>
                  </w:r>
                </w:p>
              </w:tc>
            </w:tr>
            <w:tr w14:paraId="4A1EBF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3019977A">
                  <w:pPr>
                    <w:pStyle w:val="57"/>
                    <w:jc w:val="center"/>
                    <w:rPr>
                      <w:rFonts w:ascii="Times New Roman" w:hAnsi="Times New Roman" w:cs="Times New Roman" w:eastAsiaTheme="minorEastAsia"/>
                      <w:sz w:val="21"/>
                      <w:szCs w:val="21"/>
                      <w:highlight w:val="none"/>
                      <w:lang w:eastAsia="zh-CN"/>
                    </w:rPr>
                  </w:pPr>
                </w:p>
              </w:tc>
              <w:tc>
                <w:tcPr>
                  <w:tcW w:w="4790" w:type="dxa"/>
                  <w:vAlign w:val="center"/>
                </w:tcPr>
                <w:p w14:paraId="60D4F4EA">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2.承德高新技术产业开发区、河北省承德县高新技术产业开发区、河北承德双滦经济开发区、河北宽城经济开发区土地资源节约利用指标应于2025年前达到《国家生态工业示范园区标准》（HJ274-2015）。其他园区应于2030年前达到《国家生态工业示范园区标准》（HJ274-2015）。</w:t>
                  </w:r>
                </w:p>
              </w:tc>
              <w:tc>
                <w:tcPr>
                  <w:tcW w:w="2256" w:type="dxa"/>
                  <w:vAlign w:val="center"/>
                </w:tcPr>
                <w:p w14:paraId="64C4ADCA">
                  <w:pPr>
                    <w:pStyle w:val="57"/>
                    <w:jc w:val="both"/>
                    <w:rPr>
                      <w:rFonts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eastAsia="zh-CN"/>
                    </w:rPr>
                    <w:t>项目不属于产业集聚区开发建设项目</w:t>
                  </w:r>
                </w:p>
              </w:tc>
              <w:tc>
                <w:tcPr>
                  <w:tcW w:w="531" w:type="dxa"/>
                  <w:vMerge w:val="continue"/>
                  <w:vAlign w:val="center"/>
                </w:tcPr>
                <w:p w14:paraId="684C1717">
                  <w:pPr>
                    <w:pStyle w:val="57"/>
                    <w:jc w:val="center"/>
                    <w:rPr>
                      <w:rFonts w:ascii="Times New Roman" w:hAnsi="Times New Roman" w:cs="Times New Roman" w:eastAsiaTheme="minorEastAsia"/>
                      <w:sz w:val="21"/>
                      <w:szCs w:val="21"/>
                      <w:highlight w:val="none"/>
                      <w:lang w:eastAsia="zh-CN"/>
                    </w:rPr>
                  </w:pPr>
                </w:p>
              </w:tc>
            </w:tr>
          </w:tbl>
          <w:p w14:paraId="4ED9D982">
            <w:pPr>
              <w:spacing w:line="360" w:lineRule="auto"/>
              <w:ind w:firstLine="48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f</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符合性分析结论</w:t>
            </w:r>
          </w:p>
          <w:p w14:paraId="7F516CE2">
            <w:pPr>
              <w:spacing w:line="360" w:lineRule="auto"/>
              <w:ind w:firstLine="48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综上，项目符合承德市生态环境分区管控准入清单（2023年版）中的总体要求。</w:t>
            </w:r>
          </w:p>
          <w:p w14:paraId="5BBD7AEE">
            <w:pPr>
              <w:pStyle w:val="69"/>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left"/>
              <w:textAlignment w:val="auto"/>
              <w:rPr>
                <w:rFonts w:hint="eastAsia" w:ascii="Times New Roman" w:hAnsi="Times New Roman" w:eastAsia="宋体" w:cs="Times New Roman"/>
                <w:sz w:val="24"/>
                <w:szCs w:val="24"/>
                <w:highlight w:val="none"/>
                <w:lang w:val="en-US" w:eastAsia="zh-CN"/>
              </w:rPr>
            </w:pPr>
            <w:r>
              <w:rPr>
                <w:color w:val="000000" w:themeColor="text1"/>
                <w:sz w:val="24"/>
                <w:highlight w:val="none"/>
                <w14:textFill>
                  <w14:solidFill>
                    <w14:schemeClr w14:val="tx1"/>
                  </w14:solidFill>
                </w14:textFill>
              </w:rPr>
              <w:t>B</w:t>
            </w:r>
            <w:r>
              <w:rPr>
                <w:rFonts w:hint="eastAsia"/>
                <w:color w:val="000000" w:themeColor="text1"/>
                <w:sz w:val="24"/>
                <w:highlight w:val="none"/>
                <w14:textFill>
                  <w14:solidFill>
                    <w14:schemeClr w14:val="tx1"/>
                  </w14:solidFill>
                </w14:textFill>
              </w:rPr>
              <w:t>、承德市环境管控单元生态准入清单符合性分析</w:t>
            </w:r>
          </w:p>
          <w:p w14:paraId="74D7A868">
            <w:pPr>
              <w:pStyle w:val="69"/>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left"/>
              <w:textAlignment w:val="auto"/>
              <w:rPr>
                <w:rFonts w:hint="default" w:ascii="Times New Roman" w:hAnsi="Times New Roman" w:eastAsia="宋体" w:cs="宋体"/>
                <w:sz w:val="24"/>
                <w:szCs w:val="24"/>
                <w:highlight w:val="none"/>
                <w:lang w:val="en-US" w:eastAsia="zh-CN"/>
              </w:rPr>
            </w:pPr>
            <w:r>
              <w:rPr>
                <w:rFonts w:hint="eastAsia" w:ascii="Times New Roman" w:eastAsia="宋体" w:cs="Times New Roman"/>
                <w:highlight w:val="none"/>
                <w:lang w:val="en-US" w:eastAsia="zh-CN"/>
              </w:rPr>
              <w:t>本项目选址位于</w:t>
            </w:r>
            <w:r>
              <w:rPr>
                <w:rFonts w:hint="eastAsia" w:ascii="Times New Roman" w:hAnsi="Times New Roman" w:cs="Times New Roman"/>
                <w:color w:val="auto"/>
                <w:sz w:val="24"/>
                <w:szCs w:val="24"/>
                <w:highlight w:val="none"/>
                <w:lang w:val="en-US" w:eastAsia="zh-CN"/>
              </w:rPr>
              <w:t>河北省承德市</w:t>
            </w:r>
            <w:r>
              <w:rPr>
                <w:rFonts w:hint="eastAsia" w:cs="Times New Roman"/>
                <w:color w:val="auto"/>
                <w:sz w:val="24"/>
                <w:szCs w:val="24"/>
                <w:highlight w:val="none"/>
                <w:lang w:val="en-US" w:eastAsia="zh-CN"/>
              </w:rPr>
              <w:t>围场满族蒙古族自治县半截塔镇什八克村</w:t>
            </w:r>
            <w:r>
              <w:rPr>
                <w:rFonts w:hint="eastAsia" w:ascii="Times New Roman" w:eastAsia="宋体" w:cs="Times New Roman"/>
                <w:highlight w:val="none"/>
                <w:lang w:val="en-US" w:eastAsia="zh-CN"/>
              </w:rPr>
              <w:t>，经分析，</w:t>
            </w:r>
            <w:r>
              <w:rPr>
                <w:rFonts w:hint="eastAsia" w:ascii="Times New Roman" w:hAnsi="Times New Roman" w:eastAsia="宋体" w:cs="Times New Roman"/>
                <w:sz w:val="24"/>
                <w:szCs w:val="24"/>
                <w:highlight w:val="none"/>
                <w:lang w:val="en-US" w:eastAsia="zh-CN"/>
              </w:rPr>
              <w:t>项目所在地管控类别编号为</w:t>
            </w:r>
            <w:r>
              <w:rPr>
                <w:rFonts w:ascii="Times New Roman" w:cs="Times New Roman"/>
                <w:highlight w:val="none"/>
              </w:rPr>
              <w:t>ZH130</w:t>
            </w:r>
            <w:r>
              <w:rPr>
                <w:rFonts w:hint="eastAsia" w:ascii="Times New Roman" w:cs="Times New Roman"/>
                <w:highlight w:val="none"/>
                <w:lang w:val="en-US" w:eastAsia="zh-CN"/>
              </w:rPr>
              <w:t>8</w:t>
            </w:r>
            <w:r>
              <w:rPr>
                <w:rFonts w:hint="eastAsia" w:cs="Times New Roman"/>
                <w:highlight w:val="none"/>
                <w:lang w:val="en-US" w:eastAsia="zh-CN"/>
              </w:rPr>
              <w:t>2820003</w:t>
            </w:r>
            <w:r>
              <w:rPr>
                <w:rFonts w:hint="eastAsia" w:ascii="Times New Roman" w:hAnsi="Times New Roman"/>
                <w:sz w:val="24"/>
                <w:szCs w:val="24"/>
                <w:highlight w:val="none"/>
                <w:lang w:val="en-US" w:eastAsia="zh-CN"/>
              </w:rPr>
              <w:t>，环境要素类别分为重点管控单元</w:t>
            </w:r>
            <w:r>
              <w:rPr>
                <w:rFonts w:hint="eastAsia"/>
                <w:sz w:val="24"/>
                <w:szCs w:val="24"/>
                <w:highlight w:val="none"/>
                <w:lang w:val="en-US" w:eastAsia="zh-CN"/>
              </w:rPr>
              <w:t>；</w:t>
            </w:r>
          </w:p>
          <w:p w14:paraId="1281851C">
            <w:pPr>
              <w:spacing w:line="360" w:lineRule="auto"/>
              <w:ind w:firstLine="480"/>
              <w:rPr>
                <w:color w:val="000000" w:themeColor="text1"/>
                <w:sz w:val="24"/>
                <w:highlight w:val="none"/>
                <w14:textFill>
                  <w14:solidFill>
                    <w14:schemeClr w14:val="tx1"/>
                  </w14:solidFill>
                </w14:textFill>
              </w:rPr>
            </w:pPr>
            <w:r>
              <w:rPr>
                <w:rFonts w:hint="eastAsia" w:ascii="Times New Roman" w:hAnsi="Times New Roman"/>
                <w:sz w:val="24"/>
                <w:szCs w:val="24"/>
                <w:highlight w:val="none"/>
                <w:lang w:val="en-US" w:eastAsia="zh-CN"/>
              </w:rPr>
              <w:t>项目选址与承德市环境管控单元生态准入清单</w:t>
            </w:r>
            <w:r>
              <w:rPr>
                <w:rFonts w:hint="eastAsia" w:hAnsi="宋体" w:eastAsia="宋体" w:cs="宋体"/>
                <w:sz w:val="24"/>
                <w:szCs w:val="24"/>
                <w:highlight w:val="none"/>
                <w:lang w:val="en-US" w:eastAsia="zh-CN"/>
              </w:rPr>
              <w:t>符合性分析详见</w:t>
            </w:r>
            <w:r>
              <w:rPr>
                <w:rFonts w:hint="eastAsia" w:hAnsi="宋体" w:cs="宋体"/>
                <w:sz w:val="24"/>
                <w:szCs w:val="24"/>
                <w:highlight w:val="none"/>
                <w:lang w:val="en-US" w:eastAsia="zh-CN"/>
              </w:rPr>
              <w:t>下表</w:t>
            </w:r>
            <w:r>
              <w:rPr>
                <w:rFonts w:hint="eastAsia"/>
                <w:color w:val="000000" w:themeColor="text1"/>
                <w:sz w:val="24"/>
                <w:highlight w:val="none"/>
                <w14:textFill>
                  <w14:solidFill>
                    <w14:schemeClr w14:val="tx1"/>
                  </w14:solidFill>
                </w14:textFill>
              </w:rPr>
              <w:t>：</w:t>
            </w:r>
          </w:p>
          <w:p w14:paraId="12C8EE49">
            <w:pPr>
              <w:pStyle w:val="50"/>
              <w:numPr>
                <w:ilvl w:val="0"/>
                <w:numId w:val="4"/>
              </w:numPr>
              <w:spacing w:line="360" w:lineRule="auto"/>
              <w:ind w:firstLineChars="0"/>
              <w:jc w:val="center"/>
              <w:rPr>
                <w:rFonts w:ascii="Times New Roman" w:hAnsi="Times New Roman" w:eastAsia="宋体"/>
                <w:b/>
                <w:sz w:val="21"/>
                <w:szCs w:val="21"/>
                <w:highlight w:val="none"/>
              </w:rPr>
            </w:pPr>
            <w:r>
              <w:rPr>
                <w:rFonts w:hint="eastAsia" w:ascii="Times New Roman" w:hAnsi="Times New Roman" w:eastAsia="宋体"/>
                <w:b/>
                <w:bCs/>
                <w:sz w:val="21"/>
                <w:szCs w:val="21"/>
                <w:highlight w:val="none"/>
              </w:rPr>
              <w:t>环境管控单元生态准入清单符合性分析一览表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1"/>
              <w:gridCol w:w="621"/>
              <w:gridCol w:w="656"/>
              <w:gridCol w:w="633"/>
              <w:gridCol w:w="3222"/>
              <w:gridCol w:w="1482"/>
            </w:tblGrid>
            <w:tr w14:paraId="2B7F9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65" w:type="dxa"/>
                  <w:tcBorders>
                    <w:top w:val="single" w:color="auto" w:sz="4" w:space="0"/>
                    <w:left w:val="single" w:color="auto" w:sz="4" w:space="0"/>
                    <w:bottom w:val="single" w:color="auto" w:sz="4" w:space="0"/>
                    <w:right w:val="single" w:color="auto" w:sz="4" w:space="0"/>
                  </w:tcBorders>
                  <w:vAlign w:val="center"/>
                </w:tcPr>
                <w:p w14:paraId="2ED6750A">
                  <w:pPr>
                    <w:jc w:val="center"/>
                    <w:rPr>
                      <w:b/>
                      <w:bCs/>
                      <w:szCs w:val="21"/>
                      <w:highlight w:val="none"/>
                    </w:rPr>
                  </w:pPr>
                  <w:r>
                    <w:rPr>
                      <w:rFonts w:hint="eastAsia"/>
                      <w:b/>
                      <w:bCs/>
                      <w:szCs w:val="21"/>
                      <w:highlight w:val="none"/>
                    </w:rPr>
                    <w:t>编号</w:t>
                  </w:r>
                </w:p>
              </w:tc>
              <w:tc>
                <w:tcPr>
                  <w:tcW w:w="663" w:type="dxa"/>
                  <w:tcBorders>
                    <w:top w:val="single" w:color="auto" w:sz="4" w:space="0"/>
                    <w:left w:val="single" w:color="auto" w:sz="4" w:space="0"/>
                    <w:bottom w:val="single" w:color="auto" w:sz="4" w:space="0"/>
                    <w:right w:val="single" w:color="auto" w:sz="4" w:space="0"/>
                  </w:tcBorders>
                  <w:vAlign w:val="center"/>
                </w:tcPr>
                <w:p w14:paraId="7454D885">
                  <w:pPr>
                    <w:jc w:val="center"/>
                    <w:rPr>
                      <w:b/>
                      <w:bCs/>
                      <w:szCs w:val="21"/>
                      <w:highlight w:val="none"/>
                    </w:rPr>
                  </w:pPr>
                  <w:r>
                    <w:rPr>
                      <w:rFonts w:hint="eastAsia"/>
                      <w:b/>
                      <w:bCs/>
                      <w:szCs w:val="21"/>
                      <w:highlight w:val="none"/>
                    </w:rPr>
                    <w:t>管控类别</w:t>
                  </w:r>
                </w:p>
              </w:tc>
              <w:tc>
                <w:tcPr>
                  <w:tcW w:w="706" w:type="dxa"/>
                  <w:tcBorders>
                    <w:top w:val="single" w:color="auto" w:sz="4" w:space="0"/>
                    <w:left w:val="single" w:color="auto" w:sz="4" w:space="0"/>
                    <w:bottom w:val="single" w:color="auto" w:sz="4" w:space="0"/>
                    <w:right w:val="single" w:color="auto" w:sz="4" w:space="0"/>
                  </w:tcBorders>
                  <w:vAlign w:val="center"/>
                </w:tcPr>
                <w:p w14:paraId="760368FD">
                  <w:pPr>
                    <w:jc w:val="center"/>
                    <w:rPr>
                      <w:b/>
                      <w:bCs/>
                      <w:szCs w:val="21"/>
                      <w:highlight w:val="none"/>
                    </w:rPr>
                  </w:pPr>
                  <w:r>
                    <w:rPr>
                      <w:rFonts w:hint="eastAsia"/>
                      <w:b/>
                      <w:bCs/>
                      <w:szCs w:val="21"/>
                      <w:highlight w:val="none"/>
                    </w:rPr>
                    <w:t>环境要素类别</w:t>
                  </w:r>
                </w:p>
              </w:tc>
              <w:tc>
                <w:tcPr>
                  <w:tcW w:w="677" w:type="dxa"/>
                  <w:tcBorders>
                    <w:top w:val="single" w:color="auto" w:sz="4" w:space="0"/>
                    <w:left w:val="single" w:color="auto" w:sz="4" w:space="0"/>
                    <w:bottom w:val="single" w:color="auto" w:sz="4" w:space="0"/>
                    <w:right w:val="single" w:color="auto" w:sz="4" w:space="0"/>
                  </w:tcBorders>
                  <w:vAlign w:val="center"/>
                </w:tcPr>
                <w:p w14:paraId="7BDFA9B8">
                  <w:pPr>
                    <w:jc w:val="center"/>
                    <w:rPr>
                      <w:b/>
                      <w:bCs/>
                      <w:szCs w:val="21"/>
                      <w:highlight w:val="none"/>
                    </w:rPr>
                  </w:pPr>
                  <w:r>
                    <w:rPr>
                      <w:rFonts w:hint="eastAsia"/>
                      <w:b/>
                      <w:bCs/>
                      <w:szCs w:val="21"/>
                      <w:highlight w:val="none"/>
                    </w:rPr>
                    <w:t>维度</w:t>
                  </w:r>
                </w:p>
              </w:tc>
              <w:tc>
                <w:tcPr>
                  <w:tcW w:w="3734" w:type="dxa"/>
                  <w:tcBorders>
                    <w:top w:val="single" w:color="auto" w:sz="4" w:space="0"/>
                    <w:left w:val="single" w:color="auto" w:sz="4" w:space="0"/>
                    <w:bottom w:val="single" w:color="auto" w:sz="4" w:space="0"/>
                    <w:right w:val="single" w:color="auto" w:sz="4" w:space="0"/>
                  </w:tcBorders>
                  <w:vAlign w:val="center"/>
                </w:tcPr>
                <w:p w14:paraId="4E7EE2C4">
                  <w:pPr>
                    <w:jc w:val="center"/>
                    <w:rPr>
                      <w:b/>
                      <w:bCs/>
                      <w:szCs w:val="21"/>
                      <w:highlight w:val="none"/>
                    </w:rPr>
                  </w:pPr>
                  <w:r>
                    <w:rPr>
                      <w:rFonts w:hint="eastAsia"/>
                      <w:b/>
                      <w:bCs/>
                      <w:szCs w:val="21"/>
                      <w:highlight w:val="none"/>
                    </w:rPr>
                    <w:t>管控措施</w:t>
                  </w:r>
                </w:p>
              </w:tc>
              <w:tc>
                <w:tcPr>
                  <w:tcW w:w="1642" w:type="dxa"/>
                  <w:tcBorders>
                    <w:top w:val="single" w:color="auto" w:sz="4" w:space="0"/>
                    <w:left w:val="single" w:color="auto" w:sz="4" w:space="0"/>
                    <w:bottom w:val="single" w:color="auto" w:sz="4" w:space="0"/>
                    <w:right w:val="single" w:color="auto" w:sz="4" w:space="0"/>
                  </w:tcBorders>
                  <w:vAlign w:val="center"/>
                </w:tcPr>
                <w:p w14:paraId="74CE5AD5">
                  <w:pPr>
                    <w:jc w:val="center"/>
                    <w:rPr>
                      <w:b/>
                      <w:bCs/>
                      <w:szCs w:val="21"/>
                      <w:highlight w:val="none"/>
                    </w:rPr>
                  </w:pPr>
                  <w:r>
                    <w:rPr>
                      <w:rFonts w:hint="eastAsia"/>
                      <w:b/>
                      <w:bCs/>
                      <w:szCs w:val="21"/>
                      <w:highlight w:val="none"/>
                    </w:rPr>
                    <w:t>项目情况</w:t>
                  </w:r>
                </w:p>
              </w:tc>
            </w:tr>
            <w:tr w14:paraId="53698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5" w:type="dxa"/>
                  <w:vMerge w:val="restart"/>
                  <w:tcBorders>
                    <w:top w:val="single" w:color="auto" w:sz="4" w:space="0"/>
                    <w:left w:val="single" w:color="auto" w:sz="4" w:space="0"/>
                    <w:bottom w:val="single" w:color="auto" w:sz="4" w:space="0"/>
                    <w:right w:val="single" w:color="auto" w:sz="4" w:space="0"/>
                  </w:tcBorders>
                  <w:vAlign w:val="center"/>
                </w:tcPr>
                <w:p w14:paraId="7CD06C07">
                  <w:pPr>
                    <w:jc w:val="center"/>
                    <w:rPr>
                      <w:szCs w:val="21"/>
                      <w:highlight w:val="none"/>
                    </w:rPr>
                  </w:pPr>
                  <w:r>
                    <w:rPr>
                      <w:szCs w:val="21"/>
                      <w:highlight w:val="none"/>
                    </w:rPr>
                    <w:t>ZH1308</w:t>
                  </w:r>
                  <w:r>
                    <w:rPr>
                      <w:rFonts w:hint="eastAsia"/>
                      <w:szCs w:val="21"/>
                      <w:highlight w:val="none"/>
                      <w:lang w:val="en-US" w:eastAsia="zh-CN"/>
                    </w:rPr>
                    <w:t>28</w:t>
                  </w:r>
                  <w:r>
                    <w:rPr>
                      <w:szCs w:val="21"/>
                      <w:highlight w:val="none"/>
                    </w:rPr>
                    <w:t>20003</w:t>
                  </w:r>
                </w:p>
              </w:tc>
              <w:tc>
                <w:tcPr>
                  <w:tcW w:w="663" w:type="dxa"/>
                  <w:vMerge w:val="restart"/>
                  <w:tcBorders>
                    <w:top w:val="single" w:color="auto" w:sz="4" w:space="0"/>
                    <w:left w:val="single" w:color="auto" w:sz="4" w:space="0"/>
                    <w:bottom w:val="single" w:color="auto" w:sz="4" w:space="0"/>
                    <w:right w:val="single" w:color="auto" w:sz="4" w:space="0"/>
                  </w:tcBorders>
                  <w:vAlign w:val="center"/>
                </w:tcPr>
                <w:p w14:paraId="62CD3FD4">
                  <w:pPr>
                    <w:jc w:val="center"/>
                    <w:rPr>
                      <w:szCs w:val="21"/>
                      <w:highlight w:val="none"/>
                    </w:rPr>
                  </w:pPr>
                  <w:r>
                    <w:rPr>
                      <w:rFonts w:hint="eastAsia"/>
                      <w:szCs w:val="21"/>
                      <w:highlight w:val="none"/>
                    </w:rPr>
                    <w:t>重点管控单元</w:t>
                  </w:r>
                </w:p>
              </w:tc>
              <w:tc>
                <w:tcPr>
                  <w:tcW w:w="706" w:type="dxa"/>
                  <w:vMerge w:val="restart"/>
                  <w:tcBorders>
                    <w:top w:val="single" w:color="auto" w:sz="4" w:space="0"/>
                    <w:left w:val="single" w:color="auto" w:sz="4" w:space="0"/>
                    <w:bottom w:val="single" w:color="auto" w:sz="4" w:space="0"/>
                    <w:right w:val="single" w:color="auto" w:sz="4" w:space="0"/>
                  </w:tcBorders>
                  <w:vAlign w:val="center"/>
                </w:tcPr>
                <w:p w14:paraId="77168872">
                  <w:pPr>
                    <w:jc w:val="center"/>
                    <w:rPr>
                      <w:szCs w:val="21"/>
                      <w:highlight w:val="none"/>
                    </w:rPr>
                  </w:pPr>
                  <w:r>
                    <w:rPr>
                      <w:rFonts w:hint="eastAsia"/>
                      <w:szCs w:val="21"/>
                      <w:highlight w:val="none"/>
                      <w:lang w:val="en-US" w:eastAsia="zh-CN"/>
                    </w:rPr>
                    <w:t>围场</w:t>
                  </w:r>
                  <w:r>
                    <w:rPr>
                      <w:rFonts w:hint="eastAsia"/>
                      <w:szCs w:val="21"/>
                      <w:highlight w:val="none"/>
                    </w:rPr>
                    <w:t>经济开发区</w:t>
                  </w:r>
                </w:p>
              </w:tc>
              <w:tc>
                <w:tcPr>
                  <w:tcW w:w="677" w:type="dxa"/>
                  <w:tcBorders>
                    <w:top w:val="single" w:color="auto" w:sz="4" w:space="0"/>
                    <w:left w:val="single" w:color="auto" w:sz="4" w:space="0"/>
                    <w:bottom w:val="single" w:color="auto" w:sz="4" w:space="0"/>
                    <w:right w:val="single" w:color="auto" w:sz="4" w:space="0"/>
                  </w:tcBorders>
                  <w:vAlign w:val="center"/>
                </w:tcPr>
                <w:p w14:paraId="367D74DA">
                  <w:pPr>
                    <w:jc w:val="center"/>
                    <w:rPr>
                      <w:szCs w:val="21"/>
                      <w:highlight w:val="none"/>
                    </w:rPr>
                  </w:pPr>
                  <w:r>
                    <w:rPr>
                      <w:rFonts w:hint="eastAsia"/>
                      <w:szCs w:val="21"/>
                      <w:highlight w:val="none"/>
                    </w:rPr>
                    <w:t>空间布局</w:t>
                  </w:r>
                </w:p>
              </w:tc>
              <w:tc>
                <w:tcPr>
                  <w:tcW w:w="3734" w:type="dxa"/>
                  <w:tcBorders>
                    <w:top w:val="single" w:color="auto" w:sz="4" w:space="0"/>
                    <w:left w:val="single" w:color="auto" w:sz="4" w:space="0"/>
                    <w:bottom w:val="single" w:color="auto" w:sz="4" w:space="0"/>
                    <w:right w:val="single" w:color="auto" w:sz="4" w:space="0"/>
                  </w:tcBorders>
                  <w:vAlign w:val="center"/>
                </w:tcPr>
                <w:p w14:paraId="0316CE1B">
                  <w:pPr>
                    <w:rPr>
                      <w:rFonts w:hint="eastAsia"/>
                      <w:szCs w:val="21"/>
                      <w:highlight w:val="none"/>
                    </w:rPr>
                  </w:pPr>
                  <w:r>
                    <w:rPr>
                      <w:rFonts w:hint="eastAsia"/>
                      <w:szCs w:val="21"/>
                      <w:highlight w:val="none"/>
                    </w:rPr>
                    <w:t>1、执行承德市生态环境总体准入清单要求。</w:t>
                  </w:r>
                </w:p>
                <w:p w14:paraId="1F7C6698">
                  <w:pPr>
                    <w:rPr>
                      <w:rFonts w:hint="eastAsia"/>
                      <w:szCs w:val="21"/>
                      <w:highlight w:val="none"/>
                    </w:rPr>
                  </w:pPr>
                  <w:r>
                    <w:rPr>
                      <w:rFonts w:hint="eastAsia"/>
                      <w:szCs w:val="21"/>
                      <w:highlight w:val="none"/>
                    </w:rPr>
                    <w:t>2、严格执行国家产业政策和准入标准。</w:t>
                  </w:r>
                </w:p>
                <w:p w14:paraId="58656E36">
                  <w:pPr>
                    <w:rPr>
                      <w:rFonts w:hint="eastAsia"/>
                      <w:szCs w:val="21"/>
                      <w:highlight w:val="none"/>
                    </w:rPr>
                  </w:pPr>
                  <w:r>
                    <w:rPr>
                      <w:rFonts w:hint="eastAsia"/>
                      <w:szCs w:val="21"/>
                      <w:highlight w:val="none"/>
                    </w:rPr>
                    <w:t>3、执行经开区规划环评及其批复文件相关要求；规划环评依法依规发生调整的，执行其最新的管理要求。</w:t>
                  </w:r>
                </w:p>
                <w:p w14:paraId="44CA971D">
                  <w:pPr>
                    <w:rPr>
                      <w:rFonts w:hint="eastAsia"/>
                      <w:szCs w:val="21"/>
                      <w:highlight w:val="none"/>
                    </w:rPr>
                  </w:pPr>
                  <w:r>
                    <w:rPr>
                      <w:rFonts w:hint="eastAsia"/>
                      <w:szCs w:val="21"/>
                      <w:highlight w:val="none"/>
                    </w:rPr>
                    <w:t>4、在沙化土地范围内从事开发建设活动的，必须事先就该项目可能对当地及相关地区生态产生的影响进行环境影</w:t>
                  </w:r>
                </w:p>
                <w:p w14:paraId="6DB262F6">
                  <w:pPr>
                    <w:rPr>
                      <w:szCs w:val="21"/>
                      <w:highlight w:val="none"/>
                    </w:rPr>
                  </w:pPr>
                  <w:r>
                    <w:rPr>
                      <w:rFonts w:hint="eastAsia"/>
                      <w:szCs w:val="21"/>
                      <w:highlight w:val="none"/>
                    </w:rPr>
                    <w:t>响评价，依法提交环境影响报告；环境影响报告应当包括有关防沙治沙的内容。</w:t>
                  </w:r>
                </w:p>
              </w:tc>
              <w:tc>
                <w:tcPr>
                  <w:tcW w:w="1642" w:type="dxa"/>
                  <w:tcBorders>
                    <w:top w:val="single" w:color="auto" w:sz="4" w:space="0"/>
                    <w:left w:val="single" w:color="auto" w:sz="4" w:space="0"/>
                    <w:bottom w:val="single" w:color="auto" w:sz="4" w:space="0"/>
                    <w:right w:val="single" w:color="auto" w:sz="4" w:space="0"/>
                  </w:tcBorders>
                  <w:vAlign w:val="center"/>
                </w:tcPr>
                <w:p w14:paraId="6F8B607D">
                  <w:pPr>
                    <w:rPr>
                      <w:szCs w:val="21"/>
                      <w:highlight w:val="none"/>
                    </w:rPr>
                  </w:pPr>
                  <w:r>
                    <w:rPr>
                      <w:szCs w:val="21"/>
                      <w:highlight w:val="none"/>
                    </w:rPr>
                    <w:t>1</w:t>
                  </w:r>
                  <w:r>
                    <w:rPr>
                      <w:rFonts w:hint="eastAsia"/>
                      <w:szCs w:val="21"/>
                      <w:highlight w:val="none"/>
                    </w:rPr>
                    <w:t>、项目符合承德市生态环境总体准入清单要求；</w:t>
                  </w:r>
                </w:p>
                <w:p w14:paraId="5101959E">
                  <w:pPr>
                    <w:rPr>
                      <w:szCs w:val="21"/>
                      <w:highlight w:val="none"/>
                    </w:rPr>
                  </w:pPr>
                  <w:r>
                    <w:rPr>
                      <w:szCs w:val="21"/>
                      <w:highlight w:val="none"/>
                    </w:rPr>
                    <w:t>2</w:t>
                  </w:r>
                  <w:r>
                    <w:rPr>
                      <w:rFonts w:hint="eastAsia"/>
                      <w:szCs w:val="21"/>
                      <w:highlight w:val="none"/>
                    </w:rPr>
                    <w:t>、根据前文分析，项目符合国家产业政策；</w:t>
                  </w:r>
                </w:p>
                <w:p w14:paraId="44D5B221">
                  <w:pPr>
                    <w:rPr>
                      <w:szCs w:val="21"/>
                      <w:highlight w:val="none"/>
                    </w:rPr>
                  </w:pPr>
                  <w:r>
                    <w:rPr>
                      <w:szCs w:val="21"/>
                      <w:highlight w:val="none"/>
                    </w:rPr>
                    <w:t>3</w:t>
                  </w:r>
                  <w:r>
                    <w:rPr>
                      <w:rFonts w:hint="eastAsia"/>
                      <w:szCs w:val="21"/>
                      <w:highlight w:val="none"/>
                    </w:rPr>
                    <w:t>、符合经开区规划环评及其批复文件相关要求；</w:t>
                  </w:r>
                </w:p>
                <w:p w14:paraId="319C4756">
                  <w:pPr>
                    <w:rPr>
                      <w:rFonts w:hint="eastAsia" w:eastAsia="宋体"/>
                      <w:szCs w:val="21"/>
                      <w:highlight w:val="none"/>
                      <w:lang w:eastAsia="zh-CN"/>
                    </w:rPr>
                  </w:pPr>
                  <w:r>
                    <w:rPr>
                      <w:szCs w:val="21"/>
                      <w:highlight w:val="none"/>
                    </w:rPr>
                    <w:t>4</w:t>
                  </w:r>
                  <w:r>
                    <w:rPr>
                      <w:rFonts w:hint="eastAsia"/>
                      <w:szCs w:val="21"/>
                      <w:highlight w:val="none"/>
                    </w:rPr>
                    <w:t>、</w:t>
                  </w:r>
                  <w:r>
                    <w:rPr>
                      <w:rFonts w:hint="eastAsia"/>
                      <w:szCs w:val="21"/>
                      <w:highlight w:val="none"/>
                      <w:lang w:val="en-US" w:eastAsia="zh-CN"/>
                    </w:rPr>
                    <w:t>本项目选址不占用沙化土地</w:t>
                  </w:r>
                  <w:r>
                    <w:rPr>
                      <w:rFonts w:hint="eastAsia"/>
                      <w:szCs w:val="21"/>
                      <w:highlight w:val="none"/>
                      <w:lang w:eastAsia="zh-CN"/>
                    </w:rPr>
                    <w:t>。</w:t>
                  </w:r>
                </w:p>
              </w:tc>
            </w:tr>
            <w:tr w14:paraId="3D98C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5" w:type="dxa"/>
                  <w:vMerge w:val="continue"/>
                  <w:tcBorders>
                    <w:top w:val="single" w:color="auto" w:sz="4" w:space="0"/>
                    <w:left w:val="single" w:color="auto" w:sz="4" w:space="0"/>
                    <w:bottom w:val="single" w:color="auto" w:sz="4" w:space="0"/>
                    <w:right w:val="single" w:color="auto" w:sz="4" w:space="0"/>
                  </w:tcBorders>
                  <w:vAlign w:val="center"/>
                </w:tcPr>
                <w:p w14:paraId="12824036">
                  <w:pPr>
                    <w:jc w:val="center"/>
                    <w:rPr>
                      <w:rFonts w:eastAsiaTheme="minorEastAsia"/>
                      <w:szCs w:val="21"/>
                      <w:highlight w:val="none"/>
                    </w:rPr>
                  </w:pPr>
                </w:p>
              </w:tc>
              <w:tc>
                <w:tcPr>
                  <w:tcW w:w="663" w:type="dxa"/>
                  <w:vMerge w:val="continue"/>
                  <w:tcBorders>
                    <w:top w:val="single" w:color="auto" w:sz="4" w:space="0"/>
                    <w:left w:val="single" w:color="auto" w:sz="4" w:space="0"/>
                    <w:bottom w:val="single" w:color="auto" w:sz="4" w:space="0"/>
                    <w:right w:val="single" w:color="auto" w:sz="4" w:space="0"/>
                  </w:tcBorders>
                  <w:vAlign w:val="center"/>
                </w:tcPr>
                <w:p w14:paraId="29E60121">
                  <w:pPr>
                    <w:jc w:val="center"/>
                    <w:rPr>
                      <w:rFonts w:eastAsiaTheme="minorEastAsia"/>
                      <w:szCs w:val="21"/>
                      <w:highlight w:val="none"/>
                    </w:rPr>
                  </w:pPr>
                </w:p>
              </w:tc>
              <w:tc>
                <w:tcPr>
                  <w:tcW w:w="706" w:type="dxa"/>
                  <w:vMerge w:val="continue"/>
                  <w:tcBorders>
                    <w:top w:val="single" w:color="auto" w:sz="4" w:space="0"/>
                    <w:left w:val="single" w:color="auto" w:sz="4" w:space="0"/>
                    <w:bottom w:val="single" w:color="auto" w:sz="4" w:space="0"/>
                    <w:right w:val="single" w:color="auto" w:sz="4" w:space="0"/>
                  </w:tcBorders>
                  <w:vAlign w:val="center"/>
                </w:tcPr>
                <w:p w14:paraId="77C61A96">
                  <w:pPr>
                    <w:jc w:val="center"/>
                    <w:rPr>
                      <w:rFonts w:eastAsiaTheme="minorEastAsia"/>
                      <w:szCs w:val="21"/>
                      <w:highlight w:val="none"/>
                    </w:rPr>
                  </w:pPr>
                </w:p>
              </w:tc>
              <w:tc>
                <w:tcPr>
                  <w:tcW w:w="677" w:type="dxa"/>
                  <w:tcBorders>
                    <w:top w:val="single" w:color="auto" w:sz="4" w:space="0"/>
                    <w:left w:val="single" w:color="auto" w:sz="4" w:space="0"/>
                    <w:bottom w:val="single" w:color="auto" w:sz="4" w:space="0"/>
                    <w:right w:val="single" w:color="auto" w:sz="4" w:space="0"/>
                  </w:tcBorders>
                  <w:vAlign w:val="center"/>
                </w:tcPr>
                <w:p w14:paraId="05F6F743">
                  <w:pPr>
                    <w:jc w:val="center"/>
                    <w:rPr>
                      <w:szCs w:val="21"/>
                      <w:highlight w:val="none"/>
                    </w:rPr>
                  </w:pPr>
                  <w:r>
                    <w:rPr>
                      <w:rFonts w:hint="eastAsia"/>
                      <w:szCs w:val="21"/>
                      <w:highlight w:val="none"/>
                    </w:rPr>
                    <w:t>污染物排放管控</w:t>
                  </w:r>
                </w:p>
              </w:tc>
              <w:tc>
                <w:tcPr>
                  <w:tcW w:w="3734" w:type="dxa"/>
                  <w:tcBorders>
                    <w:top w:val="single" w:color="auto" w:sz="4" w:space="0"/>
                    <w:left w:val="single" w:color="auto" w:sz="4" w:space="0"/>
                    <w:bottom w:val="single" w:color="auto" w:sz="4" w:space="0"/>
                    <w:right w:val="single" w:color="auto" w:sz="4" w:space="0"/>
                  </w:tcBorders>
                  <w:vAlign w:val="center"/>
                </w:tcPr>
                <w:p w14:paraId="51C958D0">
                  <w:pPr>
                    <w:rPr>
                      <w:rFonts w:hint="eastAsia"/>
                      <w:szCs w:val="21"/>
                      <w:highlight w:val="none"/>
                    </w:rPr>
                  </w:pPr>
                  <w:r>
                    <w:rPr>
                      <w:rFonts w:hint="eastAsia"/>
                      <w:szCs w:val="21"/>
                      <w:highlight w:val="none"/>
                    </w:rPr>
                    <w:t>1、进区企业排放的大气污染物，必须实现达标排放，必须达到相应的行业标准。入区企业要严格执行“三同时”制度，优化工艺流程，推行清洁生产，对污染物排放进行全过程控制。</w:t>
                  </w:r>
                </w:p>
                <w:p w14:paraId="36F4A509">
                  <w:pPr>
                    <w:rPr>
                      <w:rFonts w:hint="eastAsia"/>
                      <w:szCs w:val="21"/>
                      <w:highlight w:val="none"/>
                    </w:rPr>
                  </w:pPr>
                  <w:r>
                    <w:rPr>
                      <w:rFonts w:hint="eastAsia"/>
                      <w:szCs w:val="21"/>
                      <w:highlight w:val="none"/>
                    </w:rPr>
                    <w:t>2、新、改、扩建涉重金属重点行业建设项目必须遵循重点重金属污染物排放“减量置换”或“等量替换”的原则，应在本行政区域内有明确具体的重金属污染物排放总量来源。</w:t>
                  </w:r>
                </w:p>
                <w:p w14:paraId="1B9D7444">
                  <w:pPr>
                    <w:rPr>
                      <w:rFonts w:hint="eastAsia"/>
                      <w:szCs w:val="21"/>
                      <w:highlight w:val="none"/>
                    </w:rPr>
                  </w:pPr>
                  <w:r>
                    <w:rPr>
                      <w:rFonts w:hint="eastAsia"/>
                      <w:szCs w:val="21"/>
                      <w:highlight w:val="none"/>
                    </w:rPr>
                    <w:t>3、坚决遏制高耗能、高排放、低水平项目盲目发展，提升高耗能项目能耗准入标准，能耗、物耗、水耗要达到清洁生产先进水平。</w:t>
                  </w:r>
                </w:p>
                <w:p w14:paraId="1E0388CA">
                  <w:pPr>
                    <w:rPr>
                      <w:szCs w:val="21"/>
                      <w:highlight w:val="none"/>
                    </w:rPr>
                  </w:pPr>
                  <w:r>
                    <w:rPr>
                      <w:rFonts w:hint="eastAsia"/>
                      <w:szCs w:val="21"/>
                      <w:highlight w:val="none"/>
                    </w:rPr>
                    <w:t>4、加快产业园区和集群污染综合整治，推进园区供热、供电、污水处理、再生水回用等公共基础设施共建共享。</w:t>
                  </w:r>
                </w:p>
              </w:tc>
              <w:tc>
                <w:tcPr>
                  <w:tcW w:w="1642" w:type="dxa"/>
                  <w:tcBorders>
                    <w:top w:val="single" w:color="auto" w:sz="4" w:space="0"/>
                    <w:left w:val="single" w:color="auto" w:sz="4" w:space="0"/>
                    <w:bottom w:val="single" w:color="auto" w:sz="4" w:space="0"/>
                    <w:right w:val="single" w:color="auto" w:sz="4" w:space="0"/>
                  </w:tcBorders>
                  <w:vAlign w:val="center"/>
                </w:tcPr>
                <w:p w14:paraId="08A37B63">
                  <w:pPr>
                    <w:rPr>
                      <w:szCs w:val="21"/>
                      <w:highlight w:val="none"/>
                    </w:rPr>
                  </w:pPr>
                  <w:r>
                    <w:rPr>
                      <w:szCs w:val="21"/>
                      <w:highlight w:val="none"/>
                    </w:rPr>
                    <w:t>1</w:t>
                  </w:r>
                  <w:r>
                    <w:rPr>
                      <w:rFonts w:hint="eastAsia"/>
                      <w:szCs w:val="21"/>
                      <w:highlight w:val="none"/>
                    </w:rPr>
                    <w:t>、</w:t>
                  </w:r>
                  <w:r>
                    <w:rPr>
                      <w:rFonts w:hint="eastAsia"/>
                      <w:szCs w:val="21"/>
                      <w:highlight w:val="none"/>
                      <w:lang w:val="en-US" w:eastAsia="zh-CN"/>
                    </w:rPr>
                    <w:t>本项目运营期大气污染物均达标排放；本企业严格执行</w:t>
                  </w:r>
                  <w:r>
                    <w:rPr>
                      <w:rFonts w:hint="eastAsia"/>
                      <w:szCs w:val="21"/>
                      <w:highlight w:val="none"/>
                    </w:rPr>
                    <w:t>“三同时”制度</w:t>
                  </w:r>
                  <w:r>
                    <w:rPr>
                      <w:rFonts w:hint="eastAsia"/>
                      <w:szCs w:val="21"/>
                      <w:highlight w:val="none"/>
                      <w:lang w:eastAsia="zh-CN"/>
                    </w:rPr>
                    <w:t>，</w:t>
                  </w:r>
                  <w:r>
                    <w:rPr>
                      <w:rFonts w:hint="eastAsia"/>
                      <w:szCs w:val="21"/>
                      <w:highlight w:val="none"/>
                      <w:lang w:val="en-US" w:eastAsia="zh-CN"/>
                    </w:rPr>
                    <w:t>推行清洁生产，</w:t>
                  </w:r>
                  <w:r>
                    <w:rPr>
                      <w:rFonts w:hint="eastAsia"/>
                      <w:szCs w:val="21"/>
                      <w:highlight w:val="none"/>
                    </w:rPr>
                    <w:t>对污染物排放进行全过程控制；</w:t>
                  </w:r>
                </w:p>
                <w:p w14:paraId="02C13BD1">
                  <w:pPr>
                    <w:rPr>
                      <w:szCs w:val="21"/>
                      <w:highlight w:val="none"/>
                    </w:rPr>
                  </w:pPr>
                  <w:r>
                    <w:rPr>
                      <w:szCs w:val="21"/>
                      <w:highlight w:val="none"/>
                    </w:rPr>
                    <w:t>2</w:t>
                  </w:r>
                  <w:r>
                    <w:rPr>
                      <w:rFonts w:hint="eastAsia"/>
                      <w:szCs w:val="21"/>
                      <w:highlight w:val="none"/>
                    </w:rPr>
                    <w:t>、不涉及；</w:t>
                  </w:r>
                </w:p>
                <w:p w14:paraId="4A2072E7">
                  <w:pPr>
                    <w:rPr>
                      <w:szCs w:val="21"/>
                      <w:highlight w:val="none"/>
                    </w:rPr>
                  </w:pPr>
                  <w:r>
                    <w:rPr>
                      <w:szCs w:val="21"/>
                      <w:highlight w:val="none"/>
                    </w:rPr>
                    <w:t>3</w:t>
                  </w:r>
                  <w:r>
                    <w:rPr>
                      <w:rFonts w:hint="eastAsia"/>
                      <w:szCs w:val="21"/>
                      <w:highlight w:val="none"/>
                    </w:rPr>
                    <w:t>、</w:t>
                  </w:r>
                  <w:r>
                    <w:rPr>
                      <w:rFonts w:hint="eastAsia"/>
                      <w:szCs w:val="21"/>
                      <w:highlight w:val="none"/>
                      <w:lang w:val="en-US" w:eastAsia="zh-CN"/>
                    </w:rPr>
                    <w:t>本项目不属于</w:t>
                  </w:r>
                  <w:r>
                    <w:rPr>
                      <w:rFonts w:hint="eastAsia"/>
                      <w:szCs w:val="21"/>
                      <w:highlight w:val="none"/>
                    </w:rPr>
                    <w:t>高耗能、高排放、低水平项目；</w:t>
                  </w:r>
                </w:p>
                <w:p w14:paraId="59E4E7AD">
                  <w:pPr>
                    <w:rPr>
                      <w:szCs w:val="21"/>
                      <w:highlight w:val="none"/>
                    </w:rPr>
                  </w:pPr>
                  <w:r>
                    <w:rPr>
                      <w:szCs w:val="21"/>
                      <w:highlight w:val="none"/>
                    </w:rPr>
                    <w:t>4</w:t>
                  </w:r>
                  <w:r>
                    <w:rPr>
                      <w:rFonts w:hint="eastAsia"/>
                      <w:szCs w:val="21"/>
                      <w:highlight w:val="none"/>
                    </w:rPr>
                    <w:t>、</w:t>
                  </w:r>
                  <w:r>
                    <w:rPr>
                      <w:rFonts w:hint="eastAsia"/>
                      <w:szCs w:val="21"/>
                      <w:highlight w:val="none"/>
                      <w:lang w:val="en-US" w:eastAsia="zh-CN"/>
                    </w:rPr>
                    <w:t>本企业在逐渐推进园区</w:t>
                  </w:r>
                  <w:r>
                    <w:rPr>
                      <w:rFonts w:hint="eastAsia"/>
                      <w:szCs w:val="21"/>
                      <w:highlight w:val="none"/>
                    </w:rPr>
                    <w:t>公共基础设施共建共享。</w:t>
                  </w:r>
                </w:p>
              </w:tc>
            </w:tr>
            <w:tr w14:paraId="1F4F7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5" w:type="dxa"/>
                  <w:vMerge w:val="continue"/>
                  <w:tcBorders>
                    <w:top w:val="single" w:color="auto" w:sz="4" w:space="0"/>
                    <w:left w:val="single" w:color="auto" w:sz="4" w:space="0"/>
                    <w:bottom w:val="single" w:color="auto" w:sz="4" w:space="0"/>
                    <w:right w:val="single" w:color="auto" w:sz="4" w:space="0"/>
                  </w:tcBorders>
                  <w:vAlign w:val="center"/>
                </w:tcPr>
                <w:p w14:paraId="2A212DDB">
                  <w:pPr>
                    <w:jc w:val="center"/>
                    <w:rPr>
                      <w:rFonts w:eastAsiaTheme="minorEastAsia"/>
                      <w:szCs w:val="21"/>
                      <w:highlight w:val="none"/>
                    </w:rPr>
                  </w:pPr>
                </w:p>
              </w:tc>
              <w:tc>
                <w:tcPr>
                  <w:tcW w:w="663" w:type="dxa"/>
                  <w:vMerge w:val="continue"/>
                  <w:tcBorders>
                    <w:top w:val="single" w:color="auto" w:sz="4" w:space="0"/>
                    <w:left w:val="single" w:color="auto" w:sz="4" w:space="0"/>
                    <w:bottom w:val="single" w:color="auto" w:sz="4" w:space="0"/>
                    <w:right w:val="single" w:color="auto" w:sz="4" w:space="0"/>
                  </w:tcBorders>
                  <w:vAlign w:val="center"/>
                </w:tcPr>
                <w:p w14:paraId="55E8F0D7">
                  <w:pPr>
                    <w:jc w:val="center"/>
                    <w:rPr>
                      <w:rFonts w:eastAsiaTheme="minorEastAsia"/>
                      <w:szCs w:val="21"/>
                      <w:highlight w:val="none"/>
                    </w:rPr>
                  </w:pPr>
                </w:p>
              </w:tc>
              <w:tc>
                <w:tcPr>
                  <w:tcW w:w="706" w:type="dxa"/>
                  <w:vMerge w:val="continue"/>
                  <w:tcBorders>
                    <w:top w:val="single" w:color="auto" w:sz="4" w:space="0"/>
                    <w:left w:val="single" w:color="auto" w:sz="4" w:space="0"/>
                    <w:bottom w:val="single" w:color="auto" w:sz="4" w:space="0"/>
                    <w:right w:val="single" w:color="auto" w:sz="4" w:space="0"/>
                  </w:tcBorders>
                  <w:vAlign w:val="center"/>
                </w:tcPr>
                <w:p w14:paraId="646C507B">
                  <w:pPr>
                    <w:jc w:val="center"/>
                    <w:rPr>
                      <w:rFonts w:eastAsiaTheme="minorEastAsia"/>
                      <w:szCs w:val="21"/>
                      <w:highlight w:val="none"/>
                    </w:rPr>
                  </w:pPr>
                </w:p>
              </w:tc>
              <w:tc>
                <w:tcPr>
                  <w:tcW w:w="677" w:type="dxa"/>
                  <w:tcBorders>
                    <w:top w:val="single" w:color="auto" w:sz="4" w:space="0"/>
                    <w:left w:val="single" w:color="auto" w:sz="4" w:space="0"/>
                    <w:bottom w:val="single" w:color="auto" w:sz="4" w:space="0"/>
                    <w:right w:val="single" w:color="auto" w:sz="4" w:space="0"/>
                  </w:tcBorders>
                  <w:vAlign w:val="center"/>
                </w:tcPr>
                <w:p w14:paraId="2A585980">
                  <w:pPr>
                    <w:jc w:val="center"/>
                    <w:rPr>
                      <w:szCs w:val="21"/>
                      <w:highlight w:val="none"/>
                    </w:rPr>
                  </w:pPr>
                  <w:r>
                    <w:rPr>
                      <w:rFonts w:hint="eastAsia"/>
                      <w:szCs w:val="21"/>
                      <w:highlight w:val="none"/>
                    </w:rPr>
                    <w:t>环境风险防控</w:t>
                  </w:r>
                </w:p>
              </w:tc>
              <w:tc>
                <w:tcPr>
                  <w:tcW w:w="3734" w:type="dxa"/>
                  <w:tcBorders>
                    <w:top w:val="single" w:color="auto" w:sz="4" w:space="0"/>
                    <w:left w:val="single" w:color="auto" w:sz="4" w:space="0"/>
                    <w:bottom w:val="single" w:color="auto" w:sz="4" w:space="0"/>
                    <w:right w:val="single" w:color="auto" w:sz="4" w:space="0"/>
                  </w:tcBorders>
                  <w:vAlign w:val="center"/>
                </w:tcPr>
                <w:p w14:paraId="04122E7B">
                  <w:pPr>
                    <w:rPr>
                      <w:rFonts w:hint="eastAsia"/>
                      <w:szCs w:val="21"/>
                      <w:highlight w:val="none"/>
                    </w:rPr>
                  </w:pPr>
                  <w:r>
                    <w:rPr>
                      <w:rFonts w:hint="eastAsia"/>
                      <w:szCs w:val="21"/>
                      <w:highlight w:val="none"/>
                    </w:rPr>
                    <w:t>1、严格落实规划环评及其批复文件制定的环境风险防范措施，并随规划环评及其批复文件的更新及时调整。</w:t>
                  </w:r>
                </w:p>
                <w:p w14:paraId="31105FE4">
                  <w:pPr>
                    <w:rPr>
                      <w:rFonts w:hint="eastAsia"/>
                      <w:szCs w:val="21"/>
                      <w:highlight w:val="none"/>
                    </w:rPr>
                  </w:pPr>
                  <w:r>
                    <w:rPr>
                      <w:rFonts w:hint="eastAsia"/>
                      <w:szCs w:val="21"/>
                      <w:highlight w:val="none"/>
                    </w:rPr>
                    <w:t>2、开发区及入区企业需组织编制《突发环境事件应急预案》，成立应急组织机构，定期开展应急演练，建立有效的</w:t>
                  </w:r>
                </w:p>
                <w:p w14:paraId="3376F516">
                  <w:pPr>
                    <w:rPr>
                      <w:rFonts w:hint="eastAsia"/>
                      <w:szCs w:val="21"/>
                      <w:highlight w:val="none"/>
                    </w:rPr>
                  </w:pPr>
                  <w:r>
                    <w:rPr>
                      <w:rFonts w:hint="eastAsia"/>
                      <w:szCs w:val="21"/>
                      <w:highlight w:val="none"/>
                    </w:rPr>
                    <w:t>事故风险防范体系，提高区域环境风险防范能力。</w:t>
                  </w:r>
                </w:p>
                <w:p w14:paraId="30E8D023">
                  <w:pPr>
                    <w:rPr>
                      <w:rFonts w:hint="eastAsia"/>
                      <w:szCs w:val="21"/>
                      <w:highlight w:val="none"/>
                    </w:rPr>
                  </w:pPr>
                  <w:r>
                    <w:rPr>
                      <w:rFonts w:hint="eastAsia"/>
                      <w:szCs w:val="21"/>
                      <w:highlight w:val="none"/>
                    </w:rPr>
                    <w:t>3、建立重大污染源监测预警体系，重点污染源在线监测。</w:t>
                  </w:r>
                </w:p>
                <w:p w14:paraId="3BCEA975">
                  <w:pPr>
                    <w:rPr>
                      <w:rFonts w:hint="eastAsia"/>
                      <w:szCs w:val="21"/>
                      <w:highlight w:val="none"/>
                    </w:rPr>
                  </w:pPr>
                  <w:r>
                    <w:rPr>
                      <w:rFonts w:hint="eastAsia"/>
                      <w:szCs w:val="21"/>
                      <w:highlight w:val="none"/>
                    </w:rPr>
                    <w:t>4、强化VOCs大气特征污染物监管，重点企业安装VOCs在线监控装置；</w:t>
                  </w:r>
                </w:p>
                <w:p w14:paraId="1861B8DB">
                  <w:pPr>
                    <w:rPr>
                      <w:szCs w:val="21"/>
                      <w:highlight w:val="none"/>
                    </w:rPr>
                  </w:pPr>
                  <w:r>
                    <w:rPr>
                      <w:rFonts w:hint="eastAsia"/>
                      <w:szCs w:val="21"/>
                      <w:highlight w:val="none"/>
                    </w:rPr>
                    <w:t>5、重点监管企业和工业园区周边土壤环境，定期开展监督性监测，重点监测重金属和持久性有机污染物。。</w:t>
                  </w:r>
                </w:p>
              </w:tc>
              <w:tc>
                <w:tcPr>
                  <w:tcW w:w="1642" w:type="dxa"/>
                  <w:tcBorders>
                    <w:top w:val="single" w:color="auto" w:sz="4" w:space="0"/>
                    <w:left w:val="single" w:color="auto" w:sz="4" w:space="0"/>
                    <w:bottom w:val="single" w:color="auto" w:sz="4" w:space="0"/>
                    <w:right w:val="single" w:color="auto" w:sz="4" w:space="0"/>
                  </w:tcBorders>
                  <w:vAlign w:val="center"/>
                </w:tcPr>
                <w:p w14:paraId="77FD6DE4">
                  <w:pPr>
                    <w:rPr>
                      <w:szCs w:val="21"/>
                      <w:highlight w:val="none"/>
                    </w:rPr>
                  </w:pPr>
                  <w:r>
                    <w:rPr>
                      <w:szCs w:val="21"/>
                      <w:highlight w:val="none"/>
                    </w:rPr>
                    <w:t>1</w:t>
                  </w:r>
                  <w:r>
                    <w:rPr>
                      <w:rFonts w:hint="eastAsia"/>
                      <w:szCs w:val="21"/>
                      <w:highlight w:val="none"/>
                    </w:rPr>
                    <w:t>、项目落实规划环评及其批复文件制定的环境风险防范措施；</w:t>
                  </w:r>
                </w:p>
                <w:p w14:paraId="506DB6D8">
                  <w:pPr>
                    <w:rPr>
                      <w:szCs w:val="21"/>
                      <w:highlight w:val="none"/>
                    </w:rPr>
                  </w:pPr>
                  <w:r>
                    <w:rPr>
                      <w:szCs w:val="21"/>
                      <w:highlight w:val="none"/>
                    </w:rPr>
                    <w:t>2</w:t>
                  </w:r>
                  <w:r>
                    <w:rPr>
                      <w:rFonts w:hint="eastAsia"/>
                      <w:szCs w:val="21"/>
                      <w:highlight w:val="none"/>
                    </w:rPr>
                    <w:t>、企业</w:t>
                  </w:r>
                  <w:r>
                    <w:rPr>
                      <w:rFonts w:hint="eastAsia"/>
                      <w:szCs w:val="21"/>
                      <w:highlight w:val="none"/>
                      <w:lang w:val="en-US" w:eastAsia="zh-CN"/>
                    </w:rPr>
                    <w:t>已编制</w:t>
                  </w:r>
                  <w:r>
                    <w:rPr>
                      <w:rFonts w:hint="eastAsia"/>
                      <w:szCs w:val="21"/>
                      <w:highlight w:val="none"/>
                    </w:rPr>
                    <w:t>《突发环境事件应急预案》</w:t>
                  </w:r>
                  <w:r>
                    <w:rPr>
                      <w:rFonts w:hint="eastAsia"/>
                      <w:szCs w:val="21"/>
                      <w:highlight w:val="none"/>
                      <w:lang w:val="en-US" w:eastAsia="zh-CN"/>
                    </w:rPr>
                    <w:t>并取得备案</w:t>
                  </w:r>
                  <w:r>
                    <w:rPr>
                      <w:rFonts w:hint="eastAsia"/>
                      <w:szCs w:val="21"/>
                      <w:highlight w:val="none"/>
                    </w:rPr>
                    <w:t>；</w:t>
                  </w:r>
                </w:p>
                <w:p w14:paraId="1C0C4F6B">
                  <w:pPr>
                    <w:rPr>
                      <w:rFonts w:hint="default" w:eastAsia="宋体"/>
                      <w:szCs w:val="21"/>
                      <w:highlight w:val="none"/>
                      <w:lang w:val="en-US" w:eastAsia="zh-CN"/>
                    </w:rPr>
                  </w:pPr>
                  <w:r>
                    <w:rPr>
                      <w:szCs w:val="21"/>
                      <w:highlight w:val="none"/>
                    </w:rPr>
                    <w:t>3</w:t>
                  </w:r>
                  <w:r>
                    <w:rPr>
                      <w:rFonts w:hint="eastAsia"/>
                      <w:szCs w:val="21"/>
                      <w:highlight w:val="none"/>
                    </w:rPr>
                    <w:t>、</w:t>
                  </w:r>
                  <w:r>
                    <w:rPr>
                      <w:rFonts w:hint="eastAsia"/>
                      <w:szCs w:val="21"/>
                      <w:highlight w:val="none"/>
                      <w:lang w:val="en-US" w:eastAsia="zh-CN"/>
                    </w:rPr>
                    <w:t>本项目不属于重大污染源，运营期按相关标准进行定期检测；</w:t>
                  </w:r>
                </w:p>
                <w:p w14:paraId="654F82EC">
                  <w:pPr>
                    <w:numPr>
                      <w:ilvl w:val="0"/>
                      <w:numId w:val="5"/>
                    </w:numPr>
                    <w:rPr>
                      <w:rFonts w:hint="eastAsia"/>
                      <w:szCs w:val="21"/>
                      <w:highlight w:val="none"/>
                      <w:lang w:val="en-US" w:eastAsia="zh-CN"/>
                    </w:rPr>
                  </w:pPr>
                  <w:r>
                    <w:rPr>
                      <w:rFonts w:hint="eastAsia"/>
                      <w:szCs w:val="21"/>
                      <w:highlight w:val="none"/>
                      <w:lang w:val="en-US" w:eastAsia="zh-CN"/>
                    </w:rPr>
                    <w:t>不涉及；</w:t>
                  </w:r>
                </w:p>
                <w:p w14:paraId="3A51A0B2">
                  <w:pPr>
                    <w:numPr>
                      <w:ilvl w:val="0"/>
                      <w:numId w:val="5"/>
                    </w:numPr>
                    <w:rPr>
                      <w:rFonts w:hint="default"/>
                      <w:szCs w:val="21"/>
                      <w:highlight w:val="none"/>
                      <w:lang w:val="en-US" w:eastAsia="zh-CN"/>
                    </w:rPr>
                  </w:pPr>
                  <w:r>
                    <w:rPr>
                      <w:rFonts w:hint="eastAsia"/>
                      <w:szCs w:val="21"/>
                      <w:highlight w:val="none"/>
                      <w:lang w:val="en-US" w:eastAsia="zh-CN"/>
                    </w:rPr>
                    <w:t>本项目不涉及土壤污染源途径</w:t>
                  </w:r>
                </w:p>
              </w:tc>
            </w:tr>
            <w:tr w14:paraId="6B628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5" w:type="dxa"/>
                  <w:vMerge w:val="continue"/>
                  <w:tcBorders>
                    <w:top w:val="single" w:color="auto" w:sz="4" w:space="0"/>
                    <w:left w:val="single" w:color="auto" w:sz="4" w:space="0"/>
                    <w:bottom w:val="single" w:color="auto" w:sz="4" w:space="0"/>
                    <w:right w:val="single" w:color="auto" w:sz="4" w:space="0"/>
                  </w:tcBorders>
                  <w:vAlign w:val="center"/>
                </w:tcPr>
                <w:p w14:paraId="45DF95F6">
                  <w:pPr>
                    <w:jc w:val="center"/>
                    <w:rPr>
                      <w:rFonts w:eastAsiaTheme="minorEastAsia"/>
                      <w:szCs w:val="21"/>
                      <w:highlight w:val="none"/>
                    </w:rPr>
                  </w:pPr>
                </w:p>
              </w:tc>
              <w:tc>
                <w:tcPr>
                  <w:tcW w:w="663" w:type="dxa"/>
                  <w:vMerge w:val="continue"/>
                  <w:tcBorders>
                    <w:top w:val="single" w:color="auto" w:sz="4" w:space="0"/>
                    <w:left w:val="single" w:color="auto" w:sz="4" w:space="0"/>
                    <w:bottom w:val="single" w:color="auto" w:sz="4" w:space="0"/>
                    <w:right w:val="single" w:color="auto" w:sz="4" w:space="0"/>
                  </w:tcBorders>
                  <w:vAlign w:val="center"/>
                </w:tcPr>
                <w:p w14:paraId="2D88D07D">
                  <w:pPr>
                    <w:jc w:val="center"/>
                    <w:rPr>
                      <w:rFonts w:eastAsiaTheme="minorEastAsia"/>
                      <w:szCs w:val="21"/>
                      <w:highlight w:val="none"/>
                    </w:rPr>
                  </w:pPr>
                </w:p>
              </w:tc>
              <w:tc>
                <w:tcPr>
                  <w:tcW w:w="706" w:type="dxa"/>
                  <w:vMerge w:val="continue"/>
                  <w:tcBorders>
                    <w:top w:val="single" w:color="auto" w:sz="4" w:space="0"/>
                    <w:left w:val="single" w:color="auto" w:sz="4" w:space="0"/>
                    <w:bottom w:val="single" w:color="auto" w:sz="4" w:space="0"/>
                    <w:right w:val="single" w:color="auto" w:sz="4" w:space="0"/>
                  </w:tcBorders>
                  <w:vAlign w:val="center"/>
                </w:tcPr>
                <w:p w14:paraId="74B3283E">
                  <w:pPr>
                    <w:jc w:val="center"/>
                    <w:rPr>
                      <w:rFonts w:eastAsiaTheme="minorEastAsia"/>
                      <w:szCs w:val="21"/>
                      <w:highlight w:val="none"/>
                    </w:rPr>
                  </w:pPr>
                </w:p>
              </w:tc>
              <w:tc>
                <w:tcPr>
                  <w:tcW w:w="677" w:type="dxa"/>
                  <w:tcBorders>
                    <w:top w:val="single" w:color="auto" w:sz="4" w:space="0"/>
                    <w:left w:val="single" w:color="auto" w:sz="4" w:space="0"/>
                    <w:bottom w:val="single" w:color="auto" w:sz="4" w:space="0"/>
                    <w:right w:val="single" w:color="auto" w:sz="4" w:space="0"/>
                  </w:tcBorders>
                  <w:vAlign w:val="center"/>
                </w:tcPr>
                <w:p w14:paraId="181BD4C0">
                  <w:pPr>
                    <w:jc w:val="center"/>
                    <w:rPr>
                      <w:szCs w:val="21"/>
                      <w:highlight w:val="none"/>
                    </w:rPr>
                  </w:pPr>
                  <w:r>
                    <w:rPr>
                      <w:rFonts w:hint="eastAsia"/>
                      <w:szCs w:val="21"/>
                      <w:highlight w:val="none"/>
                    </w:rPr>
                    <w:t>资源利用效率</w:t>
                  </w:r>
                </w:p>
              </w:tc>
              <w:tc>
                <w:tcPr>
                  <w:tcW w:w="3734" w:type="dxa"/>
                  <w:tcBorders>
                    <w:top w:val="single" w:color="auto" w:sz="4" w:space="0"/>
                    <w:left w:val="single" w:color="auto" w:sz="4" w:space="0"/>
                    <w:bottom w:val="single" w:color="auto" w:sz="4" w:space="0"/>
                    <w:right w:val="single" w:color="auto" w:sz="4" w:space="0"/>
                  </w:tcBorders>
                  <w:vAlign w:val="center"/>
                </w:tcPr>
                <w:p w14:paraId="5EA945A8">
                  <w:pPr>
                    <w:rPr>
                      <w:szCs w:val="21"/>
                      <w:highlight w:val="none"/>
                    </w:rPr>
                  </w:pPr>
                  <w:r>
                    <w:rPr>
                      <w:szCs w:val="21"/>
                      <w:highlight w:val="none"/>
                    </w:rPr>
                    <w:t>1</w:t>
                  </w:r>
                  <w:r>
                    <w:rPr>
                      <w:rFonts w:hint="eastAsia"/>
                      <w:szCs w:val="21"/>
                      <w:highlight w:val="none"/>
                    </w:rPr>
                    <w:t>、按照宜乔则乔、宜灌则灌、宜草则草，乔灌草结合的原则，因地制宜开展沙地治理。</w:t>
                  </w:r>
                </w:p>
              </w:tc>
              <w:tc>
                <w:tcPr>
                  <w:tcW w:w="1642" w:type="dxa"/>
                  <w:tcBorders>
                    <w:top w:val="single" w:color="auto" w:sz="4" w:space="0"/>
                    <w:left w:val="single" w:color="auto" w:sz="4" w:space="0"/>
                    <w:bottom w:val="single" w:color="auto" w:sz="4" w:space="0"/>
                    <w:right w:val="single" w:color="auto" w:sz="4" w:space="0"/>
                  </w:tcBorders>
                  <w:vAlign w:val="center"/>
                </w:tcPr>
                <w:p w14:paraId="12B9579B">
                  <w:pPr>
                    <w:rPr>
                      <w:rFonts w:hint="default" w:eastAsia="宋体"/>
                      <w:szCs w:val="21"/>
                      <w:highlight w:val="none"/>
                      <w:lang w:val="en-US" w:eastAsia="zh-CN"/>
                    </w:rPr>
                  </w:pPr>
                  <w:r>
                    <w:rPr>
                      <w:szCs w:val="21"/>
                      <w:highlight w:val="none"/>
                    </w:rPr>
                    <w:t>1</w:t>
                  </w:r>
                  <w:r>
                    <w:rPr>
                      <w:rFonts w:hint="eastAsia"/>
                      <w:szCs w:val="21"/>
                      <w:highlight w:val="none"/>
                    </w:rPr>
                    <w:t>、</w:t>
                  </w:r>
                  <w:r>
                    <w:rPr>
                      <w:rFonts w:hint="eastAsia"/>
                      <w:szCs w:val="21"/>
                      <w:highlight w:val="none"/>
                      <w:lang w:val="en-US" w:eastAsia="zh-CN"/>
                    </w:rPr>
                    <w:t>本项目采取地面措施，厂区内裸露地面采取绿化措施。</w:t>
                  </w:r>
                </w:p>
              </w:tc>
            </w:tr>
          </w:tbl>
          <w:p w14:paraId="227EE25F">
            <w:pPr>
              <w:spacing w:before="120" w:beforeLines="50" w:line="360" w:lineRule="auto"/>
              <w:ind w:firstLine="482"/>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项目所在区域环境管控单元图见下图：</w:t>
            </w:r>
          </w:p>
          <w:p w14:paraId="5554CB03">
            <w:pPr>
              <w:spacing w:line="360" w:lineRule="auto"/>
              <w:jc w:val="center"/>
              <w:rPr>
                <w:rFonts w:hint="eastAsia" w:eastAsia="宋体"/>
                <w:color w:val="000000" w:themeColor="text1"/>
                <w:sz w:val="24"/>
                <w:highlight w:val="none"/>
                <w:lang w:eastAsia="zh-CN"/>
                <w14:textFill>
                  <w14:solidFill>
                    <w14:schemeClr w14:val="tx1"/>
                  </w14:solidFill>
                </w14:textFill>
              </w:rPr>
            </w:pPr>
            <w:r>
              <w:rPr>
                <w:rFonts w:hint="eastAsia" w:eastAsia="宋体"/>
                <w:color w:val="000000" w:themeColor="text1"/>
                <w:sz w:val="24"/>
                <w:highlight w:val="none"/>
                <w:lang w:eastAsia="zh-CN"/>
                <w14:textFill>
                  <w14:solidFill>
                    <w14:schemeClr w14:val="tx1"/>
                  </w14:solidFill>
                </w14:textFill>
              </w:rPr>
              <w:drawing>
                <wp:inline distT="0" distB="0" distL="114300" distR="114300">
                  <wp:extent cx="5132070" cy="3628390"/>
                  <wp:effectExtent l="0" t="0" r="11430" b="10160"/>
                  <wp:docPr id="55" name="图片 55" descr="三线一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三线一单"/>
                          <pic:cNvPicPr>
                            <a:picLocks noChangeAspect="1"/>
                          </pic:cNvPicPr>
                        </pic:nvPicPr>
                        <pic:blipFill>
                          <a:blip r:embed="rId11"/>
                          <a:stretch>
                            <a:fillRect/>
                          </a:stretch>
                        </pic:blipFill>
                        <pic:spPr>
                          <a:xfrm>
                            <a:off x="0" y="0"/>
                            <a:ext cx="5132070" cy="3628390"/>
                          </a:xfrm>
                          <a:prstGeom prst="rect">
                            <a:avLst/>
                          </a:prstGeom>
                        </pic:spPr>
                      </pic:pic>
                    </a:graphicData>
                  </a:graphic>
                </wp:inline>
              </w:drawing>
            </w:r>
          </w:p>
          <w:p w14:paraId="22883FAE">
            <w:pPr>
              <w:pStyle w:val="50"/>
              <w:widowControl w:val="0"/>
              <w:numPr>
                <w:ilvl w:val="0"/>
                <w:numId w:val="3"/>
              </w:numPr>
              <w:spacing w:line="360" w:lineRule="auto"/>
              <w:ind w:left="0" w:firstLine="0" w:firstLineChars="0"/>
              <w:jc w:val="center"/>
              <w:rPr>
                <w:rFonts w:ascii="宋体" w:hAnsi="宋体" w:eastAsia="宋体"/>
                <w:b/>
                <w:color w:val="000000" w:themeColor="text1"/>
                <w:sz w:val="21"/>
                <w:highlight w:val="none"/>
                <w14:textFill>
                  <w14:solidFill>
                    <w14:schemeClr w14:val="tx1"/>
                  </w14:solidFill>
                </w14:textFill>
              </w:rPr>
            </w:pPr>
            <w:r>
              <w:rPr>
                <w:rFonts w:hint="eastAsia" w:ascii="宋体" w:hAnsi="宋体" w:eastAsia="宋体"/>
                <w:b/>
                <w:color w:val="000000" w:themeColor="text1"/>
                <w:sz w:val="21"/>
                <w:highlight w:val="none"/>
                <w14:textFill>
                  <w14:solidFill>
                    <w14:schemeClr w14:val="tx1"/>
                  </w14:solidFill>
                </w14:textFill>
              </w:rPr>
              <w:t>项目所在区域环境管控单元图</w:t>
            </w:r>
          </w:p>
          <w:p w14:paraId="6EBF471C">
            <w:pPr>
              <w:spacing w:line="360" w:lineRule="auto"/>
              <w:ind w:firstLine="482"/>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综上，项目符合承德市生态环境分区管控准入清单（2023年版）的要求。</w:t>
            </w:r>
          </w:p>
          <w:p w14:paraId="7EB766BA">
            <w:pPr>
              <w:autoSpaceDE w:val="0"/>
              <w:autoSpaceDN w:val="0"/>
              <w:adjustRightInd w:val="0"/>
              <w:snapToGrid w:val="0"/>
              <w:spacing w:line="360" w:lineRule="auto"/>
              <w:ind w:firstLine="482" w:firstLineChars="200"/>
              <w:rPr>
                <w:b/>
                <w:bCs/>
                <w:kern w:val="0"/>
                <w:sz w:val="24"/>
                <w:highlight w:val="none"/>
              </w:rPr>
            </w:pPr>
            <w:r>
              <w:rPr>
                <w:rFonts w:hint="eastAsia"/>
                <w:b/>
                <w:sz w:val="24"/>
                <w:highlight w:val="none"/>
                <w:lang w:val="en-US" w:eastAsia="zh-CN"/>
              </w:rPr>
              <w:t>5</w:t>
            </w:r>
            <w:r>
              <w:rPr>
                <w:rFonts w:hint="eastAsia"/>
                <w:b/>
                <w:sz w:val="24"/>
                <w:highlight w:val="none"/>
              </w:rPr>
              <w:t>、生态环境保护规划符合性分析</w:t>
            </w:r>
          </w:p>
          <w:p w14:paraId="2C4C3F32">
            <w:pPr>
              <w:spacing w:line="360" w:lineRule="auto"/>
              <w:ind w:firstLine="482" w:firstLineChars="200"/>
              <w:rPr>
                <w:b/>
                <w:sz w:val="24"/>
                <w:highlight w:val="none"/>
              </w:rPr>
            </w:pPr>
            <w:r>
              <w:rPr>
                <w:rFonts w:hint="eastAsia"/>
                <w:b/>
                <w:sz w:val="24"/>
                <w:highlight w:val="none"/>
              </w:rPr>
              <w:t>（1）与《承德市城市总体规划（2016-2030年）》符合性分析</w:t>
            </w:r>
          </w:p>
          <w:p w14:paraId="4F251E70">
            <w:pPr>
              <w:autoSpaceDE w:val="0"/>
              <w:autoSpaceDN w:val="0"/>
              <w:adjustRightInd w:val="0"/>
              <w:snapToGrid w:val="0"/>
              <w:spacing w:line="360" w:lineRule="auto"/>
              <w:ind w:firstLine="480" w:firstLineChars="200"/>
              <w:rPr>
                <w:sz w:val="24"/>
                <w:highlight w:val="none"/>
              </w:rPr>
            </w:pPr>
            <w:r>
              <w:rPr>
                <w:rFonts w:hint="eastAsia"/>
                <w:sz w:val="24"/>
                <w:highlight w:val="none"/>
              </w:rPr>
              <w:t>《承德市城市总体规划》（</w:t>
            </w:r>
            <w:r>
              <w:rPr>
                <w:sz w:val="24"/>
                <w:highlight w:val="none"/>
              </w:rPr>
              <w:t>2016-2030</w:t>
            </w:r>
            <w:r>
              <w:rPr>
                <w:rFonts w:hint="eastAsia"/>
                <w:sz w:val="24"/>
                <w:highlight w:val="none"/>
              </w:rPr>
              <w:t>年）将承德市划分出一级区两个，即坝上高原生态区、冀北及燕山山地生态区；生态亚区六个，即坝上高原西部草原生态亚区、坝上高原东部森林草原生态亚区、冀北山地森林生态亚区、七老图山森林灌草生态亚区、燕山山地南部林果生态亚区、城市规划发展生态亚区。</w:t>
            </w:r>
          </w:p>
          <w:p w14:paraId="6ED7D867">
            <w:pPr>
              <w:autoSpaceDE w:val="0"/>
              <w:autoSpaceDN w:val="0"/>
              <w:adjustRightInd w:val="0"/>
              <w:snapToGrid w:val="0"/>
              <w:spacing w:line="360" w:lineRule="auto"/>
              <w:ind w:firstLine="480" w:firstLineChars="200"/>
              <w:rPr>
                <w:sz w:val="24"/>
                <w:highlight w:val="none"/>
              </w:rPr>
            </w:pPr>
            <w:r>
              <w:rPr>
                <w:rFonts w:hint="eastAsia"/>
                <w:sz w:val="24"/>
                <w:highlight w:val="none"/>
              </w:rPr>
              <w:t>项目所在区域为</w:t>
            </w:r>
            <w:r>
              <w:rPr>
                <w:rFonts w:hint="eastAsia"/>
                <w:sz w:val="24"/>
                <w:highlight w:val="none"/>
                <w:lang w:val="en-US" w:eastAsia="zh-CN"/>
              </w:rPr>
              <w:t>围场满族蒙古族自治县半截塔镇什八克村</w:t>
            </w:r>
            <w:r>
              <w:rPr>
                <w:rFonts w:hint="eastAsia"/>
                <w:sz w:val="24"/>
                <w:highlight w:val="none"/>
              </w:rPr>
              <w:t>，根据承德市总体规划，属于</w:t>
            </w:r>
            <w:r>
              <w:rPr>
                <w:rFonts w:hint="eastAsia"/>
                <w:sz w:val="24"/>
                <w:highlight w:val="none"/>
                <w:lang w:eastAsia="zh-CN"/>
              </w:rPr>
              <w:t>“</w:t>
            </w:r>
            <w:r>
              <w:rPr>
                <w:rFonts w:hint="eastAsia"/>
                <w:sz w:val="24"/>
                <w:highlight w:val="none"/>
              </w:rPr>
              <w:t>冀北及燕山山地生态区（</w:t>
            </w:r>
            <w:r>
              <w:rPr>
                <w:sz w:val="24"/>
                <w:highlight w:val="none"/>
              </w:rPr>
              <w:t>Ⅱ</w:t>
            </w:r>
            <w:r>
              <w:rPr>
                <w:rFonts w:hint="eastAsia"/>
                <w:sz w:val="24"/>
                <w:highlight w:val="none"/>
              </w:rPr>
              <w:t>）</w:t>
            </w:r>
            <w:r>
              <w:rPr>
                <w:sz w:val="24"/>
                <w:highlight w:val="none"/>
              </w:rPr>
              <w:t>——</w:t>
            </w:r>
            <w:r>
              <w:rPr>
                <w:rFonts w:hint="eastAsia"/>
                <w:sz w:val="24"/>
                <w:highlight w:val="none"/>
                <w:lang w:val="en-US" w:eastAsia="zh-CN"/>
              </w:rPr>
              <w:t>冀北山地森林生态亚区</w:t>
            </w:r>
            <w:r>
              <w:rPr>
                <w:rFonts w:hint="eastAsia"/>
                <w:sz w:val="24"/>
                <w:highlight w:val="none"/>
              </w:rPr>
              <w:t>（</w:t>
            </w:r>
            <w:r>
              <w:rPr>
                <w:sz w:val="24"/>
                <w:highlight w:val="none"/>
              </w:rPr>
              <w:t>Ⅱ-</w:t>
            </w:r>
            <w:r>
              <w:rPr>
                <w:rFonts w:hint="eastAsia"/>
                <w:sz w:val="24"/>
                <w:highlight w:val="none"/>
                <w:lang w:val="en-US" w:eastAsia="zh-CN"/>
              </w:rPr>
              <w:t>1</w:t>
            </w:r>
            <w:r>
              <w:rPr>
                <w:rFonts w:hint="eastAsia"/>
                <w:sz w:val="24"/>
                <w:highlight w:val="none"/>
              </w:rPr>
              <w:t>）</w:t>
            </w:r>
            <w:r>
              <w:rPr>
                <w:sz w:val="24"/>
                <w:highlight w:val="none"/>
              </w:rPr>
              <w:t>——</w:t>
            </w:r>
            <w:r>
              <w:rPr>
                <w:rFonts w:hint="eastAsia"/>
                <w:sz w:val="24"/>
                <w:highlight w:val="none"/>
                <w:lang w:val="en-US" w:eastAsia="zh-CN"/>
              </w:rPr>
              <w:t>滦河上游生物多样性保护功能区</w:t>
            </w:r>
            <w:r>
              <w:rPr>
                <w:rFonts w:hint="eastAsia"/>
                <w:sz w:val="24"/>
                <w:highlight w:val="none"/>
              </w:rPr>
              <w:t>（</w:t>
            </w:r>
            <w:r>
              <w:rPr>
                <w:sz w:val="24"/>
                <w:highlight w:val="none"/>
              </w:rPr>
              <w:t>Ⅱ-</w:t>
            </w:r>
            <w:r>
              <w:rPr>
                <w:rFonts w:hint="eastAsia"/>
                <w:sz w:val="24"/>
                <w:highlight w:val="none"/>
                <w:lang w:val="en-US" w:eastAsia="zh-CN"/>
              </w:rPr>
              <w:t>1</w:t>
            </w:r>
            <w:r>
              <w:rPr>
                <w:sz w:val="24"/>
                <w:highlight w:val="none"/>
              </w:rPr>
              <w:t>-3</w:t>
            </w:r>
            <w:r>
              <w:rPr>
                <w:rFonts w:hint="eastAsia"/>
                <w:sz w:val="24"/>
                <w:highlight w:val="none"/>
              </w:rPr>
              <w:t>）</w:t>
            </w:r>
            <w:r>
              <w:rPr>
                <w:rFonts w:hint="eastAsia"/>
                <w:sz w:val="24"/>
                <w:highlight w:val="none"/>
                <w:lang w:eastAsia="zh-CN"/>
              </w:rPr>
              <w:t>”</w:t>
            </w:r>
            <w:r>
              <w:rPr>
                <w:rFonts w:hint="eastAsia"/>
                <w:sz w:val="24"/>
                <w:highlight w:val="none"/>
              </w:rPr>
              <w:t>。</w:t>
            </w:r>
          </w:p>
          <w:p w14:paraId="6995D111">
            <w:pPr>
              <w:autoSpaceDE w:val="0"/>
              <w:autoSpaceDN w:val="0"/>
              <w:adjustRightInd w:val="0"/>
              <w:snapToGrid w:val="0"/>
              <w:spacing w:line="360" w:lineRule="auto"/>
              <w:ind w:firstLine="480" w:firstLineChars="200"/>
              <w:rPr>
                <w:sz w:val="24"/>
                <w:highlight w:val="none"/>
              </w:rPr>
            </w:pPr>
            <w:r>
              <w:rPr>
                <w:rFonts w:hint="eastAsia"/>
                <w:sz w:val="24"/>
                <w:highlight w:val="none"/>
              </w:rPr>
              <w:t>《承德市城市总体规划》（</w:t>
            </w:r>
            <w:r>
              <w:rPr>
                <w:sz w:val="24"/>
                <w:highlight w:val="none"/>
              </w:rPr>
              <w:t>2016-2030</w:t>
            </w:r>
            <w:r>
              <w:rPr>
                <w:rFonts w:hint="eastAsia"/>
                <w:sz w:val="24"/>
                <w:highlight w:val="none"/>
              </w:rPr>
              <w:t>年）生态功能区如下图所示：</w:t>
            </w:r>
          </w:p>
          <w:p w14:paraId="326399C3">
            <w:pPr>
              <w:autoSpaceDE w:val="0"/>
              <w:autoSpaceDN w:val="0"/>
              <w:adjustRightInd w:val="0"/>
              <w:snapToGrid w:val="0"/>
              <w:spacing w:line="360" w:lineRule="auto"/>
              <w:jc w:val="center"/>
              <w:rPr>
                <w:color w:val="000000" w:themeColor="text1"/>
                <w:sz w:val="24"/>
                <w:highlight w:val="none"/>
                <w14:textFill>
                  <w14:solidFill>
                    <w14:schemeClr w14:val="tx1"/>
                  </w14:solidFill>
                </w14:textFill>
              </w:rPr>
            </w:pPr>
            <w:r>
              <w:rPr>
                <w:highlight w:val="none"/>
              </w:rPr>
              <w:drawing>
                <wp:inline distT="0" distB="0" distL="114300" distR="114300">
                  <wp:extent cx="5140325" cy="4993005"/>
                  <wp:effectExtent l="0" t="0" r="3175" b="1714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2"/>
                          <a:stretch>
                            <a:fillRect/>
                          </a:stretch>
                        </pic:blipFill>
                        <pic:spPr>
                          <a:xfrm>
                            <a:off x="0" y="0"/>
                            <a:ext cx="5140325" cy="4993005"/>
                          </a:xfrm>
                          <a:prstGeom prst="rect">
                            <a:avLst/>
                          </a:prstGeom>
                          <a:noFill/>
                          <a:ln>
                            <a:noFill/>
                          </a:ln>
                        </pic:spPr>
                      </pic:pic>
                    </a:graphicData>
                  </a:graphic>
                </wp:inline>
              </w:drawing>
            </w:r>
          </w:p>
          <w:p w14:paraId="3676FBED">
            <w:pPr>
              <w:pStyle w:val="50"/>
              <w:widowControl w:val="0"/>
              <w:numPr>
                <w:ilvl w:val="0"/>
                <w:numId w:val="3"/>
              </w:numPr>
              <w:spacing w:line="360" w:lineRule="auto"/>
              <w:ind w:left="0" w:firstLine="0" w:firstLineChars="0"/>
              <w:jc w:val="center"/>
              <w:rPr>
                <w:rFonts w:ascii="宋体" w:hAnsi="宋体" w:eastAsia="宋体"/>
                <w:b/>
                <w:color w:val="000000" w:themeColor="text1"/>
                <w:sz w:val="21"/>
                <w:highlight w:val="none"/>
                <w14:textFill>
                  <w14:solidFill>
                    <w14:schemeClr w14:val="tx1"/>
                  </w14:solidFill>
                </w14:textFill>
              </w:rPr>
            </w:pPr>
            <w:r>
              <w:rPr>
                <w:rFonts w:hint="eastAsia" w:ascii="宋体" w:hAnsi="宋体" w:eastAsia="宋体"/>
                <w:b/>
                <w:color w:val="000000" w:themeColor="text1"/>
                <w:sz w:val="21"/>
                <w:highlight w:val="none"/>
                <w14:textFill>
                  <w14:solidFill>
                    <w14:schemeClr w14:val="tx1"/>
                  </w14:solidFill>
                </w14:textFill>
              </w:rPr>
              <w:t>项目位置与承德市市域环境功能区划位置关系图</w:t>
            </w:r>
          </w:p>
          <w:p w14:paraId="1A137EF5">
            <w:pPr>
              <w:spacing w:before="120" w:beforeLines="50" w:line="360" w:lineRule="auto"/>
              <w:ind w:firstLine="482"/>
              <w:rPr>
                <w:sz w:val="24"/>
                <w:highlight w:val="none"/>
              </w:rPr>
            </w:pPr>
            <w:r>
              <w:rPr>
                <w:rFonts w:hint="eastAsia"/>
                <w:sz w:val="24"/>
                <w:highlight w:val="none"/>
              </w:rPr>
              <w:t>该区域</w:t>
            </w:r>
            <w:r>
              <w:rPr>
                <w:sz w:val="24"/>
                <w:highlight w:val="none"/>
              </w:rPr>
              <w:t>主要生态环境问题、生态服务功能、建设方向及措施如下表所示。</w:t>
            </w:r>
          </w:p>
          <w:p w14:paraId="78FA3C64">
            <w:pPr>
              <w:pStyle w:val="50"/>
              <w:numPr>
                <w:ilvl w:val="0"/>
                <w:numId w:val="4"/>
              </w:numPr>
              <w:spacing w:line="360" w:lineRule="auto"/>
              <w:ind w:firstLineChars="0"/>
              <w:jc w:val="center"/>
              <w:rPr>
                <w:rFonts w:ascii="Times New Roman" w:hAnsi="Times New Roman" w:eastAsia="宋体"/>
                <w:b/>
                <w:sz w:val="21"/>
                <w:szCs w:val="21"/>
                <w:highlight w:val="none"/>
              </w:rPr>
            </w:pPr>
            <w:r>
              <w:rPr>
                <w:rFonts w:ascii="Times New Roman" w:hAnsi="Times New Roman" w:eastAsia="宋体"/>
                <w:b/>
                <w:bCs/>
                <w:sz w:val="21"/>
                <w:szCs w:val="21"/>
                <w:highlight w:val="none"/>
              </w:rPr>
              <w:t>承德市总体规划中生态功能区划相关功能分区</w:t>
            </w:r>
          </w:p>
          <w:tbl>
            <w:tblPr>
              <w:tblStyle w:val="23"/>
              <w:tblW w:w="498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815"/>
              <w:gridCol w:w="1122"/>
              <w:gridCol w:w="1567"/>
              <w:gridCol w:w="1034"/>
              <w:gridCol w:w="2980"/>
            </w:tblGrid>
            <w:tr w14:paraId="41580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439" w:type="pct"/>
                  <w:tcBorders>
                    <w:top w:val="single" w:color="auto" w:sz="4" w:space="0"/>
                    <w:left w:val="single" w:color="auto" w:sz="4" w:space="0"/>
                    <w:bottom w:val="single" w:color="auto" w:sz="4" w:space="0"/>
                    <w:right w:val="single" w:color="auto" w:sz="4" w:space="0"/>
                  </w:tcBorders>
                  <w:vAlign w:val="center"/>
                </w:tcPr>
                <w:p w14:paraId="32EBBBCB">
                  <w:pPr>
                    <w:snapToGrid w:val="0"/>
                    <w:jc w:val="center"/>
                    <w:rPr>
                      <w:b/>
                      <w:bCs/>
                      <w:color w:val="000000"/>
                      <w:szCs w:val="21"/>
                      <w:highlight w:val="none"/>
                    </w:rPr>
                  </w:pPr>
                  <w:r>
                    <w:rPr>
                      <w:b/>
                      <w:bCs/>
                      <w:color w:val="000000"/>
                      <w:szCs w:val="21"/>
                      <w:highlight w:val="none"/>
                    </w:rPr>
                    <w:t>生态区</w:t>
                  </w:r>
                </w:p>
              </w:tc>
              <w:tc>
                <w:tcPr>
                  <w:tcW w:w="500" w:type="pct"/>
                  <w:tcBorders>
                    <w:top w:val="single" w:color="auto" w:sz="4" w:space="0"/>
                    <w:left w:val="nil"/>
                    <w:bottom w:val="single" w:color="auto" w:sz="4" w:space="0"/>
                    <w:right w:val="single" w:color="auto" w:sz="4" w:space="0"/>
                  </w:tcBorders>
                  <w:vAlign w:val="center"/>
                </w:tcPr>
                <w:p w14:paraId="18903124">
                  <w:pPr>
                    <w:snapToGrid w:val="0"/>
                    <w:jc w:val="center"/>
                    <w:rPr>
                      <w:b/>
                      <w:bCs/>
                      <w:color w:val="000000"/>
                      <w:szCs w:val="21"/>
                      <w:highlight w:val="none"/>
                    </w:rPr>
                  </w:pPr>
                  <w:r>
                    <w:rPr>
                      <w:b/>
                      <w:bCs/>
                      <w:color w:val="000000"/>
                      <w:szCs w:val="21"/>
                      <w:highlight w:val="none"/>
                    </w:rPr>
                    <w:t>生态亚区</w:t>
                  </w:r>
                </w:p>
              </w:tc>
              <w:tc>
                <w:tcPr>
                  <w:tcW w:w="654" w:type="pct"/>
                  <w:tcBorders>
                    <w:top w:val="single" w:color="auto" w:sz="4" w:space="0"/>
                    <w:left w:val="nil"/>
                    <w:bottom w:val="single" w:color="auto" w:sz="4" w:space="0"/>
                    <w:right w:val="single" w:color="auto" w:sz="4" w:space="0"/>
                  </w:tcBorders>
                  <w:vAlign w:val="center"/>
                </w:tcPr>
                <w:p w14:paraId="6EB9F61C">
                  <w:pPr>
                    <w:snapToGrid w:val="0"/>
                    <w:jc w:val="center"/>
                    <w:rPr>
                      <w:b/>
                      <w:bCs/>
                      <w:color w:val="000000"/>
                      <w:szCs w:val="21"/>
                      <w:highlight w:val="none"/>
                    </w:rPr>
                  </w:pPr>
                  <w:r>
                    <w:rPr>
                      <w:b/>
                      <w:bCs/>
                      <w:color w:val="000000"/>
                      <w:szCs w:val="21"/>
                      <w:highlight w:val="none"/>
                    </w:rPr>
                    <w:t>生态功能区</w:t>
                  </w:r>
                </w:p>
              </w:tc>
              <w:tc>
                <w:tcPr>
                  <w:tcW w:w="957" w:type="pct"/>
                  <w:tcBorders>
                    <w:top w:val="single" w:color="auto" w:sz="4" w:space="0"/>
                    <w:left w:val="nil"/>
                    <w:bottom w:val="single" w:color="auto" w:sz="4" w:space="0"/>
                    <w:right w:val="single" w:color="auto" w:sz="4" w:space="0"/>
                  </w:tcBorders>
                  <w:vAlign w:val="center"/>
                </w:tcPr>
                <w:p w14:paraId="6F238DAD">
                  <w:pPr>
                    <w:snapToGrid w:val="0"/>
                    <w:jc w:val="center"/>
                    <w:rPr>
                      <w:b/>
                      <w:bCs/>
                      <w:color w:val="000000"/>
                      <w:szCs w:val="21"/>
                      <w:highlight w:val="none"/>
                    </w:rPr>
                  </w:pPr>
                  <w:r>
                    <w:rPr>
                      <w:b/>
                      <w:bCs/>
                      <w:color w:val="000000"/>
                      <w:szCs w:val="21"/>
                      <w:highlight w:val="none"/>
                    </w:rPr>
                    <w:t>主要生态环境问题</w:t>
                  </w:r>
                </w:p>
              </w:tc>
              <w:tc>
                <w:tcPr>
                  <w:tcW w:w="633" w:type="pct"/>
                  <w:tcBorders>
                    <w:top w:val="single" w:color="auto" w:sz="4" w:space="0"/>
                    <w:left w:val="nil"/>
                    <w:bottom w:val="single" w:color="auto" w:sz="4" w:space="0"/>
                    <w:right w:val="single" w:color="auto" w:sz="4" w:space="0"/>
                  </w:tcBorders>
                  <w:vAlign w:val="center"/>
                </w:tcPr>
                <w:p w14:paraId="41FF0947">
                  <w:pPr>
                    <w:snapToGrid w:val="0"/>
                    <w:jc w:val="center"/>
                    <w:rPr>
                      <w:b/>
                      <w:bCs/>
                      <w:color w:val="000000"/>
                      <w:szCs w:val="21"/>
                      <w:highlight w:val="none"/>
                    </w:rPr>
                  </w:pPr>
                  <w:r>
                    <w:rPr>
                      <w:b/>
                      <w:bCs/>
                      <w:color w:val="000000"/>
                      <w:szCs w:val="21"/>
                      <w:highlight w:val="none"/>
                    </w:rPr>
                    <w:t>生态服务功能</w:t>
                  </w:r>
                </w:p>
              </w:tc>
              <w:tc>
                <w:tcPr>
                  <w:tcW w:w="1815" w:type="pct"/>
                  <w:tcBorders>
                    <w:top w:val="single" w:color="auto" w:sz="4" w:space="0"/>
                    <w:left w:val="nil"/>
                    <w:bottom w:val="single" w:color="auto" w:sz="4" w:space="0"/>
                    <w:right w:val="single" w:color="auto" w:sz="4" w:space="0"/>
                  </w:tcBorders>
                  <w:vAlign w:val="center"/>
                </w:tcPr>
                <w:p w14:paraId="7013C421">
                  <w:pPr>
                    <w:snapToGrid w:val="0"/>
                    <w:jc w:val="center"/>
                    <w:rPr>
                      <w:b/>
                      <w:bCs/>
                      <w:color w:val="000000"/>
                      <w:szCs w:val="21"/>
                      <w:highlight w:val="none"/>
                    </w:rPr>
                  </w:pPr>
                  <w:r>
                    <w:rPr>
                      <w:b/>
                      <w:bCs/>
                      <w:color w:val="000000"/>
                      <w:szCs w:val="21"/>
                      <w:highlight w:val="none"/>
                    </w:rPr>
                    <w:t>建设方向及措施</w:t>
                  </w:r>
                </w:p>
              </w:tc>
            </w:tr>
            <w:tr w14:paraId="3C6E5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8" w:hRule="atLeast"/>
                <w:jc w:val="center"/>
              </w:trPr>
              <w:tc>
                <w:tcPr>
                  <w:tcW w:w="439" w:type="pct"/>
                  <w:tcBorders>
                    <w:top w:val="single" w:color="auto" w:sz="4" w:space="0"/>
                    <w:left w:val="single" w:color="auto" w:sz="4" w:space="0"/>
                    <w:bottom w:val="single" w:color="auto" w:sz="4" w:space="0"/>
                    <w:right w:val="single" w:color="auto" w:sz="4" w:space="0"/>
                  </w:tcBorders>
                  <w:vAlign w:val="center"/>
                </w:tcPr>
                <w:p w14:paraId="6A683E08">
                  <w:pPr>
                    <w:snapToGrid w:val="0"/>
                    <w:jc w:val="center"/>
                    <w:rPr>
                      <w:color w:val="000000"/>
                      <w:szCs w:val="21"/>
                      <w:highlight w:val="none"/>
                    </w:rPr>
                  </w:pPr>
                  <w:r>
                    <w:rPr>
                      <w:rFonts w:hint="eastAsia"/>
                      <w:szCs w:val="21"/>
                      <w:highlight w:val="none"/>
                    </w:rPr>
                    <w:t>冀北及燕山山地生态区</w:t>
                  </w:r>
                  <w:r>
                    <w:rPr>
                      <w:szCs w:val="21"/>
                      <w:highlight w:val="none"/>
                    </w:rPr>
                    <w:t>Ⅱ</w:t>
                  </w:r>
                </w:p>
              </w:tc>
              <w:tc>
                <w:tcPr>
                  <w:tcW w:w="500" w:type="pct"/>
                  <w:tcBorders>
                    <w:top w:val="single" w:color="auto" w:sz="4" w:space="0"/>
                    <w:left w:val="nil"/>
                    <w:bottom w:val="single" w:color="auto" w:sz="4" w:space="0"/>
                    <w:right w:val="single" w:color="auto" w:sz="4" w:space="0"/>
                  </w:tcBorders>
                  <w:vAlign w:val="center"/>
                </w:tcPr>
                <w:p w14:paraId="3C209C90">
                  <w:pPr>
                    <w:snapToGrid w:val="0"/>
                    <w:jc w:val="center"/>
                    <w:rPr>
                      <w:rFonts w:hint="eastAsia" w:eastAsia="宋体"/>
                      <w:color w:val="000000"/>
                      <w:szCs w:val="21"/>
                      <w:highlight w:val="none"/>
                      <w:lang w:val="en-US" w:eastAsia="zh-CN"/>
                    </w:rPr>
                  </w:pPr>
                  <w:r>
                    <w:rPr>
                      <w:rFonts w:hint="eastAsia"/>
                      <w:szCs w:val="21"/>
                      <w:highlight w:val="none"/>
                    </w:rPr>
                    <w:t>冀北山地森林生态亚区</w:t>
                  </w:r>
                  <w:r>
                    <w:rPr>
                      <w:szCs w:val="21"/>
                      <w:highlight w:val="none"/>
                    </w:rPr>
                    <w:t>Ⅱ-</w:t>
                  </w:r>
                  <w:r>
                    <w:rPr>
                      <w:rFonts w:hint="eastAsia"/>
                      <w:szCs w:val="21"/>
                      <w:highlight w:val="none"/>
                      <w:lang w:val="en-US" w:eastAsia="zh-CN"/>
                    </w:rPr>
                    <w:t>1</w:t>
                  </w:r>
                </w:p>
              </w:tc>
              <w:tc>
                <w:tcPr>
                  <w:tcW w:w="654" w:type="pct"/>
                  <w:tcBorders>
                    <w:top w:val="single" w:color="auto" w:sz="4" w:space="0"/>
                    <w:left w:val="nil"/>
                    <w:bottom w:val="single" w:color="auto" w:sz="4" w:space="0"/>
                    <w:right w:val="single" w:color="auto" w:sz="4" w:space="0"/>
                  </w:tcBorders>
                  <w:vAlign w:val="center"/>
                </w:tcPr>
                <w:p w14:paraId="4A230A1E">
                  <w:pPr>
                    <w:snapToGrid w:val="0"/>
                    <w:jc w:val="center"/>
                    <w:rPr>
                      <w:color w:val="000000"/>
                      <w:szCs w:val="21"/>
                      <w:highlight w:val="none"/>
                    </w:rPr>
                  </w:pPr>
                  <w:r>
                    <w:rPr>
                      <w:rFonts w:hint="eastAsia"/>
                      <w:szCs w:val="21"/>
                      <w:highlight w:val="none"/>
                    </w:rPr>
                    <w:t>滦河上游生物多样性保护功能区（</w:t>
                  </w:r>
                  <w:r>
                    <w:rPr>
                      <w:szCs w:val="21"/>
                      <w:highlight w:val="none"/>
                    </w:rPr>
                    <w:t>Ⅱ-</w:t>
                  </w:r>
                  <w:r>
                    <w:rPr>
                      <w:rFonts w:hint="eastAsia"/>
                      <w:szCs w:val="21"/>
                      <w:highlight w:val="none"/>
                      <w:lang w:val="en-US" w:eastAsia="zh-CN"/>
                    </w:rPr>
                    <w:t>1</w:t>
                  </w:r>
                  <w:r>
                    <w:rPr>
                      <w:szCs w:val="21"/>
                      <w:highlight w:val="none"/>
                    </w:rPr>
                    <w:t>-3</w:t>
                  </w:r>
                  <w:r>
                    <w:rPr>
                      <w:rFonts w:hint="eastAsia"/>
                      <w:szCs w:val="21"/>
                      <w:highlight w:val="none"/>
                    </w:rPr>
                    <w:t>）</w:t>
                  </w:r>
                </w:p>
              </w:tc>
              <w:tc>
                <w:tcPr>
                  <w:tcW w:w="957" w:type="pct"/>
                  <w:tcBorders>
                    <w:top w:val="single" w:color="auto" w:sz="4" w:space="0"/>
                    <w:left w:val="nil"/>
                    <w:bottom w:val="single" w:color="auto" w:sz="4" w:space="0"/>
                    <w:right w:val="single" w:color="auto" w:sz="4" w:space="0"/>
                  </w:tcBorders>
                  <w:vAlign w:val="center"/>
                </w:tcPr>
                <w:p w14:paraId="3D47F784">
                  <w:pPr>
                    <w:snapToGrid w:val="0"/>
                    <w:jc w:val="center"/>
                    <w:rPr>
                      <w:rFonts w:hint="default" w:eastAsia="宋体"/>
                      <w:color w:val="000000"/>
                      <w:szCs w:val="21"/>
                      <w:highlight w:val="none"/>
                      <w:lang w:val="en-US" w:eastAsia="zh-CN"/>
                    </w:rPr>
                  </w:pPr>
                  <w:r>
                    <w:rPr>
                      <w:rFonts w:hint="eastAsia"/>
                      <w:szCs w:val="21"/>
                      <w:highlight w:val="none"/>
                      <w:lang w:val="en-US" w:eastAsia="zh-CN"/>
                    </w:rPr>
                    <w:t>生物多样性减少，水土流失严重，草地退化，沙画面积不断扩大</w:t>
                  </w:r>
                </w:p>
              </w:tc>
              <w:tc>
                <w:tcPr>
                  <w:tcW w:w="633" w:type="pct"/>
                  <w:tcBorders>
                    <w:top w:val="single" w:color="auto" w:sz="4" w:space="0"/>
                    <w:left w:val="nil"/>
                    <w:bottom w:val="single" w:color="auto" w:sz="4" w:space="0"/>
                    <w:right w:val="single" w:color="auto" w:sz="4" w:space="0"/>
                  </w:tcBorders>
                  <w:vAlign w:val="center"/>
                </w:tcPr>
                <w:p w14:paraId="0CEF5BE5">
                  <w:pPr>
                    <w:snapToGrid w:val="0"/>
                    <w:jc w:val="center"/>
                    <w:rPr>
                      <w:rFonts w:hint="default" w:eastAsia="宋体"/>
                      <w:color w:val="000000"/>
                      <w:szCs w:val="21"/>
                      <w:highlight w:val="none"/>
                      <w:lang w:val="en-US" w:eastAsia="zh-CN"/>
                    </w:rPr>
                  </w:pPr>
                  <w:r>
                    <w:rPr>
                      <w:rFonts w:hint="eastAsia"/>
                      <w:szCs w:val="21"/>
                      <w:highlight w:val="none"/>
                      <w:lang w:val="en-US" w:eastAsia="zh-CN"/>
                    </w:rPr>
                    <w:t>生物多样性保护、荒漠化防治、水资源保护</w:t>
                  </w:r>
                </w:p>
              </w:tc>
              <w:tc>
                <w:tcPr>
                  <w:tcW w:w="1815" w:type="pct"/>
                  <w:tcBorders>
                    <w:top w:val="single" w:color="auto" w:sz="4" w:space="0"/>
                    <w:left w:val="nil"/>
                    <w:bottom w:val="single" w:color="auto" w:sz="4" w:space="0"/>
                    <w:right w:val="single" w:color="auto" w:sz="4" w:space="0"/>
                  </w:tcBorders>
                  <w:vAlign w:val="center"/>
                </w:tcPr>
                <w:p w14:paraId="55A52AF8">
                  <w:pPr>
                    <w:snapToGrid w:val="0"/>
                    <w:rPr>
                      <w:color w:val="000000"/>
                      <w:szCs w:val="21"/>
                      <w:highlight w:val="none"/>
                    </w:rPr>
                  </w:pPr>
                  <w:r>
                    <w:rPr>
                      <w:rFonts w:hint="eastAsia"/>
                      <w:szCs w:val="21"/>
                      <w:highlight w:val="none"/>
                      <w:lang w:val="en-US" w:eastAsia="zh-CN"/>
                    </w:rPr>
                    <w:t>积极进行生物多样性保护工作，水土流失综合防治，积极推进退耕还林；增加制备覆盖度，增强水源涵养功能。加强滦河上游自然保护区的保护与管理，强力恢复植被、不断扩大种群，防治病虫害</w:t>
                  </w:r>
                  <w:r>
                    <w:rPr>
                      <w:rFonts w:hint="eastAsia"/>
                      <w:szCs w:val="21"/>
                      <w:highlight w:val="none"/>
                    </w:rPr>
                    <w:t>。</w:t>
                  </w:r>
                </w:p>
              </w:tc>
            </w:tr>
          </w:tbl>
          <w:p w14:paraId="64920607">
            <w:pPr>
              <w:spacing w:before="120" w:beforeLines="50" w:line="360" w:lineRule="auto"/>
              <w:ind w:firstLine="482"/>
              <w:rPr>
                <w:color w:val="000000" w:themeColor="text1"/>
                <w:sz w:val="24"/>
                <w:highlight w:val="none"/>
                <w14:textFill>
                  <w14:solidFill>
                    <w14:schemeClr w14:val="tx1"/>
                  </w14:solidFill>
                </w14:textFill>
              </w:rPr>
            </w:pPr>
            <w:r>
              <w:rPr>
                <w:rFonts w:hint="eastAsia"/>
                <w:sz w:val="24"/>
                <w:highlight w:val="none"/>
              </w:rPr>
              <w:t>项目</w:t>
            </w:r>
            <w:r>
              <w:rPr>
                <w:rFonts w:hint="eastAsia"/>
                <w:sz w:val="24"/>
                <w:highlight w:val="none"/>
                <w:lang w:val="en-US" w:eastAsia="zh-CN"/>
              </w:rPr>
              <w:t>不新增占地，利用现有厂区内空地进行建设</w:t>
            </w:r>
            <w:r>
              <w:rPr>
                <w:rFonts w:hint="eastAsia"/>
                <w:sz w:val="24"/>
                <w:highlight w:val="none"/>
              </w:rPr>
              <w:t>，</w:t>
            </w:r>
            <w:r>
              <w:rPr>
                <w:rFonts w:hint="eastAsia"/>
                <w:sz w:val="24"/>
                <w:highlight w:val="none"/>
                <w:lang w:val="en-US" w:eastAsia="zh-CN"/>
              </w:rPr>
              <w:t>通过采取地面硬化、绿化措施，</w:t>
            </w:r>
            <w:r>
              <w:rPr>
                <w:rFonts w:hint="default" w:ascii="Times New Roman" w:hAnsi="Times New Roman" w:eastAsia="宋体" w:cs="Times New Roman"/>
                <w:sz w:val="24"/>
                <w:highlight w:val="none"/>
              </w:rPr>
              <w:t>可改善现有场地生态环境，可有效防控水土流失</w:t>
            </w:r>
            <w:r>
              <w:rPr>
                <w:rFonts w:hint="eastAsia"/>
                <w:sz w:val="24"/>
                <w:highlight w:val="none"/>
              </w:rPr>
              <w:t>，与《承德市城市总体规划》（</w:t>
            </w:r>
            <w:r>
              <w:rPr>
                <w:sz w:val="24"/>
                <w:highlight w:val="none"/>
              </w:rPr>
              <w:t>2016-2030</w:t>
            </w:r>
            <w:r>
              <w:rPr>
                <w:rFonts w:hint="eastAsia"/>
                <w:sz w:val="24"/>
                <w:highlight w:val="none"/>
              </w:rPr>
              <w:t>）中的生态功能区划中该区域的生态服务功能和建设的方向不冲突。</w:t>
            </w:r>
          </w:p>
          <w:p w14:paraId="343BAF59">
            <w:pPr>
              <w:spacing w:line="360" w:lineRule="auto"/>
              <w:ind w:firstLine="482" w:firstLineChars="200"/>
              <w:rPr>
                <w:b/>
                <w:sz w:val="24"/>
                <w:highlight w:val="none"/>
              </w:rPr>
            </w:pPr>
            <w:r>
              <w:rPr>
                <w:rFonts w:hint="eastAsia"/>
                <w:b/>
                <w:sz w:val="24"/>
                <w:highlight w:val="none"/>
              </w:rPr>
              <w:t>（2）与《承德市生态环境保护“十四五”规划》符合性分析</w:t>
            </w:r>
          </w:p>
          <w:p w14:paraId="5CB7A81A">
            <w:pPr>
              <w:autoSpaceDE w:val="0"/>
              <w:autoSpaceDN w:val="0"/>
              <w:spacing w:line="360" w:lineRule="auto"/>
              <w:ind w:firstLine="480" w:firstLineChars="200"/>
              <w:rPr>
                <w:sz w:val="24"/>
                <w:highlight w:val="none"/>
              </w:rPr>
            </w:pPr>
            <w:r>
              <w:rPr>
                <w:rFonts w:hint="eastAsia"/>
                <w:sz w:val="24"/>
                <w:highlight w:val="none"/>
              </w:rPr>
              <w:t>根据《承德市生态环境保护“十四五”规划》（承市政字〔</w:t>
            </w:r>
            <w:r>
              <w:rPr>
                <w:sz w:val="24"/>
                <w:highlight w:val="none"/>
              </w:rPr>
              <w:t>2022</w:t>
            </w:r>
            <w:r>
              <w:rPr>
                <w:rFonts w:hint="eastAsia"/>
                <w:sz w:val="24"/>
                <w:highlight w:val="none"/>
              </w:rPr>
              <w:t>〕</w:t>
            </w:r>
            <w:r>
              <w:rPr>
                <w:sz w:val="24"/>
                <w:highlight w:val="none"/>
              </w:rPr>
              <w:t>16</w:t>
            </w:r>
            <w:r>
              <w:rPr>
                <w:rFonts w:hint="eastAsia"/>
                <w:sz w:val="24"/>
                <w:highlight w:val="none"/>
              </w:rPr>
              <w:t>号），要求推进重点行业产业优化转型，践行绿色低碳发展，落实降碳减排行动，积极应对气候变化，深入打好蓝天保卫战，强化协同共治，深入打好碧水保卫战，突出流域统筹，深入打好净土保卫战，强化风险管控，建立健全固体废物监管体系，强化源头减量及废物利用，着力加强生态文明建设，提升生态系统功能。</w:t>
            </w:r>
          </w:p>
          <w:p w14:paraId="0CB8D1A1">
            <w:pPr>
              <w:autoSpaceDE w:val="0"/>
              <w:autoSpaceDN w:val="0"/>
              <w:spacing w:line="360" w:lineRule="auto"/>
              <w:ind w:firstLine="480" w:firstLineChars="200"/>
              <w:rPr>
                <w:rFonts w:hint="eastAsia"/>
                <w:sz w:val="24"/>
                <w:highlight w:val="none"/>
              </w:rPr>
            </w:pPr>
            <w:r>
              <w:rPr>
                <w:rFonts w:hint="eastAsia"/>
                <w:sz w:val="24"/>
                <w:highlight w:val="none"/>
              </w:rPr>
              <w:t>项目为</w:t>
            </w:r>
            <w:r>
              <w:rPr>
                <w:rFonts w:hint="eastAsia"/>
                <w:sz w:val="24"/>
                <w:highlight w:val="none"/>
                <w:lang w:val="en-US" w:eastAsia="zh-CN"/>
              </w:rPr>
              <w:t>沼气锅炉</w:t>
            </w:r>
            <w:r>
              <w:rPr>
                <w:rFonts w:hint="eastAsia"/>
                <w:sz w:val="24"/>
                <w:highlight w:val="none"/>
              </w:rPr>
              <w:t>项目，生产过程中污染物产生量较小并拟采取相应治理措施，对环境影响较小，</w:t>
            </w:r>
            <w:r>
              <w:rPr>
                <w:rFonts w:hint="eastAsia"/>
                <w:sz w:val="24"/>
                <w:highlight w:val="none"/>
                <w:lang w:val="en-US" w:eastAsia="zh-CN"/>
              </w:rPr>
              <w:t>本项目固体废物主要为废离子交换树脂，为一般固体废物，由离子交换树脂厂家定期收集处理，不外排，</w:t>
            </w:r>
            <w:r>
              <w:rPr>
                <w:rFonts w:hint="eastAsia"/>
                <w:sz w:val="24"/>
                <w:highlight w:val="none"/>
              </w:rPr>
              <w:t>因此，项目的建设符合《承德市生态环境保护“十四五”规划》中相关要求。</w:t>
            </w:r>
          </w:p>
          <w:p w14:paraId="71066570">
            <w:pPr>
              <w:autoSpaceDE w:val="0"/>
              <w:autoSpaceDN w:val="0"/>
              <w:spacing w:line="360" w:lineRule="auto"/>
              <w:ind w:firstLine="482" w:firstLineChars="200"/>
              <w:rPr>
                <w:rFonts w:hint="default" w:ascii="Times New Roman" w:hAnsi="Times New Roman" w:eastAsia="宋体" w:cs="Times New Roman"/>
                <w:b/>
                <w:bCs/>
                <w:sz w:val="24"/>
                <w:highlight w:val="none"/>
                <w:lang w:val="en-US" w:eastAsia="zh-CN"/>
              </w:rPr>
            </w:pPr>
            <w:r>
              <w:rPr>
                <w:rFonts w:hint="eastAsia" w:ascii="Times New Roman" w:hAnsi="Times New Roman" w:eastAsia="宋体" w:cs="Times New Roman"/>
                <w:b/>
                <w:bCs/>
                <w:sz w:val="24"/>
                <w:highlight w:val="none"/>
                <w:lang w:val="en-US" w:eastAsia="zh-CN"/>
              </w:rPr>
              <w:t>6、空间规划符合性分析</w:t>
            </w:r>
          </w:p>
          <w:p w14:paraId="68B29F3C">
            <w:pPr>
              <w:pStyle w:val="2"/>
              <w:ind w:left="0" w:leftChars="0" w:firstLine="480" w:firstLineChars="200"/>
              <w:jc w:val="both"/>
              <w:rPr>
                <w:color w:val="000000" w:themeColor="text1"/>
                <w:w w:val="100"/>
                <w:sz w:val="24"/>
                <w:highlight w:val="none"/>
                <w14:textFill>
                  <w14:solidFill>
                    <w14:schemeClr w14:val="tx1"/>
                  </w14:solidFill>
                </w14:textFill>
              </w:rPr>
            </w:pPr>
            <w:r>
              <w:rPr>
                <w:rFonts w:hint="eastAsia"/>
                <w:color w:val="000000" w:themeColor="text1"/>
                <w:w w:val="100"/>
                <w:sz w:val="24"/>
                <w:highlight w:val="none"/>
                <w14:textFill>
                  <w14:solidFill>
                    <w14:schemeClr w14:val="tx1"/>
                  </w14:solidFill>
                </w14:textFill>
              </w:rPr>
              <w:t>（1）《承德市国土空间总体规划（2</w:t>
            </w:r>
            <w:r>
              <w:rPr>
                <w:color w:val="000000" w:themeColor="text1"/>
                <w:w w:val="100"/>
                <w:sz w:val="24"/>
                <w:highlight w:val="none"/>
                <w14:textFill>
                  <w14:solidFill>
                    <w14:schemeClr w14:val="tx1"/>
                  </w14:solidFill>
                </w14:textFill>
              </w:rPr>
              <w:t>021-2035</w:t>
            </w:r>
            <w:r>
              <w:rPr>
                <w:rFonts w:hint="eastAsia"/>
                <w:color w:val="000000" w:themeColor="text1"/>
                <w:w w:val="100"/>
                <w:sz w:val="24"/>
                <w:highlight w:val="none"/>
                <w14:textFill>
                  <w14:solidFill>
                    <w14:schemeClr w14:val="tx1"/>
                  </w14:solidFill>
                </w14:textFill>
              </w:rPr>
              <w:t>年）》</w:t>
            </w:r>
          </w:p>
          <w:p w14:paraId="42BAAB8D">
            <w:pPr>
              <w:pStyle w:val="2"/>
              <w:ind w:left="0" w:leftChars="0" w:firstLine="480" w:firstLineChars="200"/>
              <w:jc w:val="both"/>
              <w:rPr>
                <w:color w:val="000000" w:themeColor="text1"/>
                <w:w w:val="100"/>
                <w:sz w:val="24"/>
                <w:highlight w:val="none"/>
                <w14:textFill>
                  <w14:solidFill>
                    <w14:schemeClr w14:val="tx1"/>
                  </w14:solidFill>
                </w14:textFill>
              </w:rPr>
            </w:pPr>
            <w:r>
              <w:rPr>
                <w:rFonts w:hint="eastAsia"/>
                <w:color w:val="000000" w:themeColor="text1"/>
                <w:w w:val="100"/>
                <w:sz w:val="24"/>
                <w:highlight w:val="none"/>
                <w14:textFill>
                  <w14:solidFill>
                    <w14:schemeClr w14:val="tx1"/>
                  </w14:solidFill>
                </w14:textFill>
              </w:rPr>
              <w:t>根据《承德市国土空间总体规划（2</w:t>
            </w:r>
            <w:r>
              <w:rPr>
                <w:color w:val="000000" w:themeColor="text1"/>
                <w:w w:val="100"/>
                <w:sz w:val="24"/>
                <w:highlight w:val="none"/>
                <w14:textFill>
                  <w14:solidFill>
                    <w14:schemeClr w14:val="tx1"/>
                  </w14:solidFill>
                </w14:textFill>
              </w:rPr>
              <w:t>021-2035</w:t>
            </w:r>
            <w:r>
              <w:rPr>
                <w:rFonts w:hint="eastAsia"/>
                <w:color w:val="000000" w:themeColor="text1"/>
                <w:w w:val="100"/>
                <w:sz w:val="24"/>
                <w:highlight w:val="none"/>
                <w14:textFill>
                  <w14:solidFill>
                    <w14:schemeClr w14:val="tx1"/>
                  </w14:solidFill>
                </w14:textFill>
              </w:rPr>
              <w:t>年）》，优化农业生产布局，推动形成8个绿色食品精深加工产业集群。以平泉市为主的食用菌精深加工产业集群；以兴隆、营子为主的山楂精深加工产业集群；以平泉市为主的山杏加工精深产业集群；以宽城、兴隆为主的板栗精深加工产业集群；以滦平为重点的中药材加工产业集群；以围场县为主的马铃薯加工产业集群；以围场、丰宁、隆化为主的肉牛肉羊加工产业集群；以滦平、丰宁为主的生猪肉禽加工产业集群。</w:t>
            </w:r>
          </w:p>
          <w:p w14:paraId="03896827">
            <w:pPr>
              <w:pStyle w:val="2"/>
              <w:ind w:left="0" w:leftChars="0" w:firstLine="480" w:firstLineChars="200"/>
              <w:jc w:val="both"/>
              <w:rPr>
                <w:color w:val="000000" w:themeColor="text1"/>
                <w:w w:val="100"/>
                <w:sz w:val="24"/>
                <w:highlight w:val="none"/>
                <w14:textFill>
                  <w14:solidFill>
                    <w14:schemeClr w14:val="tx1"/>
                  </w14:solidFill>
                </w14:textFill>
              </w:rPr>
            </w:pPr>
            <w:r>
              <w:rPr>
                <w:rFonts w:hint="eastAsia"/>
                <w:color w:val="000000" w:themeColor="text1"/>
                <w:w w:val="100"/>
                <w:sz w:val="24"/>
                <w:highlight w:val="none"/>
                <w14:textFill>
                  <w14:solidFill>
                    <w14:schemeClr w14:val="tx1"/>
                  </w14:solidFill>
                </w14:textFill>
              </w:rPr>
              <w:t>项目为4t/h生物质锅炉技术改造项目，为淀粉和薯渣烘干提供热源。项目服务于承德迎辉淀粉有限公司现有淀粉生产线，属于“围场县马铃薯加工产业集群”的一部分。符合承德市农业生产布局规划。</w:t>
            </w:r>
          </w:p>
          <w:p w14:paraId="1B6EC088">
            <w:pPr>
              <w:autoSpaceDE w:val="0"/>
              <w:autoSpaceDN w:val="0"/>
              <w:adjustRightInd w:val="0"/>
              <w:snapToGrid w:val="0"/>
              <w:spacing w:line="360" w:lineRule="auto"/>
              <w:ind w:firstLine="480" w:firstLineChars="200"/>
              <w:rPr>
                <w:sz w:val="24"/>
                <w:highlight w:val="none"/>
              </w:rPr>
            </w:pPr>
            <w:r>
              <w:rPr>
                <w:rFonts w:hint="eastAsia"/>
                <w:sz w:val="24"/>
                <w:highlight w:val="none"/>
              </w:rPr>
              <w:t>综上，项目符合《承德市国土空间总体规划（</w:t>
            </w:r>
            <w:r>
              <w:rPr>
                <w:sz w:val="24"/>
                <w:highlight w:val="none"/>
              </w:rPr>
              <w:t>2021-2035</w:t>
            </w:r>
            <w:r>
              <w:rPr>
                <w:rFonts w:hint="eastAsia"/>
                <w:sz w:val="24"/>
                <w:highlight w:val="none"/>
              </w:rPr>
              <w:t>年）》的要求。</w:t>
            </w:r>
          </w:p>
          <w:p w14:paraId="64529155">
            <w:pPr>
              <w:pStyle w:val="2"/>
              <w:ind w:left="0" w:leftChars="0" w:firstLine="480" w:firstLineChars="200"/>
              <w:jc w:val="both"/>
              <w:rPr>
                <w:color w:val="000000" w:themeColor="text1"/>
                <w:w w:val="100"/>
                <w:sz w:val="24"/>
                <w:highlight w:val="none"/>
                <w14:textFill>
                  <w14:solidFill>
                    <w14:schemeClr w14:val="tx1"/>
                  </w14:solidFill>
                </w14:textFill>
              </w:rPr>
            </w:pPr>
            <w:r>
              <w:rPr>
                <w:rFonts w:hint="eastAsia"/>
                <w:color w:val="000000" w:themeColor="text1"/>
                <w:w w:val="100"/>
                <w:sz w:val="24"/>
                <w:highlight w:val="none"/>
                <w14:textFill>
                  <w14:solidFill>
                    <w14:schemeClr w14:val="tx1"/>
                  </w14:solidFill>
                </w14:textFill>
              </w:rPr>
              <w:t>（</w:t>
            </w:r>
            <w:r>
              <w:rPr>
                <w:color w:val="000000" w:themeColor="text1"/>
                <w:w w:val="100"/>
                <w:sz w:val="24"/>
                <w:highlight w:val="none"/>
                <w14:textFill>
                  <w14:solidFill>
                    <w14:schemeClr w14:val="tx1"/>
                  </w14:solidFill>
                </w14:textFill>
              </w:rPr>
              <w:t>2</w:t>
            </w:r>
            <w:r>
              <w:rPr>
                <w:rFonts w:hint="eastAsia"/>
                <w:color w:val="000000" w:themeColor="text1"/>
                <w:w w:val="100"/>
                <w:sz w:val="24"/>
                <w:highlight w:val="none"/>
                <w14:textFill>
                  <w14:solidFill>
                    <w14:schemeClr w14:val="tx1"/>
                  </w14:solidFill>
                </w14:textFill>
              </w:rPr>
              <w:t>）《围场满族蒙古族自治县国土空间总体规划（2</w:t>
            </w:r>
            <w:r>
              <w:rPr>
                <w:color w:val="000000" w:themeColor="text1"/>
                <w:w w:val="100"/>
                <w:sz w:val="24"/>
                <w:highlight w:val="none"/>
                <w14:textFill>
                  <w14:solidFill>
                    <w14:schemeClr w14:val="tx1"/>
                  </w14:solidFill>
                </w14:textFill>
              </w:rPr>
              <w:t>021-2035</w:t>
            </w:r>
            <w:r>
              <w:rPr>
                <w:rFonts w:hint="eastAsia"/>
                <w:color w:val="000000" w:themeColor="text1"/>
                <w:w w:val="100"/>
                <w:sz w:val="24"/>
                <w:highlight w:val="none"/>
                <w14:textFill>
                  <w14:solidFill>
                    <w14:schemeClr w14:val="tx1"/>
                  </w14:solidFill>
                </w14:textFill>
              </w:rPr>
              <w:t>年）》</w:t>
            </w:r>
          </w:p>
          <w:p w14:paraId="7DF04EDE">
            <w:pPr>
              <w:pStyle w:val="2"/>
              <w:ind w:left="0" w:leftChars="0" w:firstLine="480" w:firstLineChars="200"/>
              <w:jc w:val="both"/>
              <w:rPr>
                <w:color w:val="000000" w:themeColor="text1"/>
                <w:w w:val="100"/>
                <w:sz w:val="24"/>
                <w:highlight w:val="none"/>
                <w14:textFill>
                  <w14:solidFill>
                    <w14:schemeClr w14:val="tx1"/>
                  </w14:solidFill>
                </w14:textFill>
              </w:rPr>
            </w:pPr>
            <w:r>
              <w:rPr>
                <w:rFonts w:hint="eastAsia"/>
                <w:color w:val="000000" w:themeColor="text1"/>
                <w:w w:val="100"/>
                <w:sz w:val="24"/>
                <w:highlight w:val="none"/>
                <w14:textFill>
                  <w14:solidFill>
                    <w14:schemeClr w14:val="tx1"/>
                  </w14:solidFill>
                </w14:textFill>
              </w:rPr>
              <w:t>根据《围场满族蒙古族自治县国土空间总体规划（2</w:t>
            </w:r>
            <w:r>
              <w:rPr>
                <w:color w:val="000000" w:themeColor="text1"/>
                <w:w w:val="100"/>
                <w:sz w:val="24"/>
                <w:highlight w:val="none"/>
                <w14:textFill>
                  <w14:solidFill>
                    <w14:schemeClr w14:val="tx1"/>
                  </w14:solidFill>
                </w14:textFill>
              </w:rPr>
              <w:t>021-2035</w:t>
            </w:r>
            <w:r>
              <w:rPr>
                <w:rFonts w:hint="eastAsia"/>
                <w:color w:val="000000" w:themeColor="text1"/>
                <w:w w:val="100"/>
                <w:sz w:val="24"/>
                <w:highlight w:val="none"/>
                <w14:textFill>
                  <w14:solidFill>
                    <w14:schemeClr w14:val="tx1"/>
                  </w14:solidFill>
                </w14:textFill>
              </w:rPr>
              <w:t>年）》，营造稳定优质农业空间，规划建设“一心一带、六区九基地、多节点”的农业产业发展格局。一心：即以围场县城为中心，作为全县农业产业发展的政策决策中心、科技支撑中心、农产品物流集散中心以及电子商务中心。一带：即以国家一号风景大道、围塞风景线和承围高速为基础，打造一条三产融合发展示范带。六区：林木产业主产区、特色种植业主产区、薯菜高效生产区、农业综合服务区、农业综合提升产业区、畜牧业转型发展生产区。九基地：根据围场现代农业示范区的规划，打造九个现代化特色农业示范基地。多节点：布局在全县域范围内、覆盖三大板块的一批工程。</w:t>
            </w:r>
          </w:p>
          <w:p w14:paraId="74EA6850">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b w:val="0"/>
                <w:bCs/>
                <w:color w:val="auto"/>
                <w:sz w:val="24"/>
                <w:szCs w:val="24"/>
                <w:highlight w:val="none"/>
                <w:lang w:val="en-US" w:eastAsia="zh-CN"/>
              </w:rPr>
            </w:pPr>
            <w:r>
              <w:rPr>
                <w:rFonts w:hint="eastAsia"/>
                <w:color w:val="000000" w:themeColor="text1"/>
                <w:w w:val="100"/>
                <w:sz w:val="24"/>
                <w:highlight w:val="none"/>
                <w14:textFill>
                  <w14:solidFill>
                    <w14:schemeClr w14:val="tx1"/>
                  </w14:solidFill>
                </w14:textFill>
              </w:rPr>
              <w:t>项目所在地围场县</w:t>
            </w:r>
            <w:r>
              <w:rPr>
                <w:rFonts w:hint="eastAsia"/>
                <w:color w:val="000000" w:themeColor="text1"/>
                <w:w w:val="100"/>
                <w:sz w:val="24"/>
                <w:highlight w:val="none"/>
                <w:lang w:val="en-US" w:eastAsia="zh-CN"/>
                <w14:textFill>
                  <w14:solidFill>
                    <w14:schemeClr w14:val="tx1"/>
                  </w14:solidFill>
                </w14:textFill>
              </w:rPr>
              <w:t>半截塔镇什八克村</w:t>
            </w:r>
            <w:r>
              <w:rPr>
                <w:rFonts w:hint="eastAsia"/>
                <w:color w:val="000000" w:themeColor="text1"/>
                <w:w w:val="100"/>
                <w:sz w:val="24"/>
                <w:highlight w:val="none"/>
                <w14:textFill>
                  <w14:solidFill>
                    <w14:schemeClr w14:val="tx1"/>
                  </w14:solidFill>
                </w14:textFill>
              </w:rPr>
              <w:t>，属于“</w:t>
            </w:r>
            <w:r>
              <w:rPr>
                <w:rFonts w:hint="eastAsia"/>
                <w:color w:val="000000" w:themeColor="text1"/>
                <w:w w:val="100"/>
                <w:sz w:val="24"/>
                <w:highlight w:val="none"/>
                <w:lang w:val="en-US" w:eastAsia="zh-CN"/>
                <w14:textFill>
                  <w14:solidFill>
                    <w14:schemeClr w14:val="tx1"/>
                  </w14:solidFill>
                </w14:textFill>
              </w:rPr>
              <w:t>农业综合提升产业区</w:t>
            </w:r>
            <w:r>
              <w:rPr>
                <w:rFonts w:hint="eastAsia"/>
                <w:color w:val="000000" w:themeColor="text1"/>
                <w:w w:val="100"/>
                <w:sz w:val="24"/>
                <w:highlight w:val="none"/>
                <w14:textFill>
                  <w14:solidFill>
                    <w14:schemeClr w14:val="tx1"/>
                  </w14:solidFill>
                </w14:textFill>
              </w:rPr>
              <w:t>”。</w:t>
            </w:r>
          </w:p>
          <w:p w14:paraId="4565F759">
            <w:pPr>
              <w:autoSpaceDE w:val="0"/>
              <w:autoSpaceDN w:val="0"/>
              <w:spacing w:line="360" w:lineRule="auto"/>
              <w:ind w:firstLine="480" w:firstLineChars="200"/>
              <w:rPr>
                <w:rFonts w:hint="default" w:ascii="Times New Roman" w:hAnsi="Times New Roman" w:eastAsia="宋体" w:cs="Times New Roman"/>
                <w:b/>
                <w:bCs/>
                <w:sz w:val="24"/>
                <w:highlight w:val="none"/>
                <w:lang w:val="en-US" w:eastAsia="zh-CN"/>
              </w:rPr>
            </w:pPr>
            <w:r>
              <w:rPr>
                <w:sz w:val="24"/>
                <w:highlight w:val="none"/>
              </w:rPr>
              <mc:AlternateContent>
                <mc:Choice Requires="wps">
                  <w:drawing>
                    <wp:anchor distT="0" distB="0" distL="114300" distR="114300" simplePos="0" relativeHeight="251661312" behindDoc="0" locked="0" layoutInCell="1" allowOverlap="1">
                      <wp:simplePos x="0" y="0"/>
                      <wp:positionH relativeFrom="column">
                        <wp:posOffset>1651635</wp:posOffset>
                      </wp:positionH>
                      <wp:positionV relativeFrom="paragraph">
                        <wp:posOffset>2456180</wp:posOffset>
                      </wp:positionV>
                      <wp:extent cx="1052195" cy="327660"/>
                      <wp:effectExtent l="4445" t="405765" r="86360" b="9525"/>
                      <wp:wrapNone/>
                      <wp:docPr id="24" name="矩形标注 24"/>
                      <wp:cNvGraphicFramePr/>
                      <a:graphic xmlns:a="http://schemas.openxmlformats.org/drawingml/2006/main">
                        <a:graphicData uri="http://schemas.microsoft.com/office/word/2010/wordprocessingShape">
                          <wps:wsp>
                            <wps:cNvSpPr/>
                            <wps:spPr>
                              <a:xfrm>
                                <a:off x="0" y="0"/>
                                <a:ext cx="1052195" cy="327660"/>
                              </a:xfrm>
                              <a:prstGeom prst="wedgeRectCallout">
                                <a:avLst>
                                  <a:gd name="adj1" fmla="val 56173"/>
                                  <a:gd name="adj2" fmla="val -167880"/>
                                </a:avLst>
                              </a:prstGeom>
                              <a:solidFill>
                                <a:srgbClr val="FFFFFF"/>
                              </a:solidFill>
                              <a:ln w="9525" cap="flat" cmpd="sng">
                                <a:solidFill>
                                  <a:srgbClr val="000000"/>
                                </a:solidFill>
                                <a:prstDash val="solid"/>
                                <a:miter/>
                                <a:headEnd type="none" w="med" len="med"/>
                                <a:tailEnd type="none" w="med" len="med"/>
                              </a:ln>
                            </wps:spPr>
                            <wps:txbx>
                              <w:txbxContent>
                                <w:p w14:paraId="4777072C">
                                  <w:pPr>
                                    <w:jc w:val="center"/>
                                  </w:pPr>
                                  <w:r>
                                    <w:rPr>
                                      <w:rFonts w:hint="eastAsia"/>
                                    </w:rPr>
                                    <w:t>项目位置</w:t>
                                  </w:r>
                                </w:p>
                              </w:txbxContent>
                            </wps:txbx>
                            <wps:bodyPr wrap="square" upright="1">
                              <a:noAutofit/>
                            </wps:bodyPr>
                          </wps:wsp>
                        </a:graphicData>
                      </a:graphic>
                    </wp:anchor>
                  </w:drawing>
                </mc:Choice>
                <mc:Fallback>
                  <w:pict>
                    <v:shape id="_x0000_s1026" o:spid="_x0000_s1026" o:spt="61" type="#_x0000_t61" style="position:absolute;left:0pt;margin-left:130.05pt;margin-top:193.4pt;height:25.8pt;width:82.85pt;z-index:251661312;mso-width-relative:page;mso-height-relative:page;" fillcolor="#FFFFFF" filled="t" stroked="t" coordsize="21600,21600" o:gfxdata="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N4keR7YAAAACwEAAA8A&#10;AAAAAAAAAQAgAAAAIgAAAGRycy9kb3ducmV2LnhtbFBLAQIUABQAAAAIAIdO4kAIU/3yUAIAALgE&#10;AAAOAAAAAAAAAAEAIAAAACcBAABkcnMvZTJvRG9jLnhtbFBLBQYAAAAABgAGAFkBAADpBQAAAAA=&#10;" adj="22933,-25462">
                      <v:fill on="t" focussize="0,0"/>
                      <v:stroke color="#000000" joinstyle="miter"/>
                      <v:imagedata o:title=""/>
                      <o:lock v:ext="edit" aspectratio="f"/>
                      <v:textbox>
                        <w:txbxContent>
                          <w:p w14:paraId="4777072C">
                            <w:pPr>
                              <w:jc w:val="center"/>
                            </w:pPr>
                            <w:r>
                              <w:rPr>
                                <w:rFonts w:hint="eastAsia"/>
                              </w:rPr>
                              <w:t>项目位置</w:t>
                            </w:r>
                          </w:p>
                        </w:txbxContent>
                      </v:textbox>
                    </v:shape>
                  </w:pict>
                </mc:Fallback>
              </mc:AlternateContent>
            </w:r>
            <w:r>
              <w:rPr>
                <w:highlight w:val="none"/>
              </w:rPr>
              <w:drawing>
                <wp:inline distT="0" distB="0" distL="0" distR="0">
                  <wp:extent cx="4851400" cy="3398520"/>
                  <wp:effectExtent l="0" t="0" r="6350" b="1143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3"/>
                          <a:stretch>
                            <a:fillRect/>
                          </a:stretch>
                        </pic:blipFill>
                        <pic:spPr>
                          <a:xfrm>
                            <a:off x="0" y="0"/>
                            <a:ext cx="4859655" cy="3404220"/>
                          </a:xfrm>
                          <a:prstGeom prst="rect">
                            <a:avLst/>
                          </a:prstGeom>
                        </pic:spPr>
                      </pic:pic>
                    </a:graphicData>
                  </a:graphic>
                </wp:inline>
              </w:drawing>
            </w:r>
          </w:p>
          <w:p w14:paraId="70A395BC">
            <w:pPr>
              <w:pStyle w:val="50"/>
              <w:widowControl w:val="0"/>
              <w:numPr>
                <w:ilvl w:val="0"/>
                <w:numId w:val="3"/>
              </w:numPr>
              <w:spacing w:line="360" w:lineRule="auto"/>
              <w:ind w:left="0" w:firstLine="0" w:firstLineChars="0"/>
              <w:jc w:val="center"/>
              <w:rPr>
                <w:rFonts w:ascii="宋体" w:hAnsi="宋体" w:eastAsia="宋体"/>
                <w:b/>
                <w:color w:val="000000" w:themeColor="text1"/>
                <w:sz w:val="21"/>
                <w:highlight w:val="none"/>
                <w14:textFill>
                  <w14:solidFill>
                    <w14:schemeClr w14:val="tx1"/>
                  </w14:solidFill>
                </w14:textFill>
              </w:rPr>
            </w:pPr>
            <w:r>
              <w:rPr>
                <w:rFonts w:hint="eastAsia" w:ascii="宋体" w:hAnsi="宋体" w:eastAsia="宋体"/>
                <w:b/>
                <w:color w:val="000000" w:themeColor="text1"/>
                <w:sz w:val="21"/>
                <w:highlight w:val="none"/>
                <w14:textFill>
                  <w14:solidFill>
                    <w14:schemeClr w14:val="tx1"/>
                  </w14:solidFill>
                </w14:textFill>
              </w:rPr>
              <w:t>项目所在地围场县农业空间“六区”图</w:t>
            </w:r>
          </w:p>
          <w:p w14:paraId="506689E5">
            <w:pPr>
              <w:pStyle w:val="2"/>
              <w:ind w:left="0" w:leftChars="0" w:firstLine="480" w:firstLineChars="200"/>
              <w:jc w:val="both"/>
              <w:rPr>
                <w:color w:val="000000" w:themeColor="text1"/>
                <w:w w:val="100"/>
                <w:sz w:val="24"/>
                <w:highlight w:val="none"/>
                <w14:textFill>
                  <w14:solidFill>
                    <w14:schemeClr w14:val="tx1"/>
                  </w14:solidFill>
                </w14:textFill>
              </w:rPr>
            </w:pPr>
            <w:r>
              <w:rPr>
                <w:rFonts w:hint="eastAsia"/>
                <w:color w:val="000000" w:themeColor="text1"/>
                <w:w w:val="100"/>
                <w:sz w:val="24"/>
                <w:highlight w:val="none"/>
                <w14:textFill>
                  <w14:solidFill>
                    <w14:schemeClr w14:val="tx1"/>
                  </w14:solidFill>
                </w14:textFill>
              </w:rPr>
              <w:t>项目位于围场县</w:t>
            </w:r>
            <w:r>
              <w:rPr>
                <w:rFonts w:hint="eastAsia"/>
                <w:color w:val="000000" w:themeColor="text1"/>
                <w:w w:val="100"/>
                <w:sz w:val="24"/>
                <w:highlight w:val="none"/>
                <w:lang w:val="en-US" w:eastAsia="zh-CN"/>
                <w14:textFill>
                  <w14:solidFill>
                    <w14:schemeClr w14:val="tx1"/>
                  </w14:solidFill>
                </w14:textFill>
              </w:rPr>
              <w:t>半截塔镇什八克村</w:t>
            </w:r>
            <w:r>
              <w:rPr>
                <w:rFonts w:hint="eastAsia"/>
                <w:color w:val="000000" w:themeColor="text1"/>
                <w:w w:val="100"/>
                <w:sz w:val="24"/>
                <w:highlight w:val="none"/>
                <w14:textFill>
                  <w14:solidFill>
                    <w14:schemeClr w14:val="tx1"/>
                  </w14:solidFill>
                </w14:textFill>
              </w:rPr>
              <w:t>，属于围场县“六区”中的“</w:t>
            </w:r>
            <w:r>
              <w:rPr>
                <w:rFonts w:hint="eastAsia"/>
                <w:color w:val="000000" w:themeColor="text1"/>
                <w:w w:val="100"/>
                <w:sz w:val="24"/>
                <w:highlight w:val="none"/>
                <w:lang w:val="en-US" w:eastAsia="zh-CN"/>
                <w14:textFill>
                  <w14:solidFill>
                    <w14:schemeClr w14:val="tx1"/>
                  </w14:solidFill>
                </w14:textFill>
              </w:rPr>
              <w:t>农业综合提升产业区</w:t>
            </w:r>
            <w:r>
              <w:rPr>
                <w:rFonts w:hint="eastAsia"/>
                <w:color w:val="000000" w:themeColor="text1"/>
                <w:w w:val="100"/>
                <w:sz w:val="24"/>
                <w:highlight w:val="none"/>
                <w14:textFill>
                  <w14:solidFill>
                    <w14:schemeClr w14:val="tx1"/>
                  </w14:solidFill>
                </w14:textFill>
              </w:rPr>
              <w:t>”。项目为</w:t>
            </w:r>
            <w:r>
              <w:rPr>
                <w:rFonts w:hint="eastAsia"/>
                <w:color w:val="000000" w:themeColor="text1"/>
                <w:w w:val="100"/>
                <w:sz w:val="24"/>
                <w:highlight w:val="none"/>
                <w:lang w:val="en-US" w:eastAsia="zh-CN"/>
                <w14:textFill>
                  <w14:solidFill>
                    <w14:schemeClr w14:val="tx1"/>
                  </w14:solidFill>
                </w14:textFill>
              </w:rPr>
              <w:t>2</w:t>
            </w:r>
            <w:r>
              <w:rPr>
                <w:rFonts w:hint="eastAsia"/>
                <w:color w:val="000000" w:themeColor="text1"/>
                <w:w w:val="100"/>
                <w:sz w:val="24"/>
                <w:highlight w:val="none"/>
                <w14:textFill>
                  <w14:solidFill>
                    <w14:schemeClr w14:val="tx1"/>
                  </w14:solidFill>
                </w14:textFill>
              </w:rPr>
              <w:t>t/h</w:t>
            </w:r>
            <w:r>
              <w:rPr>
                <w:rFonts w:hint="eastAsia"/>
                <w:color w:val="000000" w:themeColor="text1"/>
                <w:w w:val="100"/>
                <w:sz w:val="24"/>
                <w:highlight w:val="none"/>
                <w:lang w:val="en-US" w:eastAsia="zh-CN"/>
                <w14:textFill>
                  <w14:solidFill>
                    <w14:schemeClr w14:val="tx1"/>
                  </w14:solidFill>
                </w14:textFill>
              </w:rPr>
              <w:t>沼气</w:t>
            </w:r>
            <w:r>
              <w:rPr>
                <w:rFonts w:hint="eastAsia"/>
                <w:color w:val="000000" w:themeColor="text1"/>
                <w:w w:val="100"/>
                <w:sz w:val="24"/>
                <w:highlight w:val="none"/>
                <w14:textFill>
                  <w14:solidFill>
                    <w14:schemeClr w14:val="tx1"/>
                  </w14:solidFill>
                </w14:textFill>
              </w:rPr>
              <w:t>锅炉技术改造项目，为</w:t>
            </w:r>
            <w:r>
              <w:rPr>
                <w:rFonts w:hint="eastAsia"/>
                <w:color w:val="000000" w:themeColor="text1"/>
                <w:w w:val="100"/>
                <w:sz w:val="24"/>
                <w:highlight w:val="none"/>
                <w:lang w:val="en-US" w:eastAsia="zh-CN"/>
                <w14:textFill>
                  <w14:solidFill>
                    <w14:schemeClr w14:val="tx1"/>
                  </w14:solidFill>
                </w14:textFill>
              </w:rPr>
              <w:t>蛋白回收、污水处理站和生活提供热源</w:t>
            </w:r>
            <w:r>
              <w:rPr>
                <w:rFonts w:hint="eastAsia"/>
                <w:color w:val="000000" w:themeColor="text1"/>
                <w:w w:val="100"/>
                <w:sz w:val="24"/>
                <w:highlight w:val="none"/>
                <w14:textFill>
                  <w14:solidFill>
                    <w14:schemeClr w14:val="tx1"/>
                  </w14:solidFill>
                </w14:textFill>
              </w:rPr>
              <w:t>。项目服务于</w:t>
            </w:r>
            <w:r>
              <w:rPr>
                <w:rFonts w:hint="eastAsia"/>
                <w:color w:val="000000" w:themeColor="text1"/>
                <w:w w:val="100"/>
                <w:sz w:val="24"/>
                <w:highlight w:val="none"/>
                <w:lang w:val="en-US" w:eastAsia="zh-CN"/>
                <w14:textFill>
                  <w14:solidFill>
                    <w14:schemeClr w14:val="tx1"/>
                  </w14:solidFill>
                </w14:textFill>
              </w:rPr>
              <w:t>承德泓辉双合淀粉有限公司</w:t>
            </w:r>
            <w:r>
              <w:rPr>
                <w:rFonts w:hint="eastAsia"/>
                <w:color w:val="000000" w:themeColor="text1"/>
                <w:w w:val="100"/>
                <w:sz w:val="24"/>
                <w:highlight w:val="none"/>
                <w14:textFill>
                  <w14:solidFill>
                    <w14:schemeClr w14:val="tx1"/>
                  </w14:solidFill>
                </w14:textFill>
              </w:rPr>
              <w:t>现有淀粉生产线，符合区域“</w:t>
            </w:r>
            <w:r>
              <w:rPr>
                <w:rFonts w:hint="eastAsia"/>
                <w:color w:val="000000" w:themeColor="text1"/>
                <w:w w:val="100"/>
                <w:sz w:val="24"/>
                <w:highlight w:val="none"/>
                <w:lang w:val="en-US" w:eastAsia="zh-CN"/>
                <w14:textFill>
                  <w14:solidFill>
                    <w14:schemeClr w14:val="tx1"/>
                  </w14:solidFill>
                </w14:textFill>
              </w:rPr>
              <w:t>农业综合提升产业区</w:t>
            </w:r>
            <w:r>
              <w:rPr>
                <w:rFonts w:hint="eastAsia"/>
                <w:color w:val="000000" w:themeColor="text1"/>
                <w:w w:val="100"/>
                <w:sz w:val="24"/>
                <w:highlight w:val="none"/>
                <w14:textFill>
                  <w14:solidFill>
                    <w14:schemeClr w14:val="tx1"/>
                  </w14:solidFill>
                </w14:textFill>
              </w:rPr>
              <w:t>”的区域定位。符合围场县农业空间布局要求。</w:t>
            </w:r>
          </w:p>
          <w:p w14:paraId="6FB2F3E2">
            <w:pPr>
              <w:autoSpaceDE w:val="0"/>
              <w:autoSpaceDN w:val="0"/>
              <w:adjustRightInd w:val="0"/>
              <w:snapToGrid w:val="0"/>
              <w:spacing w:line="360" w:lineRule="auto"/>
              <w:ind w:firstLine="480" w:firstLineChars="200"/>
              <w:rPr>
                <w:sz w:val="24"/>
                <w:highlight w:val="none"/>
              </w:rPr>
            </w:pPr>
            <w:r>
              <w:rPr>
                <w:rFonts w:hint="eastAsia"/>
                <w:sz w:val="24"/>
                <w:highlight w:val="none"/>
              </w:rPr>
              <w:t>综上，项目符合《围场满族蒙古族自治县国土空间总体规划（</w:t>
            </w:r>
            <w:r>
              <w:rPr>
                <w:sz w:val="24"/>
                <w:highlight w:val="none"/>
              </w:rPr>
              <w:t>2021-2035</w:t>
            </w:r>
            <w:r>
              <w:rPr>
                <w:rFonts w:hint="eastAsia"/>
                <w:sz w:val="24"/>
                <w:highlight w:val="none"/>
              </w:rPr>
              <w:t>年）》的要求。</w:t>
            </w:r>
          </w:p>
          <w:p w14:paraId="3339E697">
            <w:pPr>
              <w:autoSpaceDE w:val="0"/>
              <w:autoSpaceDN w:val="0"/>
              <w:spacing w:line="360" w:lineRule="auto"/>
              <w:ind w:firstLine="482" w:firstLineChars="200"/>
              <w:rPr>
                <w:b/>
                <w:bCs/>
                <w:sz w:val="24"/>
                <w:highlight w:val="none"/>
              </w:rPr>
            </w:pPr>
            <w:r>
              <w:rPr>
                <w:rFonts w:hint="eastAsia"/>
                <w:b/>
                <w:bCs/>
                <w:sz w:val="24"/>
                <w:highlight w:val="none"/>
                <w:lang w:val="en-US" w:eastAsia="zh-CN"/>
              </w:rPr>
              <w:t>7</w:t>
            </w:r>
            <w:r>
              <w:rPr>
                <w:rFonts w:hint="eastAsia"/>
                <w:b/>
                <w:bCs/>
                <w:sz w:val="24"/>
                <w:highlight w:val="none"/>
              </w:rPr>
              <w:t>、相关政策符合性分析</w:t>
            </w:r>
          </w:p>
          <w:p w14:paraId="4F4FF19E">
            <w:pPr>
              <w:autoSpaceDE w:val="0"/>
              <w:autoSpaceDN w:val="0"/>
              <w:spacing w:line="360" w:lineRule="auto"/>
              <w:ind w:firstLine="482" w:firstLineChars="200"/>
              <w:rPr>
                <w:b/>
                <w:bCs/>
                <w:sz w:val="24"/>
                <w:highlight w:val="none"/>
              </w:rPr>
            </w:pPr>
            <w:r>
              <w:rPr>
                <w:rFonts w:hint="eastAsia"/>
                <w:b/>
                <w:bCs/>
                <w:sz w:val="24"/>
                <w:highlight w:val="none"/>
              </w:rPr>
              <w:t>（</w:t>
            </w:r>
            <w:r>
              <w:rPr>
                <w:b/>
                <w:bCs/>
                <w:sz w:val="24"/>
                <w:highlight w:val="none"/>
              </w:rPr>
              <w:t>1</w:t>
            </w:r>
            <w:r>
              <w:rPr>
                <w:rFonts w:hint="eastAsia"/>
                <w:b/>
                <w:bCs/>
                <w:sz w:val="24"/>
                <w:highlight w:val="none"/>
              </w:rPr>
              <w:t>）与《河北省生态环境厅办公室关于进一步做好沙区建设项目环境影响评价工作的通知》（冀环办字函〔</w:t>
            </w:r>
            <w:r>
              <w:rPr>
                <w:b/>
                <w:bCs/>
                <w:sz w:val="24"/>
                <w:highlight w:val="none"/>
              </w:rPr>
              <w:t>2023</w:t>
            </w:r>
            <w:r>
              <w:rPr>
                <w:rFonts w:hint="eastAsia"/>
                <w:b/>
                <w:bCs/>
                <w:sz w:val="24"/>
                <w:highlight w:val="none"/>
              </w:rPr>
              <w:t>〕</w:t>
            </w:r>
            <w:r>
              <w:rPr>
                <w:b/>
                <w:bCs/>
                <w:sz w:val="24"/>
                <w:highlight w:val="none"/>
              </w:rPr>
              <w:t>326</w:t>
            </w:r>
            <w:r>
              <w:rPr>
                <w:rFonts w:hint="eastAsia"/>
                <w:b/>
                <w:bCs/>
                <w:sz w:val="24"/>
                <w:highlight w:val="none"/>
              </w:rPr>
              <w:t>号）符合性分析</w:t>
            </w:r>
          </w:p>
          <w:p w14:paraId="48F50E2B">
            <w:pPr>
              <w:autoSpaceDE w:val="0"/>
              <w:autoSpaceDN w:val="0"/>
              <w:spacing w:line="360" w:lineRule="auto"/>
              <w:ind w:firstLine="480" w:firstLineChars="200"/>
              <w:rPr>
                <w:sz w:val="24"/>
                <w:highlight w:val="none"/>
              </w:rPr>
            </w:pPr>
            <w:r>
              <w:rPr>
                <w:rFonts w:hint="eastAsia"/>
                <w:sz w:val="24"/>
                <w:highlight w:val="none"/>
              </w:rPr>
              <w:t>根据《中华人民共和国防沙治沙法》：“第二十一条在沙化土地范围内从事开发建设活动的，必须事先就该项目可能对当地及相关地区生态产生的影响进行环境影响评价，依法提交环境影响报告；环境影响报告应当包括有关防沙治沙的内容。”</w:t>
            </w:r>
          </w:p>
          <w:p w14:paraId="7C2D644E">
            <w:pPr>
              <w:autoSpaceDE w:val="0"/>
              <w:autoSpaceDN w:val="0"/>
              <w:spacing w:line="360" w:lineRule="auto"/>
              <w:ind w:firstLine="480" w:firstLineChars="200"/>
              <w:rPr>
                <w:sz w:val="24"/>
                <w:highlight w:val="none"/>
              </w:rPr>
            </w:pPr>
            <w:r>
              <w:rPr>
                <w:rFonts w:hint="eastAsia"/>
                <w:sz w:val="24"/>
                <w:highlight w:val="none"/>
              </w:rPr>
              <w:t>河北省生态环境厅于</w:t>
            </w:r>
            <w:r>
              <w:rPr>
                <w:sz w:val="24"/>
                <w:highlight w:val="none"/>
              </w:rPr>
              <w:t>2023</w:t>
            </w:r>
            <w:r>
              <w:rPr>
                <w:rFonts w:hint="eastAsia"/>
                <w:sz w:val="24"/>
                <w:highlight w:val="none"/>
              </w:rPr>
              <w:t>年</w:t>
            </w:r>
            <w:r>
              <w:rPr>
                <w:sz w:val="24"/>
                <w:highlight w:val="none"/>
              </w:rPr>
              <w:t>9</w:t>
            </w:r>
            <w:r>
              <w:rPr>
                <w:rFonts w:hint="eastAsia"/>
                <w:sz w:val="24"/>
                <w:highlight w:val="none"/>
              </w:rPr>
              <w:t>月</w:t>
            </w:r>
            <w:r>
              <w:rPr>
                <w:sz w:val="24"/>
                <w:highlight w:val="none"/>
              </w:rPr>
              <w:t>27</w:t>
            </w:r>
            <w:r>
              <w:rPr>
                <w:rFonts w:hint="eastAsia"/>
                <w:sz w:val="24"/>
                <w:highlight w:val="none"/>
              </w:rPr>
              <w:t>日发布了《河北省生态环境厅办公室“关于进一步做好沙区建设项目环境影响评价工作的通知”》</w:t>
            </w:r>
            <w:r>
              <w:rPr>
                <w:sz w:val="24"/>
                <w:highlight w:val="none"/>
              </w:rPr>
              <w:t>(</w:t>
            </w:r>
            <w:r>
              <w:rPr>
                <w:rFonts w:hint="eastAsia"/>
                <w:sz w:val="24"/>
                <w:highlight w:val="none"/>
              </w:rPr>
              <w:t>冀环办字函〔</w:t>
            </w:r>
            <w:r>
              <w:rPr>
                <w:sz w:val="24"/>
                <w:highlight w:val="none"/>
              </w:rPr>
              <w:t>2023</w:t>
            </w:r>
            <w:r>
              <w:rPr>
                <w:rFonts w:hint="eastAsia"/>
                <w:sz w:val="24"/>
                <w:highlight w:val="none"/>
              </w:rPr>
              <w:t>〕</w:t>
            </w:r>
            <w:r>
              <w:rPr>
                <w:sz w:val="24"/>
                <w:highlight w:val="none"/>
              </w:rPr>
              <w:t>326</w:t>
            </w:r>
            <w:r>
              <w:rPr>
                <w:rFonts w:hint="eastAsia"/>
                <w:sz w:val="24"/>
                <w:highlight w:val="none"/>
              </w:rPr>
              <w:t>号），该文件要求：“严格审查沙区建设项目环评中有关防沙治沙内容，全面落实沙区生态环境保护工作。”</w:t>
            </w:r>
          </w:p>
          <w:p w14:paraId="746DF89F">
            <w:pPr>
              <w:autoSpaceDE w:val="0"/>
              <w:autoSpaceDN w:val="0"/>
              <w:spacing w:line="360" w:lineRule="auto"/>
              <w:ind w:firstLine="480" w:firstLineChars="200"/>
              <w:rPr>
                <w:sz w:val="24"/>
                <w:highlight w:val="none"/>
              </w:rPr>
            </w:pPr>
            <w:r>
              <w:rPr>
                <w:rFonts w:hint="eastAsia"/>
                <w:sz w:val="24"/>
                <w:highlight w:val="none"/>
              </w:rPr>
              <w:t>项目位于</w:t>
            </w:r>
            <w:r>
              <w:rPr>
                <w:rFonts w:hint="eastAsia"/>
                <w:sz w:val="24"/>
                <w:highlight w:val="none"/>
                <w:lang w:val="en-US" w:eastAsia="zh-CN"/>
              </w:rPr>
              <w:t>围场满族蒙古族自治县半截塔镇什八克村</w:t>
            </w:r>
            <w:r>
              <w:rPr>
                <w:rFonts w:hint="eastAsia"/>
                <w:sz w:val="24"/>
                <w:highlight w:val="none"/>
              </w:rPr>
              <w:t>，依据河北省“三线一单”信息管理平台中全省沙化土地矢量文件，经查询，项目不位于河北省沙化区范围内。</w:t>
            </w:r>
          </w:p>
          <w:p w14:paraId="39E7E85E">
            <w:pPr>
              <w:autoSpaceDE w:val="0"/>
              <w:autoSpaceDN w:val="0"/>
              <w:spacing w:line="360" w:lineRule="auto"/>
              <w:ind w:firstLine="480" w:firstLineChars="200"/>
              <w:rPr>
                <w:sz w:val="24"/>
                <w:highlight w:val="none"/>
              </w:rPr>
            </w:pPr>
            <w:r>
              <w:rPr>
                <w:rFonts w:hint="eastAsia"/>
                <w:sz w:val="24"/>
                <w:highlight w:val="none"/>
              </w:rPr>
              <w:t>项目与沙区位置关系如图。</w:t>
            </w:r>
          </w:p>
          <w:p w14:paraId="069195EF">
            <w:pPr>
              <w:autoSpaceDE w:val="0"/>
              <w:autoSpaceDN w:val="0"/>
              <w:spacing w:line="360" w:lineRule="auto"/>
              <w:jc w:val="center"/>
              <w:rPr>
                <w:sz w:val="24"/>
                <w:highlight w:val="none"/>
              </w:rPr>
            </w:pPr>
            <w:r>
              <w:rPr>
                <w:highlight w:val="none"/>
              </w:rPr>
              <w:drawing>
                <wp:inline distT="0" distB="0" distL="114300" distR="114300">
                  <wp:extent cx="5138420" cy="4318635"/>
                  <wp:effectExtent l="0" t="0" r="5080" b="571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14"/>
                          <a:stretch>
                            <a:fillRect/>
                          </a:stretch>
                        </pic:blipFill>
                        <pic:spPr>
                          <a:xfrm>
                            <a:off x="0" y="0"/>
                            <a:ext cx="5138420" cy="4318635"/>
                          </a:xfrm>
                          <a:prstGeom prst="rect">
                            <a:avLst/>
                          </a:prstGeom>
                          <a:noFill/>
                          <a:ln>
                            <a:noFill/>
                          </a:ln>
                        </pic:spPr>
                      </pic:pic>
                    </a:graphicData>
                  </a:graphic>
                </wp:inline>
              </w:drawing>
            </w:r>
          </w:p>
          <w:p w14:paraId="5A08A995">
            <w:pPr>
              <w:pStyle w:val="50"/>
              <w:widowControl w:val="0"/>
              <w:numPr>
                <w:ilvl w:val="0"/>
                <w:numId w:val="3"/>
              </w:numPr>
              <w:spacing w:line="360" w:lineRule="auto"/>
              <w:ind w:left="0" w:firstLine="0" w:firstLineChars="0"/>
              <w:jc w:val="center"/>
              <w:rPr>
                <w:rFonts w:ascii="宋体" w:hAnsi="宋体" w:eastAsia="宋体"/>
                <w:b/>
                <w:color w:val="000000" w:themeColor="text1"/>
                <w:sz w:val="21"/>
                <w:highlight w:val="none"/>
                <w14:textFill>
                  <w14:solidFill>
                    <w14:schemeClr w14:val="tx1"/>
                  </w14:solidFill>
                </w14:textFill>
              </w:rPr>
            </w:pPr>
            <w:r>
              <w:rPr>
                <w:rFonts w:hint="eastAsia" w:ascii="宋体" w:hAnsi="宋体" w:eastAsia="宋体"/>
                <w:b/>
                <w:color w:val="000000" w:themeColor="text1"/>
                <w:sz w:val="21"/>
                <w:highlight w:val="none"/>
                <w14:textFill>
                  <w14:solidFill>
                    <w14:schemeClr w14:val="tx1"/>
                  </w14:solidFill>
                </w14:textFill>
              </w:rPr>
              <w:t>项目与沙区位置关系图</w:t>
            </w:r>
          </w:p>
          <w:p w14:paraId="27BE424D">
            <w:pPr>
              <w:autoSpaceDE w:val="0"/>
              <w:autoSpaceDN w:val="0"/>
              <w:spacing w:line="360" w:lineRule="auto"/>
              <w:ind w:firstLine="480" w:firstLineChars="200"/>
              <w:rPr>
                <w:sz w:val="24"/>
                <w:highlight w:val="none"/>
              </w:rPr>
            </w:pPr>
          </w:p>
          <w:p w14:paraId="303CBD6E">
            <w:pPr>
              <w:spacing w:line="360" w:lineRule="auto"/>
              <w:ind w:firstLine="480"/>
              <w:rPr>
                <w:highlight w:val="none"/>
              </w:rPr>
            </w:pPr>
          </w:p>
        </w:tc>
      </w:tr>
    </w:tbl>
    <w:p w14:paraId="1B1DC956">
      <w:pPr>
        <w:spacing w:line="360" w:lineRule="auto"/>
        <w:outlineLvl w:val="0"/>
        <w:rPr>
          <w:rFonts w:eastAsia="黑体"/>
          <w:sz w:val="30"/>
          <w:highlight w:val="green"/>
        </w:rPr>
        <w:sectPr>
          <w:footerReference r:id="rId5" w:type="default"/>
          <w:pgSz w:w="11906" w:h="16838"/>
          <w:pgMar w:top="1701" w:right="1531" w:bottom="1701" w:left="1531" w:header="851" w:footer="1077" w:gutter="0"/>
          <w:pgNumType w:start="1"/>
          <w:cols w:space="720" w:num="1"/>
          <w:docGrid w:linePitch="312" w:charSpace="0"/>
        </w:sectPr>
      </w:pPr>
    </w:p>
    <w:p w14:paraId="71262A5C">
      <w:pPr>
        <w:pStyle w:val="19"/>
        <w:spacing w:before="120" w:beforeLines="50" w:beforeAutospacing="0" w:after="240" w:afterLines="100" w:afterAutospacing="0"/>
        <w:jc w:val="center"/>
        <w:outlineLvl w:val="0"/>
        <w:rPr>
          <w:rFonts w:ascii="黑体" w:hAnsi="黑体" w:eastAsia="黑体"/>
          <w:snapToGrid w:val="0"/>
          <w:sz w:val="30"/>
          <w:szCs w:val="30"/>
        </w:rPr>
      </w:pPr>
      <w:r>
        <w:rPr>
          <w:rFonts w:hint="eastAsia" w:ascii="黑体" w:hAnsi="黑体" w:eastAsia="黑体"/>
          <w:snapToGrid w:val="0"/>
          <w:sz w:val="30"/>
          <w:szCs w:val="30"/>
        </w:rPr>
        <w:t>二、建设项目工程分析</w:t>
      </w:r>
    </w:p>
    <w:tbl>
      <w:tblPr>
        <w:tblStyle w:val="23"/>
        <w:tblW w:w="898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14:paraId="12559F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823" w:type="dxa"/>
            <w:vAlign w:val="center"/>
          </w:tcPr>
          <w:p w14:paraId="6033FAC4">
            <w:pPr>
              <w:adjustRightInd w:val="0"/>
              <w:snapToGrid w:val="0"/>
              <w:jc w:val="center"/>
              <w:rPr>
                <w:rFonts w:ascii="宋体" w:hAnsi="宋体" w:cs="宋体"/>
                <w:kern w:val="0"/>
                <w:sz w:val="24"/>
                <w:highlight w:val="none"/>
              </w:rPr>
            </w:pPr>
            <w:r>
              <w:rPr>
                <w:rFonts w:hint="eastAsia" w:ascii="宋体" w:hAnsi="宋体" w:cs="宋体"/>
                <w:kern w:val="0"/>
                <w:sz w:val="24"/>
                <w:highlight w:val="none"/>
              </w:rPr>
              <w:t>建设内容</w:t>
            </w:r>
          </w:p>
        </w:tc>
        <w:tc>
          <w:tcPr>
            <w:tcW w:w="8161" w:type="dxa"/>
          </w:tcPr>
          <w:p w14:paraId="4528080C">
            <w:pPr>
              <w:spacing w:before="120" w:beforeLines="50" w:line="360" w:lineRule="auto"/>
              <w:ind w:firstLine="482" w:firstLineChars="200"/>
              <w:rPr>
                <w:rFonts w:hint="eastAsia" w:eastAsia="宋体"/>
                <w:b/>
                <w:sz w:val="24"/>
                <w:highlight w:val="none"/>
                <w:lang w:val="en-US" w:eastAsia="zh-CN"/>
              </w:rPr>
            </w:pPr>
            <w:r>
              <w:rPr>
                <w:b/>
                <w:sz w:val="24"/>
                <w:highlight w:val="none"/>
              </w:rPr>
              <w:t>1．</w:t>
            </w:r>
            <w:r>
              <w:rPr>
                <w:rFonts w:hint="eastAsia"/>
                <w:b/>
                <w:sz w:val="24"/>
                <w:highlight w:val="none"/>
              </w:rPr>
              <w:t>项目建设</w:t>
            </w:r>
            <w:r>
              <w:rPr>
                <w:rFonts w:hint="eastAsia"/>
                <w:b/>
                <w:sz w:val="24"/>
                <w:highlight w:val="none"/>
                <w:lang w:val="en-US" w:eastAsia="zh-CN"/>
              </w:rPr>
              <w:t>背景</w:t>
            </w:r>
          </w:p>
          <w:p w14:paraId="369CDD29">
            <w:pPr>
              <w:spacing w:line="360" w:lineRule="auto"/>
              <w:ind w:firstLine="480"/>
              <w:rPr>
                <w:rFonts w:hint="eastAsia"/>
                <w:sz w:val="24"/>
                <w:highlight w:val="none"/>
                <w:lang w:val="en-US" w:eastAsia="zh-CN"/>
              </w:rPr>
            </w:pPr>
            <w:r>
              <w:rPr>
                <w:rFonts w:hint="eastAsia"/>
                <w:kern w:val="0"/>
                <w:sz w:val="24"/>
                <w:highlight w:val="none"/>
                <w:lang w:val="en-US" w:eastAsia="zh-CN"/>
              </w:rPr>
              <w:t>承德泓辉双合淀粉有限公司现有11t/h生物质锅炉及4t/h生物质沼气两用锅炉各1台，园区集中供热实施后，现有两台锅炉转为备用。因此，在薯类产品集中生产季以及集中供暖期等园区热源厂集中供热期间，企业所在片区均为集中供热，承德泓辉双合淀粉有限公司现有两台锅炉无法使用，导致沼气资源无法消纳，造成沼气资源浪费，因此本项目新增2t/h沼气锅炉对沼气进行资源化利用；园区供热年运行时间为300天，每天8小时，本项目年运行90天，每天24小时；园区供热期间，采用2t/h沼气锅炉与园区供热相结合的方式为本公司蛋白回收、污水处理站和生活提供热源；不在园区供热期间，将采取11t/h生物质锅炉及4t/h生物质锅炉和2t/h沼气锅炉相结合的方式为本公司蛋白回收、污水处理站和生活提供热源。</w:t>
            </w:r>
          </w:p>
          <w:p w14:paraId="370AD4A7">
            <w:pPr>
              <w:spacing w:line="360" w:lineRule="auto"/>
              <w:ind w:firstLine="480"/>
              <w:rPr>
                <w:rFonts w:hint="default" w:eastAsia="宋体"/>
                <w:sz w:val="24"/>
                <w:highlight w:val="none"/>
                <w:lang w:val="en-US" w:eastAsia="zh-CN"/>
              </w:rPr>
            </w:pPr>
            <w:r>
              <w:rPr>
                <w:rFonts w:hint="eastAsia"/>
                <w:sz w:val="24"/>
                <w:highlight w:val="none"/>
                <w:lang w:val="en-US" w:eastAsia="zh-CN"/>
              </w:rPr>
              <w:t>本项目产生的废水依托承德泓辉双合淀粉有限公司污水处理站进行处理。</w:t>
            </w:r>
          </w:p>
          <w:p w14:paraId="0059FAAD">
            <w:pPr>
              <w:spacing w:line="360" w:lineRule="auto"/>
              <w:ind w:firstLine="482" w:firstLineChars="200"/>
              <w:rPr>
                <w:b/>
                <w:sz w:val="24"/>
                <w:highlight w:val="none"/>
              </w:rPr>
            </w:pPr>
            <w:r>
              <w:rPr>
                <w:b/>
                <w:sz w:val="24"/>
                <w:highlight w:val="none"/>
              </w:rPr>
              <w:t>2．</w:t>
            </w:r>
            <w:r>
              <w:rPr>
                <w:rFonts w:hint="eastAsia"/>
                <w:b/>
                <w:sz w:val="24"/>
                <w:highlight w:val="none"/>
              </w:rPr>
              <w:t>项目工程组成</w:t>
            </w:r>
          </w:p>
          <w:p w14:paraId="2BC97BD8">
            <w:pPr>
              <w:spacing w:line="360" w:lineRule="auto"/>
              <w:ind w:firstLine="480"/>
              <w:rPr>
                <w:sz w:val="24"/>
                <w:highlight w:val="none"/>
              </w:rPr>
            </w:pPr>
            <w:r>
              <w:rPr>
                <w:rFonts w:hint="eastAsia"/>
                <w:sz w:val="24"/>
                <w:highlight w:val="none"/>
              </w:rPr>
              <w:t>项目的主要工程组成情况详见下表：</w:t>
            </w:r>
          </w:p>
          <w:p w14:paraId="6BA0CBE2">
            <w:pPr>
              <w:pStyle w:val="50"/>
              <w:numPr>
                <w:ilvl w:val="0"/>
                <w:numId w:val="6"/>
              </w:numPr>
              <w:spacing w:line="360" w:lineRule="auto"/>
              <w:ind w:left="0" w:firstLine="0" w:firstLineChars="0"/>
              <w:jc w:val="center"/>
              <w:rPr>
                <w:rFonts w:ascii="宋体" w:hAnsi="宋体" w:eastAsia="宋体"/>
                <w:b/>
                <w:sz w:val="21"/>
                <w:highlight w:val="none"/>
              </w:rPr>
            </w:pPr>
            <w:r>
              <w:rPr>
                <w:rFonts w:hint="eastAsia" w:ascii="宋体" w:hAnsi="宋体" w:eastAsia="宋体"/>
                <w:b/>
                <w:sz w:val="21"/>
                <w:highlight w:val="none"/>
              </w:rPr>
              <w:t>项目工程组成情况一览表</w:t>
            </w:r>
          </w:p>
          <w:tbl>
            <w:tblPr>
              <w:tblStyle w:val="23"/>
              <w:tblW w:w="806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2"/>
              <w:gridCol w:w="791"/>
              <w:gridCol w:w="5515"/>
              <w:gridCol w:w="1094"/>
            </w:tblGrid>
            <w:tr w14:paraId="02AD65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2" w:type="dxa"/>
                  <w:tcMar>
                    <w:top w:w="0" w:type="dxa"/>
                    <w:left w:w="108" w:type="dxa"/>
                    <w:bottom w:w="0" w:type="dxa"/>
                    <w:right w:w="108" w:type="dxa"/>
                  </w:tcMar>
                  <w:vAlign w:val="center"/>
                </w:tcPr>
                <w:p w14:paraId="3C8FC8DA">
                  <w:pPr>
                    <w:jc w:val="center"/>
                    <w:rPr>
                      <w:b/>
                      <w:szCs w:val="21"/>
                      <w:highlight w:val="none"/>
                    </w:rPr>
                  </w:pPr>
                  <w:r>
                    <w:rPr>
                      <w:rFonts w:hint="eastAsia"/>
                      <w:b/>
                      <w:szCs w:val="21"/>
                      <w:highlight w:val="none"/>
                    </w:rPr>
                    <w:t>工程</w:t>
                  </w:r>
                </w:p>
                <w:p w14:paraId="7319386C">
                  <w:pPr>
                    <w:jc w:val="center"/>
                    <w:rPr>
                      <w:b/>
                      <w:szCs w:val="21"/>
                      <w:highlight w:val="none"/>
                    </w:rPr>
                  </w:pPr>
                  <w:r>
                    <w:rPr>
                      <w:rFonts w:hint="eastAsia"/>
                      <w:b/>
                      <w:szCs w:val="21"/>
                      <w:highlight w:val="none"/>
                    </w:rPr>
                    <w:t>类型</w:t>
                  </w:r>
                </w:p>
              </w:tc>
              <w:tc>
                <w:tcPr>
                  <w:tcW w:w="791" w:type="dxa"/>
                  <w:tcMar>
                    <w:top w:w="0" w:type="dxa"/>
                    <w:left w:w="108" w:type="dxa"/>
                    <w:bottom w:w="0" w:type="dxa"/>
                    <w:right w:w="108" w:type="dxa"/>
                  </w:tcMar>
                  <w:vAlign w:val="center"/>
                </w:tcPr>
                <w:p w14:paraId="29967049">
                  <w:pPr>
                    <w:jc w:val="center"/>
                    <w:rPr>
                      <w:b/>
                      <w:szCs w:val="21"/>
                      <w:highlight w:val="none"/>
                    </w:rPr>
                  </w:pPr>
                  <w:r>
                    <w:rPr>
                      <w:rFonts w:hint="eastAsia"/>
                      <w:b/>
                      <w:szCs w:val="21"/>
                      <w:highlight w:val="none"/>
                    </w:rPr>
                    <w:t>名称</w:t>
                  </w:r>
                </w:p>
              </w:tc>
              <w:tc>
                <w:tcPr>
                  <w:tcW w:w="5515" w:type="dxa"/>
                  <w:tcMar>
                    <w:top w:w="0" w:type="dxa"/>
                    <w:left w:w="108" w:type="dxa"/>
                    <w:bottom w:w="0" w:type="dxa"/>
                    <w:right w:w="108" w:type="dxa"/>
                  </w:tcMar>
                  <w:vAlign w:val="center"/>
                </w:tcPr>
                <w:p w14:paraId="0B5E6D79">
                  <w:pPr>
                    <w:jc w:val="center"/>
                    <w:rPr>
                      <w:b/>
                      <w:szCs w:val="21"/>
                      <w:highlight w:val="none"/>
                    </w:rPr>
                  </w:pPr>
                  <w:r>
                    <w:rPr>
                      <w:rFonts w:hint="eastAsia"/>
                      <w:b/>
                      <w:szCs w:val="21"/>
                      <w:highlight w:val="none"/>
                    </w:rPr>
                    <w:t>建设内容及规模</w:t>
                  </w:r>
                </w:p>
              </w:tc>
              <w:tc>
                <w:tcPr>
                  <w:tcW w:w="1094" w:type="dxa"/>
                  <w:tcMar>
                    <w:top w:w="0" w:type="dxa"/>
                    <w:left w:w="108" w:type="dxa"/>
                    <w:bottom w:w="0" w:type="dxa"/>
                    <w:right w:w="108" w:type="dxa"/>
                  </w:tcMar>
                  <w:vAlign w:val="center"/>
                </w:tcPr>
                <w:p w14:paraId="409A8357">
                  <w:pPr>
                    <w:jc w:val="center"/>
                    <w:rPr>
                      <w:b/>
                      <w:szCs w:val="21"/>
                      <w:highlight w:val="none"/>
                    </w:rPr>
                  </w:pPr>
                  <w:r>
                    <w:rPr>
                      <w:rFonts w:hint="eastAsia"/>
                      <w:b/>
                      <w:szCs w:val="21"/>
                      <w:highlight w:val="none"/>
                    </w:rPr>
                    <w:t>备注</w:t>
                  </w:r>
                </w:p>
              </w:tc>
            </w:tr>
            <w:tr w14:paraId="325982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2" w:type="dxa"/>
                  <w:tcMar>
                    <w:top w:w="0" w:type="dxa"/>
                    <w:left w:w="108" w:type="dxa"/>
                    <w:bottom w:w="0" w:type="dxa"/>
                    <w:right w:w="108" w:type="dxa"/>
                  </w:tcMar>
                  <w:vAlign w:val="center"/>
                </w:tcPr>
                <w:p w14:paraId="1229BB21">
                  <w:pPr>
                    <w:jc w:val="center"/>
                    <w:rPr>
                      <w:b/>
                      <w:szCs w:val="21"/>
                      <w:highlight w:val="none"/>
                    </w:rPr>
                  </w:pPr>
                  <w:r>
                    <w:rPr>
                      <w:rFonts w:hint="eastAsia"/>
                      <w:szCs w:val="21"/>
                      <w:highlight w:val="none"/>
                    </w:rPr>
                    <w:t>主体工程</w:t>
                  </w:r>
                </w:p>
              </w:tc>
              <w:tc>
                <w:tcPr>
                  <w:tcW w:w="791" w:type="dxa"/>
                  <w:tcMar>
                    <w:top w:w="0" w:type="dxa"/>
                    <w:left w:w="108" w:type="dxa"/>
                    <w:bottom w:w="0" w:type="dxa"/>
                    <w:right w:w="108" w:type="dxa"/>
                  </w:tcMar>
                  <w:vAlign w:val="center"/>
                </w:tcPr>
                <w:p w14:paraId="65FCA95E">
                  <w:pPr>
                    <w:jc w:val="center"/>
                    <w:rPr>
                      <w:rFonts w:hint="eastAsia" w:eastAsia="宋体"/>
                      <w:b/>
                      <w:szCs w:val="21"/>
                      <w:highlight w:val="none"/>
                      <w:lang w:eastAsia="zh-CN"/>
                    </w:rPr>
                  </w:pPr>
                  <w:r>
                    <w:rPr>
                      <w:rFonts w:hint="eastAsia"/>
                      <w:szCs w:val="21"/>
                      <w:highlight w:val="none"/>
                      <w:lang w:val="en-US" w:eastAsia="zh-CN"/>
                    </w:rPr>
                    <w:t>锅炉房</w:t>
                  </w:r>
                </w:p>
              </w:tc>
              <w:tc>
                <w:tcPr>
                  <w:tcW w:w="5515" w:type="dxa"/>
                  <w:tcMar>
                    <w:top w:w="0" w:type="dxa"/>
                    <w:left w:w="108" w:type="dxa"/>
                    <w:bottom w:w="0" w:type="dxa"/>
                    <w:right w:w="108" w:type="dxa"/>
                  </w:tcMar>
                  <w:vAlign w:val="center"/>
                </w:tcPr>
                <w:p w14:paraId="28FA66D2">
                  <w:pPr>
                    <w:jc w:val="center"/>
                    <w:rPr>
                      <w:rFonts w:hint="default" w:eastAsia="宋体"/>
                      <w:b w:val="0"/>
                      <w:bCs/>
                      <w:szCs w:val="21"/>
                      <w:highlight w:val="none"/>
                      <w:lang w:val="en-US" w:eastAsia="zh-CN"/>
                    </w:rPr>
                  </w:pPr>
                  <w:r>
                    <w:rPr>
                      <w:rFonts w:hint="eastAsia"/>
                      <w:b w:val="0"/>
                      <w:bCs/>
                      <w:szCs w:val="21"/>
                      <w:highlight w:val="none"/>
                      <w:lang w:val="en-US" w:eastAsia="zh-CN"/>
                    </w:rPr>
                    <w:t>1座，一层，建筑面积351m</w:t>
                  </w:r>
                  <w:r>
                    <w:rPr>
                      <w:rFonts w:hint="eastAsia"/>
                      <w:b w:val="0"/>
                      <w:bCs/>
                      <w:szCs w:val="21"/>
                      <w:highlight w:val="none"/>
                      <w:vertAlign w:val="superscript"/>
                      <w:lang w:val="en-US" w:eastAsia="zh-CN"/>
                    </w:rPr>
                    <w:t>2</w:t>
                  </w:r>
                  <w:r>
                    <w:rPr>
                      <w:rFonts w:hint="eastAsia"/>
                      <w:b w:val="0"/>
                      <w:bCs/>
                      <w:szCs w:val="21"/>
                      <w:highlight w:val="none"/>
                      <w:lang w:val="en-US" w:eastAsia="zh-CN"/>
                    </w:rPr>
                    <w:t>，高9.1m，内设2t/h沼气锅炉、脱硫罐、软水制备设备等。</w:t>
                  </w:r>
                </w:p>
              </w:tc>
              <w:tc>
                <w:tcPr>
                  <w:tcW w:w="1094" w:type="dxa"/>
                  <w:tcMar>
                    <w:top w:w="0" w:type="dxa"/>
                    <w:left w:w="108" w:type="dxa"/>
                    <w:bottom w:w="0" w:type="dxa"/>
                    <w:right w:w="108" w:type="dxa"/>
                  </w:tcMar>
                  <w:vAlign w:val="center"/>
                </w:tcPr>
                <w:p w14:paraId="294760CE">
                  <w:pPr>
                    <w:jc w:val="center"/>
                    <w:rPr>
                      <w:rFonts w:hint="eastAsia" w:eastAsia="宋体"/>
                      <w:b w:val="0"/>
                      <w:bCs/>
                      <w:szCs w:val="21"/>
                      <w:highlight w:val="none"/>
                      <w:lang w:val="en-US" w:eastAsia="zh-CN"/>
                    </w:rPr>
                  </w:pPr>
                  <w:r>
                    <w:rPr>
                      <w:rFonts w:hint="eastAsia"/>
                      <w:b w:val="0"/>
                      <w:bCs/>
                      <w:szCs w:val="21"/>
                      <w:highlight w:val="none"/>
                      <w:lang w:val="en-US" w:eastAsia="zh-CN"/>
                    </w:rPr>
                    <w:t>新建</w:t>
                  </w:r>
                </w:p>
              </w:tc>
            </w:tr>
            <w:tr w14:paraId="2D5BEE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62" w:type="dxa"/>
                  <w:vMerge w:val="restart"/>
                  <w:tcMar>
                    <w:top w:w="0" w:type="dxa"/>
                    <w:left w:w="108" w:type="dxa"/>
                    <w:bottom w:w="0" w:type="dxa"/>
                    <w:right w:w="108" w:type="dxa"/>
                  </w:tcMar>
                  <w:vAlign w:val="center"/>
                </w:tcPr>
                <w:p w14:paraId="1D3806E7">
                  <w:pPr>
                    <w:jc w:val="center"/>
                    <w:rPr>
                      <w:szCs w:val="21"/>
                      <w:highlight w:val="none"/>
                    </w:rPr>
                  </w:pPr>
                  <w:r>
                    <w:rPr>
                      <w:rFonts w:hint="eastAsia"/>
                      <w:szCs w:val="21"/>
                      <w:highlight w:val="none"/>
                    </w:rPr>
                    <w:t>公用工程</w:t>
                  </w:r>
                </w:p>
              </w:tc>
              <w:tc>
                <w:tcPr>
                  <w:tcW w:w="791" w:type="dxa"/>
                  <w:tcMar>
                    <w:top w:w="0" w:type="dxa"/>
                    <w:left w:w="108" w:type="dxa"/>
                    <w:bottom w:w="0" w:type="dxa"/>
                    <w:right w:w="108" w:type="dxa"/>
                  </w:tcMar>
                  <w:vAlign w:val="center"/>
                </w:tcPr>
                <w:p w14:paraId="096D847E">
                  <w:pPr>
                    <w:jc w:val="center"/>
                    <w:rPr>
                      <w:szCs w:val="21"/>
                      <w:highlight w:val="none"/>
                    </w:rPr>
                  </w:pPr>
                  <w:r>
                    <w:rPr>
                      <w:rFonts w:hint="eastAsia"/>
                      <w:szCs w:val="21"/>
                      <w:highlight w:val="none"/>
                    </w:rPr>
                    <w:t>给水</w:t>
                  </w:r>
                </w:p>
              </w:tc>
              <w:tc>
                <w:tcPr>
                  <w:tcW w:w="5515" w:type="dxa"/>
                  <w:tcMar>
                    <w:top w:w="0" w:type="dxa"/>
                    <w:left w:w="108" w:type="dxa"/>
                    <w:bottom w:w="0" w:type="dxa"/>
                    <w:right w:w="108" w:type="dxa"/>
                  </w:tcMar>
                  <w:vAlign w:val="center"/>
                </w:tcPr>
                <w:p w14:paraId="49808E92">
                  <w:pPr>
                    <w:widowControl/>
                    <w:snapToGrid w:val="0"/>
                    <w:jc w:val="center"/>
                    <w:rPr>
                      <w:szCs w:val="21"/>
                      <w:highlight w:val="none"/>
                    </w:rPr>
                  </w:pPr>
                  <w:r>
                    <w:rPr>
                      <w:rFonts w:hint="eastAsia"/>
                      <w:szCs w:val="21"/>
                      <w:highlight w:val="none"/>
                      <w:lang w:val="en-US" w:eastAsia="zh-CN"/>
                    </w:rPr>
                    <w:t>自备水井</w:t>
                  </w:r>
                </w:p>
              </w:tc>
              <w:tc>
                <w:tcPr>
                  <w:tcW w:w="1094" w:type="dxa"/>
                  <w:tcMar>
                    <w:top w:w="0" w:type="dxa"/>
                    <w:left w:w="108" w:type="dxa"/>
                    <w:bottom w:w="0" w:type="dxa"/>
                    <w:right w:w="108" w:type="dxa"/>
                  </w:tcMar>
                  <w:vAlign w:val="center"/>
                </w:tcPr>
                <w:p w14:paraId="63EA44BD">
                  <w:pPr>
                    <w:widowControl/>
                    <w:snapToGrid w:val="0"/>
                    <w:jc w:val="center"/>
                    <w:rPr>
                      <w:rFonts w:hint="eastAsia" w:eastAsia="宋体"/>
                      <w:szCs w:val="21"/>
                      <w:highlight w:val="none"/>
                      <w:lang w:val="en-US" w:eastAsia="zh-CN"/>
                    </w:rPr>
                  </w:pPr>
                  <w:r>
                    <w:rPr>
                      <w:rFonts w:hint="eastAsia"/>
                      <w:szCs w:val="21"/>
                      <w:highlight w:val="none"/>
                      <w:lang w:val="en-US" w:eastAsia="zh-CN"/>
                    </w:rPr>
                    <w:t>/</w:t>
                  </w:r>
                </w:p>
              </w:tc>
            </w:tr>
            <w:tr w14:paraId="3D3205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2" w:type="dxa"/>
                  <w:vMerge w:val="continue"/>
                  <w:vAlign w:val="center"/>
                </w:tcPr>
                <w:p w14:paraId="3AD4283F">
                  <w:pPr>
                    <w:widowControl/>
                    <w:jc w:val="center"/>
                    <w:rPr>
                      <w:rFonts w:eastAsiaTheme="minorEastAsia"/>
                      <w:szCs w:val="21"/>
                      <w:highlight w:val="none"/>
                    </w:rPr>
                  </w:pPr>
                </w:p>
              </w:tc>
              <w:tc>
                <w:tcPr>
                  <w:tcW w:w="791" w:type="dxa"/>
                  <w:tcMar>
                    <w:top w:w="0" w:type="dxa"/>
                    <w:left w:w="108" w:type="dxa"/>
                    <w:bottom w:w="0" w:type="dxa"/>
                    <w:right w:w="108" w:type="dxa"/>
                  </w:tcMar>
                  <w:vAlign w:val="center"/>
                </w:tcPr>
                <w:p w14:paraId="7818D725">
                  <w:pPr>
                    <w:pStyle w:val="58"/>
                    <w:spacing w:line="240" w:lineRule="auto"/>
                    <w:rPr>
                      <w:highlight w:val="none"/>
                    </w:rPr>
                  </w:pPr>
                  <w:r>
                    <w:rPr>
                      <w:rFonts w:hint="eastAsia"/>
                      <w:highlight w:val="none"/>
                    </w:rPr>
                    <w:t>排水</w:t>
                  </w:r>
                </w:p>
              </w:tc>
              <w:tc>
                <w:tcPr>
                  <w:tcW w:w="5515" w:type="dxa"/>
                  <w:tcMar>
                    <w:top w:w="0" w:type="dxa"/>
                    <w:left w:w="108" w:type="dxa"/>
                    <w:bottom w:w="0" w:type="dxa"/>
                    <w:right w:w="108" w:type="dxa"/>
                  </w:tcMar>
                  <w:vAlign w:val="center"/>
                </w:tcPr>
                <w:p w14:paraId="6C02939C">
                  <w:pPr>
                    <w:widowControl/>
                    <w:snapToGrid w:val="0"/>
                    <w:jc w:val="center"/>
                    <w:rPr>
                      <w:szCs w:val="21"/>
                      <w:highlight w:val="none"/>
                    </w:rPr>
                  </w:pPr>
                  <w:r>
                    <w:rPr>
                      <w:rFonts w:hint="eastAsia"/>
                      <w:szCs w:val="21"/>
                      <w:highlight w:val="none"/>
                      <w:lang w:val="en-US" w:eastAsia="zh-CN"/>
                    </w:rPr>
                    <w:t>锅炉排水和离子交换树脂反冲洗废水</w:t>
                  </w:r>
                  <w:r>
                    <w:rPr>
                      <w:rFonts w:hint="eastAsia"/>
                      <w:szCs w:val="21"/>
                      <w:highlight w:val="none"/>
                    </w:rPr>
                    <w:t>经</w:t>
                  </w:r>
                  <w:r>
                    <w:rPr>
                      <w:rFonts w:hint="eastAsia"/>
                      <w:szCs w:val="21"/>
                      <w:highlight w:val="none"/>
                      <w:lang w:val="en-US" w:eastAsia="zh-CN"/>
                    </w:rPr>
                    <w:t>承德泓辉双合淀粉有限公司污水处理站处理达标后排入蚁蚂吐河</w:t>
                  </w:r>
                  <w:r>
                    <w:rPr>
                      <w:rFonts w:hint="eastAsia"/>
                      <w:szCs w:val="21"/>
                      <w:highlight w:val="none"/>
                    </w:rPr>
                    <w:t>。</w:t>
                  </w:r>
                </w:p>
              </w:tc>
              <w:tc>
                <w:tcPr>
                  <w:tcW w:w="1094" w:type="dxa"/>
                  <w:tcMar>
                    <w:top w:w="0" w:type="dxa"/>
                    <w:left w:w="108" w:type="dxa"/>
                    <w:bottom w:w="0" w:type="dxa"/>
                    <w:right w:w="108" w:type="dxa"/>
                  </w:tcMar>
                  <w:vAlign w:val="center"/>
                </w:tcPr>
                <w:p w14:paraId="39E5BA8A">
                  <w:pPr>
                    <w:widowControl/>
                    <w:snapToGrid w:val="0"/>
                    <w:jc w:val="center"/>
                    <w:rPr>
                      <w:szCs w:val="21"/>
                      <w:highlight w:val="none"/>
                    </w:rPr>
                  </w:pPr>
                  <w:r>
                    <w:rPr>
                      <w:szCs w:val="21"/>
                      <w:highlight w:val="none"/>
                    </w:rPr>
                    <w:t>/</w:t>
                  </w:r>
                </w:p>
              </w:tc>
            </w:tr>
            <w:tr w14:paraId="110234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2" w:type="dxa"/>
                  <w:vMerge w:val="continue"/>
                  <w:vAlign w:val="center"/>
                </w:tcPr>
                <w:p w14:paraId="42FC1B15">
                  <w:pPr>
                    <w:widowControl/>
                    <w:jc w:val="center"/>
                    <w:rPr>
                      <w:rFonts w:eastAsiaTheme="minorEastAsia"/>
                      <w:szCs w:val="21"/>
                      <w:highlight w:val="none"/>
                    </w:rPr>
                  </w:pPr>
                </w:p>
              </w:tc>
              <w:tc>
                <w:tcPr>
                  <w:tcW w:w="791" w:type="dxa"/>
                  <w:tcMar>
                    <w:top w:w="0" w:type="dxa"/>
                    <w:left w:w="108" w:type="dxa"/>
                    <w:bottom w:w="0" w:type="dxa"/>
                    <w:right w:w="108" w:type="dxa"/>
                  </w:tcMar>
                  <w:vAlign w:val="center"/>
                </w:tcPr>
                <w:p w14:paraId="5CA7C8C6">
                  <w:pPr>
                    <w:jc w:val="center"/>
                    <w:rPr>
                      <w:szCs w:val="21"/>
                      <w:highlight w:val="none"/>
                    </w:rPr>
                  </w:pPr>
                  <w:r>
                    <w:rPr>
                      <w:rFonts w:hint="eastAsia"/>
                      <w:szCs w:val="21"/>
                      <w:highlight w:val="none"/>
                    </w:rPr>
                    <w:t>供电</w:t>
                  </w:r>
                </w:p>
              </w:tc>
              <w:tc>
                <w:tcPr>
                  <w:tcW w:w="5515" w:type="dxa"/>
                  <w:tcMar>
                    <w:top w:w="0" w:type="dxa"/>
                    <w:left w:w="108" w:type="dxa"/>
                    <w:bottom w:w="0" w:type="dxa"/>
                    <w:right w:w="108" w:type="dxa"/>
                  </w:tcMar>
                  <w:vAlign w:val="center"/>
                </w:tcPr>
                <w:p w14:paraId="2BCE2D19">
                  <w:pPr>
                    <w:jc w:val="center"/>
                    <w:rPr>
                      <w:szCs w:val="21"/>
                      <w:highlight w:val="none"/>
                    </w:rPr>
                  </w:pPr>
                  <w:r>
                    <w:rPr>
                      <w:rFonts w:hint="eastAsia" w:ascii="Times New Roman" w:hAnsi="Times New Roman" w:eastAsia="宋体" w:cs="Times New Roman"/>
                      <w:bCs/>
                      <w:kern w:val="44"/>
                      <w:sz w:val="21"/>
                      <w:szCs w:val="21"/>
                      <w:highlight w:val="none"/>
                      <w:lang w:val="en-US" w:eastAsia="zh-CN" w:bidi="ar-SA"/>
                    </w:rPr>
                    <w:t>由龙头山变电站，厂区内自备变压器。</w:t>
                  </w:r>
                </w:p>
              </w:tc>
              <w:tc>
                <w:tcPr>
                  <w:tcW w:w="1094" w:type="dxa"/>
                  <w:tcMar>
                    <w:top w:w="0" w:type="dxa"/>
                    <w:left w:w="108" w:type="dxa"/>
                    <w:bottom w:w="0" w:type="dxa"/>
                    <w:right w:w="108" w:type="dxa"/>
                  </w:tcMar>
                  <w:vAlign w:val="center"/>
                </w:tcPr>
                <w:p w14:paraId="1FA4D168">
                  <w:pPr>
                    <w:jc w:val="center"/>
                    <w:rPr>
                      <w:szCs w:val="21"/>
                      <w:highlight w:val="none"/>
                    </w:rPr>
                  </w:pPr>
                  <w:r>
                    <w:rPr>
                      <w:szCs w:val="21"/>
                      <w:highlight w:val="none"/>
                    </w:rPr>
                    <w:t>/</w:t>
                  </w:r>
                </w:p>
              </w:tc>
            </w:tr>
            <w:tr w14:paraId="5DECA5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2" w:type="dxa"/>
                  <w:vMerge w:val="continue"/>
                  <w:vAlign w:val="center"/>
                </w:tcPr>
                <w:p w14:paraId="1CA636A0">
                  <w:pPr>
                    <w:widowControl/>
                    <w:jc w:val="center"/>
                    <w:rPr>
                      <w:rFonts w:eastAsiaTheme="minorEastAsia"/>
                      <w:szCs w:val="21"/>
                      <w:highlight w:val="none"/>
                    </w:rPr>
                  </w:pPr>
                </w:p>
              </w:tc>
              <w:tc>
                <w:tcPr>
                  <w:tcW w:w="791" w:type="dxa"/>
                  <w:tcMar>
                    <w:top w:w="0" w:type="dxa"/>
                    <w:left w:w="108" w:type="dxa"/>
                    <w:bottom w:w="0" w:type="dxa"/>
                    <w:right w:w="108" w:type="dxa"/>
                  </w:tcMar>
                  <w:vAlign w:val="center"/>
                </w:tcPr>
                <w:p w14:paraId="2F8A5D36">
                  <w:pPr>
                    <w:pStyle w:val="58"/>
                    <w:spacing w:line="240" w:lineRule="auto"/>
                    <w:rPr>
                      <w:highlight w:val="none"/>
                    </w:rPr>
                  </w:pPr>
                  <w:r>
                    <w:rPr>
                      <w:rFonts w:hint="eastAsia"/>
                      <w:highlight w:val="none"/>
                    </w:rPr>
                    <w:t>供热</w:t>
                  </w:r>
                </w:p>
              </w:tc>
              <w:tc>
                <w:tcPr>
                  <w:tcW w:w="5515" w:type="dxa"/>
                  <w:tcMar>
                    <w:top w:w="0" w:type="dxa"/>
                    <w:left w:w="108" w:type="dxa"/>
                    <w:bottom w:w="0" w:type="dxa"/>
                    <w:right w:w="108" w:type="dxa"/>
                  </w:tcMar>
                  <w:vAlign w:val="center"/>
                </w:tcPr>
                <w:p w14:paraId="6A26A639">
                  <w:pPr>
                    <w:pStyle w:val="58"/>
                    <w:spacing w:line="240" w:lineRule="auto"/>
                    <w:rPr>
                      <w:rFonts w:hint="default" w:eastAsia="宋体"/>
                      <w:bCs/>
                      <w:kern w:val="44"/>
                      <w:highlight w:val="none"/>
                      <w:lang w:val="en-US" w:eastAsia="zh-CN"/>
                    </w:rPr>
                  </w:pPr>
                  <w:r>
                    <w:rPr>
                      <w:rFonts w:hint="eastAsia"/>
                      <w:bCs/>
                      <w:kern w:val="44"/>
                      <w:highlight w:val="none"/>
                      <w:lang w:val="en-US" w:eastAsia="zh-CN"/>
                    </w:rPr>
                    <w:t>锅炉房不需要供热</w:t>
                  </w:r>
                </w:p>
              </w:tc>
              <w:tc>
                <w:tcPr>
                  <w:tcW w:w="1094" w:type="dxa"/>
                  <w:tcMar>
                    <w:top w:w="0" w:type="dxa"/>
                    <w:left w:w="108" w:type="dxa"/>
                    <w:bottom w:w="0" w:type="dxa"/>
                    <w:right w:w="108" w:type="dxa"/>
                  </w:tcMar>
                  <w:vAlign w:val="center"/>
                </w:tcPr>
                <w:p w14:paraId="67C3CF17">
                  <w:pPr>
                    <w:pStyle w:val="58"/>
                    <w:spacing w:line="240" w:lineRule="auto"/>
                    <w:rPr>
                      <w:bCs/>
                      <w:kern w:val="44"/>
                      <w:highlight w:val="none"/>
                    </w:rPr>
                  </w:pPr>
                  <w:r>
                    <w:rPr>
                      <w:bCs/>
                      <w:kern w:val="44"/>
                      <w:highlight w:val="none"/>
                    </w:rPr>
                    <w:t>/</w:t>
                  </w:r>
                </w:p>
              </w:tc>
            </w:tr>
            <w:tr w14:paraId="0FB44B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2" w:type="dxa"/>
                  <w:vMerge w:val="restart"/>
                  <w:vAlign w:val="center"/>
                </w:tcPr>
                <w:p w14:paraId="59A5A711">
                  <w:pPr>
                    <w:jc w:val="center"/>
                    <w:rPr>
                      <w:rFonts w:eastAsiaTheme="minorEastAsia"/>
                      <w:szCs w:val="21"/>
                      <w:highlight w:val="none"/>
                    </w:rPr>
                  </w:pPr>
                  <w:r>
                    <w:rPr>
                      <w:rFonts w:hint="eastAsia"/>
                      <w:szCs w:val="21"/>
                      <w:highlight w:val="none"/>
                    </w:rPr>
                    <w:t>环保工程</w:t>
                  </w:r>
                </w:p>
              </w:tc>
              <w:tc>
                <w:tcPr>
                  <w:tcW w:w="791" w:type="dxa"/>
                  <w:tcMar>
                    <w:top w:w="0" w:type="dxa"/>
                    <w:left w:w="108" w:type="dxa"/>
                    <w:bottom w:w="0" w:type="dxa"/>
                    <w:right w:w="108" w:type="dxa"/>
                  </w:tcMar>
                  <w:vAlign w:val="center"/>
                </w:tcPr>
                <w:p w14:paraId="430714FC">
                  <w:pPr>
                    <w:snapToGrid w:val="0"/>
                    <w:jc w:val="center"/>
                    <w:rPr>
                      <w:highlight w:val="none"/>
                    </w:rPr>
                  </w:pPr>
                  <w:r>
                    <w:rPr>
                      <w:rFonts w:hint="eastAsia"/>
                      <w:szCs w:val="21"/>
                      <w:highlight w:val="none"/>
                    </w:rPr>
                    <w:t>废气</w:t>
                  </w:r>
                </w:p>
              </w:tc>
              <w:tc>
                <w:tcPr>
                  <w:tcW w:w="5515" w:type="dxa"/>
                  <w:tcMar>
                    <w:top w:w="0" w:type="dxa"/>
                    <w:left w:w="108" w:type="dxa"/>
                    <w:bottom w:w="0" w:type="dxa"/>
                    <w:right w:w="108" w:type="dxa"/>
                  </w:tcMar>
                  <w:vAlign w:val="center"/>
                </w:tcPr>
                <w:p w14:paraId="01BCF146">
                  <w:pPr>
                    <w:pStyle w:val="58"/>
                    <w:spacing w:line="240" w:lineRule="auto"/>
                    <w:rPr>
                      <w:bCs/>
                      <w:kern w:val="44"/>
                      <w:highlight w:val="none"/>
                    </w:rPr>
                  </w:pPr>
                  <w:r>
                    <w:rPr>
                      <w:rFonts w:hint="eastAsia" w:ascii="Times New Roman" w:hAnsi="Times New Roman" w:eastAsia="宋体" w:cs="Times New Roman"/>
                      <w:color w:val="auto"/>
                      <w:highlight w:val="none"/>
                      <w:lang w:val="en-US" w:eastAsia="zh-CN"/>
                    </w:rPr>
                    <w:t>经低氮燃烧器处理后由</w:t>
                  </w:r>
                  <w:r>
                    <w:rPr>
                      <w:rFonts w:ascii="Times New Roman" w:hAnsi="Times New Roman" w:eastAsia="宋体" w:cs="Times New Roman"/>
                      <w:color w:val="auto"/>
                      <w:highlight w:val="none"/>
                    </w:rPr>
                    <w:t>一根</w:t>
                  </w:r>
                  <w:r>
                    <w:rPr>
                      <w:rFonts w:hint="eastAsia" w:cs="Times New Roman"/>
                      <w:color w:val="auto"/>
                      <w:highlight w:val="none"/>
                      <w:lang w:val="en-US" w:eastAsia="zh-CN"/>
                    </w:rPr>
                    <w:t>15</w:t>
                  </w:r>
                  <w:r>
                    <w:rPr>
                      <w:rFonts w:ascii="Times New Roman" w:hAnsi="Times New Roman" w:eastAsia="宋体" w:cs="Times New Roman"/>
                      <w:color w:val="auto"/>
                      <w:highlight w:val="none"/>
                    </w:rPr>
                    <w:t>m高的烟筒（DA001）排</w:t>
                  </w:r>
                  <w:r>
                    <w:rPr>
                      <w:color w:val="auto"/>
                      <w:highlight w:val="none"/>
                    </w:rPr>
                    <w:t>放</w:t>
                  </w:r>
                </w:p>
              </w:tc>
              <w:tc>
                <w:tcPr>
                  <w:tcW w:w="1094" w:type="dxa"/>
                  <w:tcMar>
                    <w:top w:w="0" w:type="dxa"/>
                    <w:left w:w="108" w:type="dxa"/>
                    <w:bottom w:w="0" w:type="dxa"/>
                    <w:right w:w="108" w:type="dxa"/>
                  </w:tcMar>
                  <w:vAlign w:val="center"/>
                </w:tcPr>
                <w:p w14:paraId="4880C938">
                  <w:pPr>
                    <w:pStyle w:val="58"/>
                    <w:spacing w:line="240" w:lineRule="auto"/>
                    <w:rPr>
                      <w:rFonts w:hint="eastAsia" w:eastAsia="宋体"/>
                      <w:bCs/>
                      <w:kern w:val="44"/>
                      <w:highlight w:val="none"/>
                      <w:lang w:eastAsia="zh-CN"/>
                    </w:rPr>
                  </w:pPr>
                  <w:r>
                    <w:rPr>
                      <w:rFonts w:hint="eastAsia"/>
                      <w:highlight w:val="none"/>
                      <w:lang w:val="en-US" w:eastAsia="zh-CN"/>
                    </w:rPr>
                    <w:t>/</w:t>
                  </w:r>
                </w:p>
              </w:tc>
            </w:tr>
            <w:tr w14:paraId="4153DD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2" w:type="dxa"/>
                  <w:vMerge w:val="continue"/>
                  <w:vAlign w:val="center"/>
                </w:tcPr>
                <w:p w14:paraId="3220F4A5">
                  <w:pPr>
                    <w:widowControl/>
                    <w:jc w:val="center"/>
                    <w:rPr>
                      <w:rFonts w:eastAsiaTheme="minorEastAsia"/>
                      <w:szCs w:val="21"/>
                      <w:highlight w:val="none"/>
                    </w:rPr>
                  </w:pPr>
                </w:p>
              </w:tc>
              <w:tc>
                <w:tcPr>
                  <w:tcW w:w="791" w:type="dxa"/>
                  <w:tcMar>
                    <w:top w:w="0" w:type="dxa"/>
                    <w:left w:w="108" w:type="dxa"/>
                    <w:bottom w:w="0" w:type="dxa"/>
                    <w:right w:w="108" w:type="dxa"/>
                  </w:tcMar>
                  <w:vAlign w:val="center"/>
                </w:tcPr>
                <w:p w14:paraId="35562A38">
                  <w:pPr>
                    <w:widowControl/>
                    <w:snapToGrid w:val="0"/>
                    <w:jc w:val="center"/>
                    <w:rPr>
                      <w:szCs w:val="21"/>
                      <w:highlight w:val="none"/>
                    </w:rPr>
                  </w:pPr>
                  <w:r>
                    <w:rPr>
                      <w:rFonts w:hint="eastAsia"/>
                      <w:szCs w:val="21"/>
                      <w:highlight w:val="none"/>
                    </w:rPr>
                    <w:t>废水</w:t>
                  </w:r>
                </w:p>
              </w:tc>
              <w:tc>
                <w:tcPr>
                  <w:tcW w:w="5515" w:type="dxa"/>
                  <w:tcMar>
                    <w:top w:w="0" w:type="dxa"/>
                    <w:left w:w="108" w:type="dxa"/>
                    <w:bottom w:w="0" w:type="dxa"/>
                    <w:right w:w="108" w:type="dxa"/>
                  </w:tcMar>
                  <w:vAlign w:val="center"/>
                </w:tcPr>
                <w:p w14:paraId="459E7CBC">
                  <w:pPr>
                    <w:widowControl/>
                    <w:snapToGrid w:val="0"/>
                    <w:jc w:val="center"/>
                    <w:rPr>
                      <w:kern w:val="44"/>
                      <w:szCs w:val="21"/>
                      <w:highlight w:val="none"/>
                    </w:rPr>
                  </w:pPr>
                  <w:r>
                    <w:rPr>
                      <w:rFonts w:hint="eastAsia"/>
                      <w:szCs w:val="21"/>
                      <w:highlight w:val="none"/>
                      <w:lang w:val="en-US" w:eastAsia="zh-CN"/>
                    </w:rPr>
                    <w:t>锅炉</w:t>
                  </w:r>
                  <w:r>
                    <w:rPr>
                      <w:rFonts w:hint="eastAsia"/>
                      <w:szCs w:val="21"/>
                      <w:highlight w:val="none"/>
                    </w:rPr>
                    <w:t>废水</w:t>
                  </w:r>
                  <w:r>
                    <w:rPr>
                      <w:rFonts w:hint="eastAsia"/>
                      <w:szCs w:val="21"/>
                      <w:highlight w:val="none"/>
                      <w:lang w:val="en-US" w:eastAsia="zh-CN"/>
                    </w:rPr>
                    <w:t>和离子冲洗废水</w:t>
                  </w:r>
                  <w:r>
                    <w:rPr>
                      <w:rFonts w:hint="eastAsia"/>
                      <w:szCs w:val="21"/>
                      <w:highlight w:val="none"/>
                    </w:rPr>
                    <w:t>经</w:t>
                  </w:r>
                  <w:r>
                    <w:rPr>
                      <w:rFonts w:hint="eastAsia"/>
                      <w:szCs w:val="21"/>
                      <w:highlight w:val="none"/>
                      <w:lang w:val="en-US" w:eastAsia="zh-CN"/>
                    </w:rPr>
                    <w:t>承德泓辉双合淀粉有限公司污水处理站处理达标后排入蚁蚂吐河</w:t>
                  </w:r>
                  <w:r>
                    <w:rPr>
                      <w:rFonts w:hint="eastAsia"/>
                      <w:szCs w:val="21"/>
                      <w:highlight w:val="none"/>
                    </w:rPr>
                    <w:t>。</w:t>
                  </w:r>
                </w:p>
              </w:tc>
              <w:tc>
                <w:tcPr>
                  <w:tcW w:w="1094" w:type="dxa"/>
                  <w:tcMar>
                    <w:top w:w="0" w:type="dxa"/>
                    <w:left w:w="108" w:type="dxa"/>
                    <w:bottom w:w="0" w:type="dxa"/>
                    <w:right w:w="108" w:type="dxa"/>
                  </w:tcMar>
                  <w:vAlign w:val="center"/>
                </w:tcPr>
                <w:p w14:paraId="6C2422B1">
                  <w:pPr>
                    <w:widowControl/>
                    <w:snapToGrid w:val="0"/>
                    <w:jc w:val="center"/>
                    <w:rPr>
                      <w:rFonts w:hint="eastAsia" w:eastAsia="宋体"/>
                      <w:kern w:val="44"/>
                      <w:szCs w:val="21"/>
                      <w:highlight w:val="none"/>
                      <w:lang w:eastAsia="zh-CN"/>
                    </w:rPr>
                  </w:pPr>
                  <w:r>
                    <w:rPr>
                      <w:rFonts w:hint="eastAsia"/>
                      <w:kern w:val="44"/>
                      <w:szCs w:val="21"/>
                      <w:highlight w:val="none"/>
                      <w:lang w:val="en-US" w:eastAsia="zh-CN"/>
                    </w:rPr>
                    <w:t>/</w:t>
                  </w:r>
                </w:p>
              </w:tc>
            </w:tr>
            <w:tr w14:paraId="21CEF7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2" w:type="dxa"/>
                  <w:vMerge w:val="continue"/>
                  <w:vAlign w:val="center"/>
                </w:tcPr>
                <w:p w14:paraId="49710B44">
                  <w:pPr>
                    <w:widowControl/>
                    <w:jc w:val="center"/>
                    <w:rPr>
                      <w:rFonts w:eastAsiaTheme="minorEastAsia"/>
                      <w:szCs w:val="21"/>
                      <w:highlight w:val="none"/>
                    </w:rPr>
                  </w:pPr>
                </w:p>
              </w:tc>
              <w:tc>
                <w:tcPr>
                  <w:tcW w:w="791" w:type="dxa"/>
                  <w:tcMar>
                    <w:top w:w="0" w:type="dxa"/>
                    <w:left w:w="108" w:type="dxa"/>
                    <w:bottom w:w="0" w:type="dxa"/>
                    <w:right w:w="108" w:type="dxa"/>
                  </w:tcMar>
                  <w:vAlign w:val="center"/>
                </w:tcPr>
                <w:p w14:paraId="10CA0AF8">
                  <w:pPr>
                    <w:widowControl/>
                    <w:snapToGrid w:val="0"/>
                    <w:jc w:val="center"/>
                    <w:rPr>
                      <w:szCs w:val="21"/>
                      <w:highlight w:val="none"/>
                    </w:rPr>
                  </w:pPr>
                  <w:r>
                    <w:rPr>
                      <w:rFonts w:hint="eastAsia"/>
                      <w:szCs w:val="21"/>
                      <w:highlight w:val="none"/>
                    </w:rPr>
                    <w:t>噪声</w:t>
                  </w:r>
                </w:p>
              </w:tc>
              <w:tc>
                <w:tcPr>
                  <w:tcW w:w="5515" w:type="dxa"/>
                  <w:tcMar>
                    <w:top w:w="0" w:type="dxa"/>
                    <w:left w:w="108" w:type="dxa"/>
                    <w:bottom w:w="0" w:type="dxa"/>
                    <w:right w:w="108" w:type="dxa"/>
                  </w:tcMar>
                  <w:vAlign w:val="center"/>
                </w:tcPr>
                <w:p w14:paraId="321388B6">
                  <w:pPr>
                    <w:widowControl/>
                    <w:snapToGrid w:val="0"/>
                    <w:jc w:val="center"/>
                    <w:rPr>
                      <w:kern w:val="44"/>
                      <w:szCs w:val="21"/>
                      <w:highlight w:val="none"/>
                    </w:rPr>
                  </w:pPr>
                  <w:r>
                    <w:rPr>
                      <w:rFonts w:hint="eastAsia"/>
                      <w:szCs w:val="21"/>
                      <w:highlight w:val="none"/>
                    </w:rPr>
                    <w:t>选用低产噪设备，设备设置在封闭的车间内，并进行减振处理、加强设备维护。</w:t>
                  </w:r>
                </w:p>
              </w:tc>
              <w:tc>
                <w:tcPr>
                  <w:tcW w:w="1094" w:type="dxa"/>
                  <w:tcMar>
                    <w:top w:w="0" w:type="dxa"/>
                    <w:left w:w="108" w:type="dxa"/>
                    <w:bottom w:w="0" w:type="dxa"/>
                    <w:right w:w="108" w:type="dxa"/>
                  </w:tcMar>
                  <w:vAlign w:val="center"/>
                </w:tcPr>
                <w:p w14:paraId="327085EF">
                  <w:pPr>
                    <w:widowControl/>
                    <w:snapToGrid w:val="0"/>
                    <w:jc w:val="center"/>
                    <w:rPr>
                      <w:kern w:val="44"/>
                      <w:szCs w:val="21"/>
                      <w:highlight w:val="none"/>
                    </w:rPr>
                  </w:pPr>
                  <w:r>
                    <w:rPr>
                      <w:rFonts w:hint="eastAsia"/>
                      <w:kern w:val="44"/>
                      <w:szCs w:val="21"/>
                      <w:highlight w:val="none"/>
                    </w:rPr>
                    <w:t>新建</w:t>
                  </w:r>
                </w:p>
              </w:tc>
            </w:tr>
            <w:tr w14:paraId="6A601B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62" w:type="dxa"/>
                  <w:vMerge w:val="continue"/>
                  <w:vAlign w:val="center"/>
                </w:tcPr>
                <w:p w14:paraId="1BED0231">
                  <w:pPr>
                    <w:widowControl/>
                    <w:jc w:val="center"/>
                    <w:rPr>
                      <w:rFonts w:eastAsiaTheme="minorEastAsia"/>
                      <w:szCs w:val="21"/>
                      <w:highlight w:val="none"/>
                    </w:rPr>
                  </w:pPr>
                </w:p>
              </w:tc>
              <w:tc>
                <w:tcPr>
                  <w:tcW w:w="791" w:type="dxa"/>
                  <w:tcMar>
                    <w:top w:w="0" w:type="dxa"/>
                    <w:left w:w="108" w:type="dxa"/>
                    <w:bottom w:w="0" w:type="dxa"/>
                    <w:right w:w="108" w:type="dxa"/>
                  </w:tcMar>
                  <w:vAlign w:val="center"/>
                </w:tcPr>
                <w:p w14:paraId="6E79D5E8">
                  <w:pPr>
                    <w:widowControl/>
                    <w:snapToGrid w:val="0"/>
                    <w:jc w:val="center"/>
                    <w:rPr>
                      <w:szCs w:val="21"/>
                      <w:highlight w:val="none"/>
                    </w:rPr>
                  </w:pPr>
                  <w:r>
                    <w:rPr>
                      <w:rFonts w:hint="eastAsia"/>
                      <w:szCs w:val="21"/>
                      <w:highlight w:val="none"/>
                    </w:rPr>
                    <w:t>固废</w:t>
                  </w:r>
                </w:p>
              </w:tc>
              <w:tc>
                <w:tcPr>
                  <w:tcW w:w="5515" w:type="dxa"/>
                  <w:tcMar>
                    <w:top w:w="0" w:type="dxa"/>
                    <w:left w:w="108" w:type="dxa"/>
                    <w:bottom w:w="0" w:type="dxa"/>
                    <w:right w:w="108" w:type="dxa"/>
                  </w:tcMar>
                  <w:vAlign w:val="center"/>
                </w:tcPr>
                <w:p w14:paraId="531029C1">
                  <w:pPr>
                    <w:widowControl/>
                    <w:snapToGrid w:val="0"/>
                    <w:jc w:val="center"/>
                    <w:rPr>
                      <w:rFonts w:hint="default" w:eastAsia="宋体"/>
                      <w:kern w:val="44"/>
                      <w:szCs w:val="21"/>
                      <w:highlight w:val="none"/>
                      <w:lang w:val="en-US" w:eastAsia="zh-CN"/>
                    </w:rPr>
                  </w:pPr>
                  <w:r>
                    <w:rPr>
                      <w:rFonts w:hint="eastAsia"/>
                      <w:szCs w:val="21"/>
                      <w:highlight w:val="none"/>
                      <w:lang w:val="en-US" w:eastAsia="zh-CN"/>
                    </w:rPr>
                    <w:t>废离子交换树脂由厂家定期更换收集；废润滑油和废润滑油桶临时贮存于危废间内，定期交由承德双然环保科技有限公司运输处置</w:t>
                  </w:r>
                </w:p>
              </w:tc>
              <w:tc>
                <w:tcPr>
                  <w:tcW w:w="1094" w:type="dxa"/>
                  <w:tcMar>
                    <w:top w:w="0" w:type="dxa"/>
                    <w:left w:w="108" w:type="dxa"/>
                    <w:bottom w:w="0" w:type="dxa"/>
                    <w:right w:w="108" w:type="dxa"/>
                  </w:tcMar>
                  <w:vAlign w:val="center"/>
                </w:tcPr>
                <w:p w14:paraId="2E1EB059">
                  <w:pPr>
                    <w:widowControl/>
                    <w:snapToGrid w:val="0"/>
                    <w:jc w:val="center"/>
                    <w:rPr>
                      <w:rFonts w:hint="default" w:eastAsia="宋体"/>
                      <w:kern w:val="44"/>
                      <w:szCs w:val="21"/>
                      <w:highlight w:val="none"/>
                      <w:lang w:val="en-US" w:eastAsia="zh-CN"/>
                    </w:rPr>
                  </w:pPr>
                  <w:r>
                    <w:rPr>
                      <w:rFonts w:hint="eastAsia"/>
                      <w:kern w:val="44"/>
                      <w:szCs w:val="21"/>
                      <w:highlight w:val="none"/>
                      <w:lang w:val="en-US" w:eastAsia="zh-CN"/>
                    </w:rPr>
                    <w:t>依托</w:t>
                  </w:r>
                </w:p>
              </w:tc>
            </w:tr>
            <w:tr w14:paraId="4E737F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9" w:hRule="atLeast"/>
                <w:jc w:val="center"/>
              </w:trPr>
              <w:tc>
                <w:tcPr>
                  <w:tcW w:w="662" w:type="dxa"/>
                  <w:vAlign w:val="center"/>
                </w:tcPr>
                <w:p w14:paraId="010E5214">
                  <w:pPr>
                    <w:widowControl/>
                    <w:snapToGrid w:val="0"/>
                    <w:jc w:val="center"/>
                    <w:rPr>
                      <w:rFonts w:hint="default" w:ascii="Times New Roman" w:hAnsi="Times New Roman" w:cs="Times New Roman"/>
                      <w:bCs/>
                      <w:spacing w:val="9"/>
                      <w:szCs w:val="21"/>
                      <w:highlight w:val="none"/>
                      <w:lang w:val="en-US" w:eastAsia="zh-CN"/>
                    </w:rPr>
                  </w:pPr>
                  <w:r>
                    <w:rPr>
                      <w:rFonts w:hint="eastAsia" w:ascii="Times New Roman" w:hAnsi="Times New Roman" w:cs="Times New Roman"/>
                      <w:bCs/>
                      <w:spacing w:val="9"/>
                      <w:szCs w:val="21"/>
                      <w:highlight w:val="none"/>
                      <w:lang w:val="en-US" w:eastAsia="zh-CN"/>
                    </w:rPr>
                    <w:t>依托工程</w:t>
                  </w:r>
                </w:p>
              </w:tc>
              <w:tc>
                <w:tcPr>
                  <w:tcW w:w="791" w:type="dxa"/>
                  <w:vAlign w:val="center"/>
                </w:tcPr>
                <w:p w14:paraId="1612FB69">
                  <w:pPr>
                    <w:widowControl/>
                    <w:snapToGrid w:val="0"/>
                    <w:jc w:val="center"/>
                    <w:rPr>
                      <w:rFonts w:hint="default" w:ascii="Times New Roman" w:hAnsi="Times New Roman" w:cs="Times New Roman"/>
                      <w:bCs/>
                      <w:spacing w:val="9"/>
                      <w:szCs w:val="21"/>
                      <w:highlight w:val="none"/>
                      <w:lang w:val="en-US" w:eastAsia="zh-CN"/>
                    </w:rPr>
                  </w:pPr>
                  <w:r>
                    <w:rPr>
                      <w:rFonts w:hint="eastAsia" w:ascii="Times New Roman" w:hAnsi="Times New Roman" w:cs="Times New Roman"/>
                      <w:bCs/>
                      <w:spacing w:val="9"/>
                      <w:szCs w:val="21"/>
                      <w:highlight w:val="none"/>
                      <w:lang w:val="en-US" w:eastAsia="zh-CN"/>
                    </w:rPr>
                    <w:t>污水处理站</w:t>
                  </w:r>
                </w:p>
              </w:tc>
              <w:tc>
                <w:tcPr>
                  <w:tcW w:w="5515" w:type="dxa"/>
                  <w:tcMar>
                    <w:top w:w="0" w:type="dxa"/>
                    <w:left w:w="108" w:type="dxa"/>
                    <w:bottom w:w="0" w:type="dxa"/>
                    <w:right w:w="108" w:type="dxa"/>
                  </w:tcMar>
                  <w:vAlign w:val="center"/>
                </w:tcPr>
                <w:p w14:paraId="1CD15362">
                  <w:pPr>
                    <w:widowControl/>
                    <w:snapToGrid w:val="0"/>
                    <w:jc w:val="center"/>
                    <w:rPr>
                      <w:rFonts w:hint="default" w:eastAsia="宋体"/>
                      <w:szCs w:val="21"/>
                      <w:highlight w:val="none"/>
                      <w:lang w:val="en-US" w:eastAsia="zh-CN"/>
                    </w:rPr>
                  </w:pPr>
                  <w:r>
                    <w:rPr>
                      <w:rFonts w:hint="eastAsia"/>
                      <w:szCs w:val="21"/>
                      <w:highlight w:val="none"/>
                    </w:rPr>
                    <w:t>根据《承德泓辉双合淀粉有限公司入河排污口设置论证报告》，承德泓辉双合淀粉</w:t>
                  </w:r>
                  <w:r>
                    <w:rPr>
                      <w:rFonts w:hint="eastAsia"/>
                      <w:szCs w:val="21"/>
                      <w:highlight w:val="none"/>
                      <w:lang w:val="en-US" w:eastAsia="zh-CN"/>
                    </w:rPr>
                    <w:t>有</w:t>
                  </w:r>
                  <w:r>
                    <w:rPr>
                      <w:rFonts w:hint="eastAsia"/>
                      <w:szCs w:val="21"/>
                      <w:highlight w:val="none"/>
                    </w:rPr>
                    <w:t>限公司</w:t>
                  </w:r>
                  <w:r>
                    <w:rPr>
                      <w:rFonts w:hint="eastAsia"/>
                      <w:szCs w:val="21"/>
                      <w:highlight w:val="none"/>
                      <w:lang w:val="en-US" w:eastAsia="zh-CN"/>
                    </w:rPr>
                    <w:t>污水处理站年处理规模80000m</w:t>
                  </w:r>
                  <w:r>
                    <w:rPr>
                      <w:rFonts w:hint="eastAsia"/>
                      <w:szCs w:val="21"/>
                      <w:highlight w:val="none"/>
                      <w:vertAlign w:val="superscript"/>
                      <w:lang w:val="en-US" w:eastAsia="zh-CN"/>
                    </w:rPr>
                    <w:t>3</w:t>
                  </w:r>
                  <w:r>
                    <w:rPr>
                      <w:rFonts w:hint="eastAsia"/>
                      <w:szCs w:val="21"/>
                      <w:highlight w:val="none"/>
                      <w:lang w:val="en-US" w:eastAsia="zh-CN"/>
                    </w:rPr>
                    <w:t>，日处理规模为1500m</w:t>
                  </w:r>
                  <w:r>
                    <w:rPr>
                      <w:rFonts w:hint="eastAsia"/>
                      <w:szCs w:val="21"/>
                      <w:highlight w:val="none"/>
                      <w:vertAlign w:val="superscript"/>
                      <w:lang w:val="en-US" w:eastAsia="zh-CN"/>
                    </w:rPr>
                    <w:t>3</w:t>
                  </w:r>
                  <w:r>
                    <w:rPr>
                      <w:rFonts w:hint="eastAsia"/>
                      <w:szCs w:val="21"/>
                      <w:highlight w:val="none"/>
                      <w:lang w:val="en-US" w:eastAsia="zh-CN"/>
                    </w:rPr>
                    <w:t>，剩余日处理能力917.23m</w:t>
                  </w:r>
                  <w:r>
                    <w:rPr>
                      <w:rFonts w:hint="eastAsia"/>
                      <w:szCs w:val="21"/>
                      <w:highlight w:val="none"/>
                      <w:vertAlign w:val="superscript"/>
                      <w:lang w:val="en-US" w:eastAsia="zh-CN"/>
                    </w:rPr>
                    <w:t>3</w:t>
                  </w:r>
                  <w:r>
                    <w:rPr>
                      <w:rFonts w:hint="eastAsia"/>
                      <w:szCs w:val="21"/>
                      <w:highlight w:val="none"/>
                      <w:lang w:val="en-US" w:eastAsia="zh-CN"/>
                    </w:rPr>
                    <w:t>，处理工艺为“蛋白回收+絮凝沉淀+水解酸化+PEIC厌氧反应+氨氮吹脱+AO活性污泥+芬顿氧化”，本项目废水排放量为2.426m</w:t>
                  </w:r>
                  <w:r>
                    <w:rPr>
                      <w:rFonts w:hint="eastAsia"/>
                      <w:szCs w:val="21"/>
                      <w:highlight w:val="none"/>
                      <w:vertAlign w:val="superscript"/>
                      <w:lang w:val="en-US" w:eastAsia="zh-CN"/>
                    </w:rPr>
                    <w:t>3</w:t>
                  </w:r>
                  <w:r>
                    <w:rPr>
                      <w:rFonts w:hint="eastAsia"/>
                      <w:szCs w:val="21"/>
                      <w:highlight w:val="none"/>
                      <w:lang w:val="en-US" w:eastAsia="zh-CN"/>
                    </w:rPr>
                    <w:t>/d，</w:t>
                  </w:r>
                  <w:r>
                    <w:rPr>
                      <w:rFonts w:ascii="Times New Roman" w:hAnsi="Times New Roman" w:cs="Times New Roman"/>
                      <w:szCs w:val="21"/>
                      <w:highlight w:val="none"/>
                    </w:rPr>
                    <w:t>占污水处理厂的</w:t>
                  </w:r>
                  <w:r>
                    <w:rPr>
                      <w:rFonts w:hint="eastAsia" w:cs="Times New Roman"/>
                      <w:szCs w:val="21"/>
                      <w:highlight w:val="none"/>
                      <w:lang w:val="en-US" w:eastAsia="zh-CN"/>
                    </w:rPr>
                    <w:t>剩余</w:t>
                  </w:r>
                  <w:r>
                    <w:rPr>
                      <w:rFonts w:ascii="Times New Roman" w:hAnsi="Times New Roman" w:cs="Times New Roman"/>
                      <w:szCs w:val="21"/>
                      <w:highlight w:val="none"/>
                    </w:rPr>
                    <w:t>处理能力的0.</w:t>
                  </w:r>
                  <w:r>
                    <w:rPr>
                      <w:rFonts w:hint="eastAsia" w:cs="Times New Roman"/>
                      <w:szCs w:val="21"/>
                      <w:highlight w:val="none"/>
                      <w:lang w:val="en-US" w:eastAsia="zh-CN"/>
                    </w:rPr>
                    <w:t>3</w:t>
                  </w:r>
                  <w:r>
                    <w:rPr>
                      <w:rFonts w:ascii="Times New Roman" w:hAnsi="Times New Roman" w:cs="Times New Roman"/>
                      <w:szCs w:val="21"/>
                      <w:highlight w:val="none"/>
                    </w:rPr>
                    <w:t>%，可以满足本项目污水排放需求</w:t>
                  </w:r>
                </w:p>
              </w:tc>
              <w:tc>
                <w:tcPr>
                  <w:tcW w:w="1094" w:type="dxa"/>
                  <w:tcMar>
                    <w:top w:w="0" w:type="dxa"/>
                    <w:left w:w="108" w:type="dxa"/>
                    <w:bottom w:w="0" w:type="dxa"/>
                    <w:right w:w="108" w:type="dxa"/>
                  </w:tcMar>
                  <w:vAlign w:val="center"/>
                </w:tcPr>
                <w:p w14:paraId="72655BEE">
                  <w:pPr>
                    <w:widowControl/>
                    <w:snapToGrid w:val="0"/>
                    <w:jc w:val="center"/>
                    <w:rPr>
                      <w:rFonts w:hint="eastAsia" w:eastAsia="宋体"/>
                      <w:kern w:val="44"/>
                      <w:szCs w:val="21"/>
                      <w:highlight w:val="none"/>
                      <w:lang w:val="en-US" w:eastAsia="zh-CN"/>
                    </w:rPr>
                  </w:pPr>
                  <w:r>
                    <w:rPr>
                      <w:rFonts w:hint="eastAsia"/>
                      <w:kern w:val="44"/>
                      <w:szCs w:val="21"/>
                      <w:highlight w:val="none"/>
                      <w:lang w:val="en-US" w:eastAsia="zh-CN"/>
                    </w:rPr>
                    <w:t>依托</w:t>
                  </w:r>
                </w:p>
              </w:tc>
            </w:tr>
          </w:tbl>
          <w:p w14:paraId="48C77508">
            <w:pPr>
              <w:spacing w:before="120" w:beforeLines="50" w:line="360" w:lineRule="auto"/>
              <w:ind w:firstLine="482" w:firstLineChars="200"/>
              <w:rPr>
                <w:b/>
                <w:sz w:val="24"/>
                <w:highlight w:val="none"/>
              </w:rPr>
            </w:pPr>
            <w:r>
              <w:rPr>
                <w:b/>
                <w:sz w:val="24"/>
                <w:highlight w:val="none"/>
              </w:rPr>
              <w:t>3．</w:t>
            </w:r>
            <w:r>
              <w:rPr>
                <w:rFonts w:hint="eastAsia"/>
                <w:b/>
                <w:sz w:val="24"/>
                <w:highlight w:val="none"/>
              </w:rPr>
              <w:t>主要产品及产能</w:t>
            </w:r>
          </w:p>
          <w:p w14:paraId="1381BC1C">
            <w:pPr>
              <w:spacing w:before="120" w:beforeLines="50" w:line="360" w:lineRule="auto"/>
              <w:ind w:firstLine="480" w:firstLineChars="200"/>
              <w:rPr>
                <w:rFonts w:hint="default" w:ascii="Times New Roman" w:hAnsi="Times New Roman" w:eastAsia="宋体" w:cs="Times New Roman"/>
                <w:sz w:val="24"/>
                <w:highlight w:val="none"/>
                <w:lang w:val="en-US" w:eastAsia="zh-CN"/>
              </w:rPr>
            </w:pPr>
            <w:r>
              <w:rPr>
                <w:rFonts w:hint="eastAsia" w:cs="Times New Roman"/>
                <w:sz w:val="24"/>
                <w:highlight w:val="none"/>
                <w:lang w:val="en-US" w:eastAsia="zh-CN"/>
              </w:rPr>
              <w:t>本次新增沼气锅炉一台，蒸汽量为2t/h</w:t>
            </w:r>
            <w:r>
              <w:rPr>
                <w:rFonts w:hint="eastAsia" w:ascii="Times New Roman" w:hAnsi="Times New Roman" w:cs="Times New Roman"/>
                <w:sz w:val="24"/>
                <w:highlight w:val="none"/>
                <w:lang w:val="en-US" w:eastAsia="zh-CN"/>
              </w:rPr>
              <w:t>。</w:t>
            </w:r>
          </w:p>
          <w:p w14:paraId="1999C2BC">
            <w:pPr>
              <w:spacing w:before="120" w:beforeLines="50" w:line="360" w:lineRule="auto"/>
              <w:ind w:firstLine="482" w:firstLineChars="200"/>
              <w:rPr>
                <w:b/>
                <w:sz w:val="24"/>
                <w:highlight w:val="none"/>
              </w:rPr>
            </w:pPr>
            <w:r>
              <w:rPr>
                <w:b/>
                <w:sz w:val="24"/>
                <w:highlight w:val="none"/>
              </w:rPr>
              <w:t>4．</w:t>
            </w:r>
            <w:r>
              <w:rPr>
                <w:rFonts w:hint="eastAsia"/>
                <w:b/>
                <w:sz w:val="24"/>
                <w:highlight w:val="none"/>
              </w:rPr>
              <w:t>主要生产单元、生产工艺、主要生产设施参数</w:t>
            </w:r>
          </w:p>
          <w:p w14:paraId="2B47B3A4">
            <w:pPr>
              <w:adjustRightInd w:val="0"/>
              <w:snapToGrid w:val="0"/>
              <w:spacing w:line="360" w:lineRule="auto"/>
              <w:ind w:firstLine="480" w:firstLineChars="200"/>
              <w:rPr>
                <w:sz w:val="24"/>
                <w:highlight w:val="none"/>
              </w:rPr>
            </w:pPr>
            <w:r>
              <w:rPr>
                <w:rFonts w:hint="eastAsia"/>
                <w:sz w:val="24"/>
                <w:highlight w:val="none"/>
              </w:rPr>
              <w:t>项目主要生产单元、主要工艺、主要生产设施及设施参数见下表。</w:t>
            </w:r>
          </w:p>
          <w:p w14:paraId="33620819">
            <w:pPr>
              <w:pStyle w:val="50"/>
              <w:numPr>
                <w:ilvl w:val="0"/>
                <w:numId w:val="6"/>
              </w:numPr>
              <w:spacing w:line="360" w:lineRule="auto"/>
              <w:ind w:firstLineChars="0"/>
              <w:jc w:val="center"/>
              <w:rPr>
                <w:rFonts w:ascii="宋体" w:hAnsi="宋体" w:eastAsia="宋体"/>
                <w:b/>
                <w:sz w:val="21"/>
                <w:highlight w:val="none"/>
              </w:rPr>
            </w:pPr>
            <w:r>
              <w:rPr>
                <w:rFonts w:hint="eastAsia" w:ascii="宋体" w:hAnsi="宋体" w:eastAsia="宋体"/>
                <w:b/>
                <w:sz w:val="21"/>
                <w:highlight w:val="none"/>
              </w:rPr>
              <w:t>项目主要生产单元、主要工艺、主要生产设施及设施参数一览表</w:t>
            </w:r>
          </w:p>
          <w:tbl>
            <w:tblPr>
              <w:tblStyle w:val="23"/>
              <w:tblW w:w="494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9"/>
              <w:gridCol w:w="812"/>
              <w:gridCol w:w="1160"/>
              <w:gridCol w:w="1351"/>
              <w:gridCol w:w="1389"/>
              <w:gridCol w:w="797"/>
              <w:gridCol w:w="819"/>
              <w:gridCol w:w="1062"/>
            </w:tblGrid>
            <w:tr w14:paraId="5BAC8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2" w:hRule="atLeast"/>
                <w:jc w:val="center"/>
              </w:trPr>
              <w:tc>
                <w:tcPr>
                  <w:tcW w:w="292" w:type="pct"/>
                  <w:tcBorders>
                    <w:top w:val="single" w:color="auto" w:sz="4" w:space="0"/>
                    <w:left w:val="single" w:color="auto" w:sz="4" w:space="0"/>
                    <w:bottom w:val="single" w:color="auto" w:sz="4" w:space="0"/>
                    <w:right w:val="single" w:color="auto" w:sz="4" w:space="0"/>
                  </w:tcBorders>
                  <w:vAlign w:val="center"/>
                </w:tcPr>
                <w:p w14:paraId="48D326D3">
                  <w:pPr>
                    <w:jc w:val="center"/>
                    <w:rPr>
                      <w:b/>
                      <w:bCs/>
                      <w:szCs w:val="21"/>
                      <w:highlight w:val="none"/>
                    </w:rPr>
                  </w:pPr>
                  <w:r>
                    <w:rPr>
                      <w:rFonts w:hint="eastAsia"/>
                      <w:b/>
                      <w:bCs/>
                      <w:szCs w:val="21"/>
                      <w:highlight w:val="none"/>
                    </w:rPr>
                    <w:t>序号</w:t>
                  </w:r>
                </w:p>
              </w:tc>
              <w:tc>
                <w:tcPr>
                  <w:tcW w:w="517" w:type="pct"/>
                  <w:tcBorders>
                    <w:top w:val="single" w:color="auto" w:sz="4" w:space="0"/>
                    <w:left w:val="single" w:color="auto" w:sz="4" w:space="0"/>
                    <w:bottom w:val="single" w:color="auto" w:sz="4" w:space="0"/>
                    <w:right w:val="single" w:color="auto" w:sz="4" w:space="0"/>
                  </w:tcBorders>
                  <w:vAlign w:val="center"/>
                </w:tcPr>
                <w:p w14:paraId="6785388D">
                  <w:pPr>
                    <w:widowControl/>
                    <w:snapToGrid w:val="0"/>
                    <w:jc w:val="center"/>
                    <w:rPr>
                      <w:b/>
                      <w:bCs/>
                      <w:kern w:val="0"/>
                      <w:szCs w:val="21"/>
                      <w:highlight w:val="none"/>
                    </w:rPr>
                  </w:pPr>
                  <w:r>
                    <w:rPr>
                      <w:rFonts w:hint="eastAsia"/>
                      <w:b/>
                      <w:bCs/>
                      <w:kern w:val="0"/>
                      <w:szCs w:val="21"/>
                      <w:highlight w:val="none"/>
                    </w:rPr>
                    <w:t>主要生产单元</w:t>
                  </w:r>
                </w:p>
              </w:tc>
              <w:tc>
                <w:tcPr>
                  <w:tcW w:w="738" w:type="pct"/>
                  <w:tcBorders>
                    <w:top w:val="single" w:color="auto" w:sz="4" w:space="0"/>
                    <w:left w:val="single" w:color="auto" w:sz="4" w:space="0"/>
                    <w:bottom w:val="single" w:color="auto" w:sz="4" w:space="0"/>
                    <w:right w:val="single" w:color="auto" w:sz="4" w:space="0"/>
                  </w:tcBorders>
                  <w:vAlign w:val="center"/>
                </w:tcPr>
                <w:p w14:paraId="7CD7797F">
                  <w:pPr>
                    <w:widowControl/>
                    <w:snapToGrid w:val="0"/>
                    <w:jc w:val="center"/>
                    <w:rPr>
                      <w:b/>
                      <w:bCs/>
                      <w:kern w:val="0"/>
                      <w:szCs w:val="21"/>
                      <w:highlight w:val="none"/>
                    </w:rPr>
                  </w:pPr>
                  <w:r>
                    <w:rPr>
                      <w:rFonts w:hint="eastAsia"/>
                      <w:b/>
                      <w:bCs/>
                      <w:kern w:val="0"/>
                      <w:szCs w:val="21"/>
                      <w:highlight w:val="none"/>
                    </w:rPr>
                    <w:t>主要工艺</w:t>
                  </w:r>
                </w:p>
              </w:tc>
              <w:tc>
                <w:tcPr>
                  <w:tcW w:w="860" w:type="pct"/>
                  <w:tcBorders>
                    <w:top w:val="single" w:color="auto" w:sz="4" w:space="0"/>
                    <w:left w:val="single" w:color="auto" w:sz="4" w:space="0"/>
                    <w:bottom w:val="single" w:color="auto" w:sz="4" w:space="0"/>
                    <w:right w:val="single" w:color="auto" w:sz="4" w:space="0"/>
                  </w:tcBorders>
                  <w:vAlign w:val="center"/>
                </w:tcPr>
                <w:p w14:paraId="715CFC23">
                  <w:pPr>
                    <w:widowControl/>
                    <w:snapToGrid w:val="0"/>
                    <w:jc w:val="center"/>
                    <w:rPr>
                      <w:b/>
                      <w:bCs/>
                      <w:kern w:val="0"/>
                      <w:szCs w:val="21"/>
                      <w:highlight w:val="none"/>
                    </w:rPr>
                  </w:pPr>
                  <w:r>
                    <w:rPr>
                      <w:rFonts w:hint="eastAsia"/>
                      <w:b/>
                      <w:bCs/>
                      <w:kern w:val="0"/>
                      <w:szCs w:val="21"/>
                      <w:highlight w:val="none"/>
                    </w:rPr>
                    <w:t>主要生产</w:t>
                  </w:r>
                </w:p>
                <w:p w14:paraId="1741C66D">
                  <w:pPr>
                    <w:widowControl/>
                    <w:snapToGrid w:val="0"/>
                    <w:jc w:val="center"/>
                    <w:rPr>
                      <w:b/>
                      <w:bCs/>
                      <w:szCs w:val="21"/>
                      <w:highlight w:val="none"/>
                    </w:rPr>
                  </w:pPr>
                  <w:r>
                    <w:rPr>
                      <w:rFonts w:hint="eastAsia"/>
                      <w:b/>
                      <w:bCs/>
                      <w:kern w:val="0"/>
                      <w:szCs w:val="21"/>
                      <w:highlight w:val="none"/>
                    </w:rPr>
                    <w:t>设施</w:t>
                  </w:r>
                </w:p>
              </w:tc>
              <w:tc>
                <w:tcPr>
                  <w:tcW w:w="884" w:type="pct"/>
                  <w:tcBorders>
                    <w:top w:val="single" w:color="auto" w:sz="4" w:space="0"/>
                    <w:left w:val="single" w:color="auto" w:sz="4" w:space="0"/>
                    <w:bottom w:val="single" w:color="auto" w:sz="4" w:space="0"/>
                    <w:right w:val="single" w:color="auto" w:sz="4" w:space="0"/>
                  </w:tcBorders>
                  <w:vAlign w:val="center"/>
                </w:tcPr>
                <w:p w14:paraId="5165F2E0">
                  <w:pPr>
                    <w:widowControl/>
                    <w:snapToGrid w:val="0"/>
                    <w:jc w:val="center"/>
                    <w:rPr>
                      <w:b/>
                      <w:bCs/>
                      <w:szCs w:val="21"/>
                      <w:highlight w:val="none"/>
                    </w:rPr>
                  </w:pPr>
                  <w:r>
                    <w:rPr>
                      <w:rFonts w:hint="eastAsia"/>
                      <w:b/>
                      <w:bCs/>
                      <w:szCs w:val="21"/>
                      <w:highlight w:val="none"/>
                    </w:rPr>
                    <w:t>设施参数</w:t>
                  </w:r>
                </w:p>
              </w:tc>
              <w:tc>
                <w:tcPr>
                  <w:tcW w:w="507" w:type="pct"/>
                  <w:tcBorders>
                    <w:top w:val="single" w:color="auto" w:sz="4" w:space="0"/>
                    <w:left w:val="single" w:color="auto" w:sz="4" w:space="0"/>
                    <w:bottom w:val="single" w:color="auto" w:sz="4" w:space="0"/>
                    <w:right w:val="single" w:color="auto" w:sz="4" w:space="0"/>
                  </w:tcBorders>
                  <w:vAlign w:val="center"/>
                </w:tcPr>
                <w:p w14:paraId="4F236CD1">
                  <w:pPr>
                    <w:widowControl/>
                    <w:snapToGrid w:val="0"/>
                    <w:jc w:val="center"/>
                    <w:rPr>
                      <w:b/>
                      <w:bCs/>
                      <w:kern w:val="0"/>
                      <w:szCs w:val="21"/>
                      <w:highlight w:val="none"/>
                    </w:rPr>
                  </w:pPr>
                  <w:r>
                    <w:rPr>
                      <w:rFonts w:hint="eastAsia"/>
                      <w:b/>
                      <w:bCs/>
                      <w:kern w:val="0"/>
                      <w:szCs w:val="21"/>
                      <w:highlight w:val="none"/>
                    </w:rPr>
                    <w:t>数量</w:t>
                  </w:r>
                </w:p>
              </w:tc>
              <w:tc>
                <w:tcPr>
                  <w:tcW w:w="521" w:type="pct"/>
                  <w:tcBorders>
                    <w:top w:val="single" w:color="auto" w:sz="4" w:space="0"/>
                    <w:left w:val="single" w:color="auto" w:sz="4" w:space="0"/>
                    <w:bottom w:val="single" w:color="auto" w:sz="4" w:space="0"/>
                    <w:right w:val="single" w:color="auto" w:sz="4" w:space="0"/>
                  </w:tcBorders>
                  <w:vAlign w:val="center"/>
                </w:tcPr>
                <w:p w14:paraId="1D1267EB">
                  <w:pPr>
                    <w:widowControl/>
                    <w:snapToGrid w:val="0"/>
                    <w:jc w:val="center"/>
                    <w:rPr>
                      <w:b/>
                      <w:bCs/>
                      <w:kern w:val="0"/>
                      <w:szCs w:val="21"/>
                      <w:highlight w:val="none"/>
                    </w:rPr>
                  </w:pPr>
                  <w:r>
                    <w:rPr>
                      <w:rFonts w:hint="eastAsia"/>
                      <w:b/>
                      <w:bCs/>
                      <w:kern w:val="0"/>
                      <w:szCs w:val="21"/>
                      <w:highlight w:val="none"/>
                    </w:rPr>
                    <w:t>单位</w:t>
                  </w:r>
                </w:p>
              </w:tc>
              <w:tc>
                <w:tcPr>
                  <w:tcW w:w="676" w:type="pct"/>
                  <w:tcBorders>
                    <w:top w:val="single" w:color="auto" w:sz="4" w:space="0"/>
                    <w:left w:val="single" w:color="auto" w:sz="4" w:space="0"/>
                    <w:bottom w:val="single" w:color="auto" w:sz="4" w:space="0"/>
                    <w:right w:val="single" w:color="auto" w:sz="4" w:space="0"/>
                  </w:tcBorders>
                  <w:vAlign w:val="center"/>
                </w:tcPr>
                <w:p w14:paraId="66295B9D">
                  <w:pPr>
                    <w:widowControl/>
                    <w:snapToGrid w:val="0"/>
                    <w:jc w:val="center"/>
                    <w:rPr>
                      <w:b/>
                      <w:bCs/>
                      <w:kern w:val="0"/>
                      <w:szCs w:val="21"/>
                      <w:highlight w:val="none"/>
                    </w:rPr>
                  </w:pPr>
                  <w:r>
                    <w:rPr>
                      <w:rFonts w:hint="eastAsia"/>
                      <w:b/>
                      <w:bCs/>
                      <w:kern w:val="0"/>
                      <w:szCs w:val="21"/>
                      <w:highlight w:val="none"/>
                    </w:rPr>
                    <w:t>备注</w:t>
                  </w:r>
                </w:p>
              </w:tc>
            </w:tr>
            <w:tr w14:paraId="78A5E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292" w:type="pct"/>
                  <w:vMerge w:val="restart"/>
                  <w:tcBorders>
                    <w:top w:val="single" w:color="auto" w:sz="4" w:space="0"/>
                    <w:left w:val="single" w:color="auto" w:sz="4" w:space="0"/>
                    <w:bottom w:val="single" w:color="auto" w:sz="4" w:space="0"/>
                    <w:right w:val="single" w:color="auto" w:sz="4" w:space="0"/>
                  </w:tcBorders>
                  <w:vAlign w:val="center"/>
                </w:tcPr>
                <w:p w14:paraId="279E7B46">
                  <w:pPr>
                    <w:jc w:val="center"/>
                    <w:rPr>
                      <w:szCs w:val="21"/>
                      <w:highlight w:val="none"/>
                    </w:rPr>
                  </w:pPr>
                  <w:r>
                    <w:rPr>
                      <w:szCs w:val="21"/>
                      <w:highlight w:val="none"/>
                    </w:rPr>
                    <w:t>1</w:t>
                  </w:r>
                </w:p>
              </w:tc>
              <w:tc>
                <w:tcPr>
                  <w:tcW w:w="517" w:type="pct"/>
                  <w:vMerge w:val="restart"/>
                  <w:tcBorders>
                    <w:top w:val="single" w:color="auto" w:sz="4" w:space="0"/>
                    <w:left w:val="single" w:color="auto" w:sz="4" w:space="0"/>
                    <w:bottom w:val="single" w:color="auto" w:sz="4" w:space="0"/>
                    <w:right w:val="single" w:color="auto" w:sz="4" w:space="0"/>
                  </w:tcBorders>
                  <w:vAlign w:val="center"/>
                </w:tcPr>
                <w:p w14:paraId="05EBEAB3">
                  <w:pPr>
                    <w:widowControl/>
                    <w:jc w:val="center"/>
                    <w:rPr>
                      <w:kern w:val="0"/>
                      <w:szCs w:val="21"/>
                      <w:highlight w:val="none"/>
                    </w:rPr>
                  </w:pPr>
                  <w:r>
                    <w:rPr>
                      <w:rFonts w:hint="eastAsia" w:ascii="Times New Roman" w:hAnsi="Times New Roman" w:eastAsia="宋体" w:cs="Times New Roman"/>
                      <w:szCs w:val="21"/>
                      <w:highlight w:val="none"/>
                      <w:lang w:val="en-US" w:eastAsia="zh-CN"/>
                    </w:rPr>
                    <w:t>生产单元</w:t>
                  </w:r>
                </w:p>
              </w:tc>
              <w:tc>
                <w:tcPr>
                  <w:tcW w:w="738" w:type="pct"/>
                  <w:vMerge w:val="restart"/>
                  <w:tcBorders>
                    <w:top w:val="single" w:color="auto" w:sz="4" w:space="0"/>
                    <w:left w:val="single" w:color="auto" w:sz="4" w:space="0"/>
                    <w:right w:val="single" w:color="auto" w:sz="4" w:space="0"/>
                  </w:tcBorders>
                  <w:vAlign w:val="center"/>
                </w:tcPr>
                <w:p w14:paraId="46978655">
                  <w:pPr>
                    <w:widowControl/>
                    <w:jc w:val="center"/>
                    <w:rPr>
                      <w:kern w:val="0"/>
                      <w:szCs w:val="21"/>
                      <w:highlight w:val="none"/>
                    </w:rPr>
                  </w:pPr>
                  <w:r>
                    <w:rPr>
                      <w:rFonts w:hint="eastAsia" w:ascii="Times New Roman" w:hAnsi="Times New Roman" w:eastAsia="宋体" w:cs="Times New Roman"/>
                      <w:szCs w:val="21"/>
                      <w:highlight w:val="none"/>
                      <w:lang w:val="en-US" w:eastAsia="zh-CN"/>
                    </w:rPr>
                    <w:t>燃烧系统</w:t>
                  </w:r>
                </w:p>
              </w:tc>
              <w:tc>
                <w:tcPr>
                  <w:tcW w:w="860" w:type="pct"/>
                  <w:tcBorders>
                    <w:top w:val="single" w:color="auto" w:sz="4" w:space="0"/>
                    <w:left w:val="single" w:color="auto" w:sz="4" w:space="0"/>
                    <w:bottom w:val="single" w:color="auto" w:sz="4" w:space="0"/>
                    <w:right w:val="single" w:color="auto" w:sz="4" w:space="0"/>
                  </w:tcBorders>
                  <w:vAlign w:val="center"/>
                </w:tcPr>
                <w:p w14:paraId="3E093249">
                  <w:pPr>
                    <w:widowControl/>
                    <w:jc w:val="center"/>
                    <w:textAlignment w:val="center"/>
                    <w:rPr>
                      <w:rFonts w:hint="default" w:eastAsia="宋体"/>
                      <w:bCs/>
                      <w:szCs w:val="21"/>
                      <w:highlight w:val="none"/>
                      <w:lang w:val="en-US" w:eastAsia="zh-CN"/>
                    </w:rPr>
                  </w:pPr>
                  <w:r>
                    <w:rPr>
                      <w:rFonts w:hint="eastAsia"/>
                      <w:kern w:val="0"/>
                      <w:szCs w:val="21"/>
                      <w:highlight w:val="none"/>
                      <w:lang w:val="en-US" w:eastAsia="zh-CN" w:bidi="ar"/>
                    </w:rPr>
                    <w:t>2t/h</w:t>
                  </w:r>
                  <w:r>
                    <w:rPr>
                      <w:rFonts w:hint="eastAsia"/>
                      <w:bCs/>
                      <w:szCs w:val="21"/>
                      <w:highlight w:val="none"/>
                      <w:lang w:val="en-US" w:eastAsia="zh-CN"/>
                    </w:rPr>
                    <w:t>沼气锅炉</w:t>
                  </w:r>
                </w:p>
              </w:tc>
              <w:tc>
                <w:tcPr>
                  <w:tcW w:w="884" w:type="pct"/>
                  <w:tcBorders>
                    <w:top w:val="single" w:color="auto" w:sz="4" w:space="0"/>
                    <w:left w:val="single" w:color="auto" w:sz="4" w:space="0"/>
                    <w:bottom w:val="single" w:color="auto" w:sz="4" w:space="0"/>
                    <w:right w:val="single" w:color="auto" w:sz="4" w:space="0"/>
                  </w:tcBorders>
                  <w:vAlign w:val="center"/>
                </w:tcPr>
                <w:p w14:paraId="01DAF855">
                  <w:pPr>
                    <w:widowControl/>
                    <w:jc w:val="center"/>
                    <w:textAlignment w:val="center"/>
                    <w:rPr>
                      <w:rFonts w:hint="default" w:eastAsia="宋体"/>
                      <w:kern w:val="0"/>
                      <w:szCs w:val="21"/>
                      <w:highlight w:val="none"/>
                      <w:lang w:val="en-US" w:eastAsia="zh-CN" w:bidi="ar"/>
                    </w:rPr>
                  </w:pPr>
                  <w:r>
                    <w:rPr>
                      <w:rFonts w:hint="default" w:eastAsia="宋体"/>
                      <w:kern w:val="0"/>
                      <w:szCs w:val="21"/>
                      <w:highlight w:val="none"/>
                      <w:lang w:val="en-US" w:eastAsia="zh-CN" w:bidi="ar"/>
                    </w:rPr>
                    <w:t>CZI-1700GSA</w:t>
                  </w:r>
                </w:p>
              </w:tc>
              <w:tc>
                <w:tcPr>
                  <w:tcW w:w="507" w:type="pct"/>
                  <w:tcBorders>
                    <w:top w:val="single" w:color="auto" w:sz="4" w:space="0"/>
                    <w:left w:val="single" w:color="auto" w:sz="4" w:space="0"/>
                    <w:bottom w:val="single" w:color="auto" w:sz="4" w:space="0"/>
                    <w:right w:val="single" w:color="auto" w:sz="4" w:space="0"/>
                  </w:tcBorders>
                  <w:vAlign w:val="center"/>
                </w:tcPr>
                <w:p w14:paraId="4875983D">
                  <w:pPr>
                    <w:widowControl/>
                    <w:jc w:val="center"/>
                    <w:textAlignment w:val="center"/>
                    <w:rPr>
                      <w:rFonts w:eastAsiaTheme="minorEastAsia"/>
                      <w:bCs/>
                      <w:szCs w:val="21"/>
                      <w:highlight w:val="none"/>
                    </w:rPr>
                  </w:pPr>
                  <w:r>
                    <w:rPr>
                      <w:rFonts w:hint="eastAsia" w:eastAsiaTheme="minorEastAsia"/>
                      <w:bCs/>
                      <w:szCs w:val="21"/>
                      <w:highlight w:val="none"/>
                    </w:rPr>
                    <w:t>1</w:t>
                  </w:r>
                </w:p>
              </w:tc>
              <w:tc>
                <w:tcPr>
                  <w:tcW w:w="521" w:type="pct"/>
                  <w:tcBorders>
                    <w:top w:val="single" w:color="auto" w:sz="4" w:space="0"/>
                    <w:left w:val="single" w:color="auto" w:sz="4" w:space="0"/>
                    <w:bottom w:val="single" w:color="auto" w:sz="4" w:space="0"/>
                    <w:right w:val="single" w:color="auto" w:sz="4" w:space="0"/>
                  </w:tcBorders>
                  <w:vAlign w:val="center"/>
                </w:tcPr>
                <w:p w14:paraId="625E4150">
                  <w:pPr>
                    <w:widowControl/>
                    <w:jc w:val="center"/>
                    <w:textAlignment w:val="center"/>
                    <w:rPr>
                      <w:kern w:val="0"/>
                      <w:szCs w:val="21"/>
                      <w:highlight w:val="none"/>
                    </w:rPr>
                  </w:pPr>
                  <w:r>
                    <w:rPr>
                      <w:rFonts w:hint="eastAsia"/>
                      <w:kern w:val="0"/>
                      <w:szCs w:val="21"/>
                      <w:highlight w:val="none"/>
                    </w:rPr>
                    <w:t>台</w:t>
                  </w:r>
                </w:p>
              </w:tc>
              <w:tc>
                <w:tcPr>
                  <w:tcW w:w="676" w:type="pct"/>
                  <w:tcBorders>
                    <w:top w:val="single" w:color="auto" w:sz="4" w:space="0"/>
                    <w:left w:val="single" w:color="auto" w:sz="4" w:space="0"/>
                    <w:right w:val="single" w:color="auto" w:sz="4" w:space="0"/>
                  </w:tcBorders>
                  <w:vAlign w:val="center"/>
                </w:tcPr>
                <w:p w14:paraId="54FC9325">
                  <w:pPr>
                    <w:widowControl/>
                    <w:snapToGrid w:val="0"/>
                    <w:jc w:val="center"/>
                    <w:rPr>
                      <w:rFonts w:hint="eastAsia" w:eastAsia="宋体"/>
                      <w:bCs/>
                      <w:szCs w:val="21"/>
                      <w:highlight w:val="none"/>
                      <w:lang w:val="en-US" w:eastAsia="zh-CN"/>
                    </w:rPr>
                  </w:pPr>
                  <w:r>
                    <w:rPr>
                      <w:rFonts w:hint="eastAsia"/>
                      <w:bCs/>
                      <w:szCs w:val="21"/>
                      <w:highlight w:val="none"/>
                      <w:lang w:val="en-US" w:eastAsia="zh-CN"/>
                    </w:rPr>
                    <w:t>新增</w:t>
                  </w:r>
                </w:p>
              </w:tc>
            </w:tr>
            <w:tr w14:paraId="1F399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292" w:type="pct"/>
                  <w:vMerge w:val="continue"/>
                  <w:tcBorders>
                    <w:top w:val="single" w:color="auto" w:sz="4" w:space="0"/>
                    <w:left w:val="single" w:color="auto" w:sz="4" w:space="0"/>
                    <w:bottom w:val="single" w:color="auto" w:sz="4" w:space="0"/>
                    <w:right w:val="single" w:color="auto" w:sz="4" w:space="0"/>
                  </w:tcBorders>
                  <w:vAlign w:val="center"/>
                </w:tcPr>
                <w:p w14:paraId="39B98B43">
                  <w:pPr>
                    <w:widowControl/>
                    <w:jc w:val="center"/>
                    <w:rPr>
                      <w:rFonts w:eastAsiaTheme="minorEastAsia"/>
                      <w:szCs w:val="21"/>
                      <w:highlight w:val="none"/>
                    </w:rPr>
                  </w:pPr>
                </w:p>
              </w:tc>
              <w:tc>
                <w:tcPr>
                  <w:tcW w:w="517" w:type="pct"/>
                  <w:vMerge w:val="continue"/>
                  <w:tcBorders>
                    <w:top w:val="single" w:color="auto" w:sz="4" w:space="0"/>
                    <w:left w:val="single" w:color="auto" w:sz="4" w:space="0"/>
                    <w:bottom w:val="single" w:color="auto" w:sz="4" w:space="0"/>
                    <w:right w:val="single" w:color="auto" w:sz="4" w:space="0"/>
                  </w:tcBorders>
                  <w:vAlign w:val="center"/>
                </w:tcPr>
                <w:p w14:paraId="2A0B6C94">
                  <w:pPr>
                    <w:widowControl/>
                    <w:jc w:val="center"/>
                    <w:rPr>
                      <w:rFonts w:eastAsiaTheme="minorEastAsia"/>
                      <w:kern w:val="0"/>
                      <w:szCs w:val="21"/>
                      <w:highlight w:val="none"/>
                    </w:rPr>
                  </w:pPr>
                </w:p>
              </w:tc>
              <w:tc>
                <w:tcPr>
                  <w:tcW w:w="738" w:type="pct"/>
                  <w:vMerge w:val="continue"/>
                  <w:tcBorders>
                    <w:left w:val="single" w:color="auto" w:sz="4" w:space="0"/>
                    <w:right w:val="single" w:color="auto" w:sz="4" w:space="0"/>
                  </w:tcBorders>
                  <w:vAlign w:val="center"/>
                </w:tcPr>
                <w:p w14:paraId="13512AA8">
                  <w:pPr>
                    <w:widowControl/>
                    <w:jc w:val="center"/>
                    <w:rPr>
                      <w:rFonts w:eastAsiaTheme="minorEastAsia"/>
                      <w:kern w:val="0"/>
                      <w:szCs w:val="21"/>
                      <w:highlight w:val="none"/>
                    </w:rPr>
                  </w:pPr>
                </w:p>
              </w:tc>
              <w:tc>
                <w:tcPr>
                  <w:tcW w:w="860" w:type="pct"/>
                  <w:tcBorders>
                    <w:top w:val="single" w:color="auto" w:sz="4" w:space="0"/>
                    <w:left w:val="single" w:color="auto" w:sz="4" w:space="0"/>
                    <w:bottom w:val="single" w:color="auto" w:sz="4" w:space="0"/>
                    <w:right w:val="single" w:color="auto" w:sz="4" w:space="0"/>
                  </w:tcBorders>
                  <w:vAlign w:val="center"/>
                </w:tcPr>
                <w:p w14:paraId="2BDE2E0C">
                  <w:pPr>
                    <w:widowControl/>
                    <w:jc w:val="center"/>
                    <w:textAlignment w:val="center"/>
                    <w:rPr>
                      <w:rFonts w:hint="eastAsia" w:eastAsia="宋体"/>
                      <w:bCs/>
                      <w:szCs w:val="21"/>
                      <w:highlight w:val="none"/>
                      <w:lang w:eastAsia="zh-CN"/>
                    </w:rPr>
                  </w:pPr>
                  <w:r>
                    <w:rPr>
                      <w:rFonts w:hint="eastAsia" w:ascii="宋体" w:hAnsi="宋体" w:cs="宋体"/>
                      <w:kern w:val="0"/>
                      <w:szCs w:val="21"/>
                      <w:highlight w:val="none"/>
                      <w:lang w:val="en-US" w:eastAsia="zh-CN" w:bidi="ar"/>
                    </w:rPr>
                    <w:t>低氮燃烧器</w:t>
                  </w:r>
                </w:p>
              </w:tc>
              <w:tc>
                <w:tcPr>
                  <w:tcW w:w="884" w:type="pct"/>
                  <w:tcBorders>
                    <w:top w:val="single" w:color="auto" w:sz="4" w:space="0"/>
                    <w:left w:val="single" w:color="auto" w:sz="4" w:space="0"/>
                    <w:bottom w:val="single" w:color="auto" w:sz="4" w:space="0"/>
                    <w:right w:val="single" w:color="auto" w:sz="4" w:space="0"/>
                  </w:tcBorders>
                  <w:vAlign w:val="center"/>
                </w:tcPr>
                <w:p w14:paraId="059952FC">
                  <w:pPr>
                    <w:widowControl/>
                    <w:jc w:val="center"/>
                    <w:textAlignment w:val="center"/>
                    <w:rPr>
                      <w:rFonts w:hint="eastAsia" w:eastAsia="宋体"/>
                      <w:bCs/>
                      <w:szCs w:val="21"/>
                      <w:highlight w:val="none"/>
                      <w:lang w:val="en-US" w:eastAsia="zh-CN"/>
                    </w:rPr>
                  </w:pPr>
                  <w:r>
                    <w:rPr>
                      <w:rFonts w:hint="eastAsia"/>
                      <w:bCs/>
                      <w:szCs w:val="21"/>
                      <w:highlight w:val="none"/>
                      <w:lang w:val="en-US" w:eastAsia="zh-CN"/>
                    </w:rPr>
                    <w:t>/</w:t>
                  </w:r>
                </w:p>
              </w:tc>
              <w:tc>
                <w:tcPr>
                  <w:tcW w:w="507" w:type="pct"/>
                  <w:tcBorders>
                    <w:top w:val="single" w:color="auto" w:sz="4" w:space="0"/>
                    <w:left w:val="single" w:color="auto" w:sz="4" w:space="0"/>
                    <w:bottom w:val="single" w:color="auto" w:sz="4" w:space="0"/>
                    <w:right w:val="single" w:color="auto" w:sz="4" w:space="0"/>
                  </w:tcBorders>
                  <w:vAlign w:val="center"/>
                </w:tcPr>
                <w:p w14:paraId="6611521B">
                  <w:pPr>
                    <w:widowControl/>
                    <w:jc w:val="center"/>
                    <w:textAlignment w:val="center"/>
                    <w:rPr>
                      <w:rFonts w:eastAsiaTheme="minorEastAsia"/>
                      <w:bCs/>
                      <w:szCs w:val="21"/>
                      <w:highlight w:val="none"/>
                    </w:rPr>
                  </w:pPr>
                  <w:r>
                    <w:rPr>
                      <w:bCs/>
                      <w:szCs w:val="21"/>
                      <w:highlight w:val="none"/>
                    </w:rPr>
                    <w:t>1</w:t>
                  </w:r>
                </w:p>
              </w:tc>
              <w:tc>
                <w:tcPr>
                  <w:tcW w:w="521" w:type="pct"/>
                  <w:tcBorders>
                    <w:top w:val="single" w:color="auto" w:sz="4" w:space="0"/>
                    <w:left w:val="single" w:color="auto" w:sz="4" w:space="0"/>
                    <w:bottom w:val="single" w:color="auto" w:sz="4" w:space="0"/>
                    <w:right w:val="single" w:color="auto" w:sz="4" w:space="0"/>
                  </w:tcBorders>
                  <w:vAlign w:val="center"/>
                </w:tcPr>
                <w:p w14:paraId="4187B75E">
                  <w:pPr>
                    <w:widowControl/>
                    <w:jc w:val="center"/>
                    <w:textAlignment w:val="center"/>
                    <w:rPr>
                      <w:rFonts w:hint="eastAsia" w:eastAsia="宋体"/>
                      <w:bCs/>
                      <w:szCs w:val="21"/>
                      <w:highlight w:val="none"/>
                      <w:lang w:val="en-US" w:eastAsia="zh-CN"/>
                    </w:rPr>
                  </w:pPr>
                  <w:r>
                    <w:rPr>
                      <w:rFonts w:hint="eastAsia"/>
                      <w:bCs/>
                      <w:szCs w:val="21"/>
                      <w:highlight w:val="none"/>
                      <w:lang w:val="en-US" w:eastAsia="zh-CN"/>
                    </w:rPr>
                    <w:t>套</w:t>
                  </w:r>
                </w:p>
              </w:tc>
              <w:tc>
                <w:tcPr>
                  <w:tcW w:w="676" w:type="pct"/>
                  <w:tcBorders>
                    <w:left w:val="single" w:color="auto" w:sz="4" w:space="0"/>
                    <w:right w:val="single" w:color="auto" w:sz="4" w:space="0"/>
                  </w:tcBorders>
                  <w:vAlign w:val="center"/>
                </w:tcPr>
                <w:p w14:paraId="0E9257A9">
                  <w:pPr>
                    <w:widowControl/>
                    <w:jc w:val="center"/>
                    <w:rPr>
                      <w:rFonts w:hint="default" w:eastAsiaTheme="minorEastAsia"/>
                      <w:bCs/>
                      <w:szCs w:val="21"/>
                      <w:highlight w:val="none"/>
                      <w:lang w:val="en-US" w:eastAsia="zh-CN"/>
                    </w:rPr>
                  </w:pPr>
                  <w:r>
                    <w:rPr>
                      <w:rFonts w:hint="eastAsia" w:ascii="Times New Roman" w:hAnsi="Times New Roman" w:eastAsia="宋体" w:cs="Times New Roman"/>
                      <w:bCs/>
                      <w:szCs w:val="21"/>
                      <w:highlight w:val="none"/>
                      <w:lang w:val="en-US" w:eastAsia="zh-CN"/>
                    </w:rPr>
                    <w:t>新增</w:t>
                  </w:r>
                </w:p>
              </w:tc>
            </w:tr>
            <w:tr w14:paraId="76D5A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2" w:type="pct"/>
                  <w:vMerge w:val="continue"/>
                  <w:tcBorders>
                    <w:top w:val="single" w:color="auto" w:sz="4" w:space="0"/>
                    <w:left w:val="single" w:color="auto" w:sz="4" w:space="0"/>
                    <w:bottom w:val="single" w:color="auto" w:sz="4" w:space="0"/>
                    <w:right w:val="single" w:color="auto" w:sz="4" w:space="0"/>
                  </w:tcBorders>
                  <w:vAlign w:val="center"/>
                </w:tcPr>
                <w:p w14:paraId="00939EBB">
                  <w:pPr>
                    <w:widowControl/>
                    <w:jc w:val="center"/>
                    <w:rPr>
                      <w:rFonts w:eastAsiaTheme="minorEastAsia"/>
                      <w:szCs w:val="21"/>
                      <w:highlight w:val="none"/>
                    </w:rPr>
                  </w:pPr>
                </w:p>
              </w:tc>
              <w:tc>
                <w:tcPr>
                  <w:tcW w:w="517" w:type="pct"/>
                  <w:vMerge w:val="continue"/>
                  <w:tcBorders>
                    <w:top w:val="single" w:color="auto" w:sz="4" w:space="0"/>
                    <w:left w:val="single" w:color="auto" w:sz="4" w:space="0"/>
                    <w:bottom w:val="single" w:color="auto" w:sz="4" w:space="0"/>
                    <w:right w:val="single" w:color="auto" w:sz="4" w:space="0"/>
                  </w:tcBorders>
                  <w:vAlign w:val="center"/>
                </w:tcPr>
                <w:p w14:paraId="3A3D263A">
                  <w:pPr>
                    <w:widowControl/>
                    <w:jc w:val="center"/>
                    <w:rPr>
                      <w:rFonts w:eastAsiaTheme="minorEastAsia"/>
                      <w:kern w:val="0"/>
                      <w:szCs w:val="21"/>
                      <w:highlight w:val="none"/>
                    </w:rPr>
                  </w:pPr>
                </w:p>
              </w:tc>
              <w:tc>
                <w:tcPr>
                  <w:tcW w:w="738" w:type="pct"/>
                  <w:vMerge w:val="continue"/>
                  <w:tcBorders>
                    <w:left w:val="single" w:color="auto" w:sz="4" w:space="0"/>
                    <w:bottom w:val="single" w:color="auto" w:sz="4" w:space="0"/>
                    <w:right w:val="single" w:color="auto" w:sz="4" w:space="0"/>
                  </w:tcBorders>
                  <w:vAlign w:val="center"/>
                </w:tcPr>
                <w:p w14:paraId="56F0650C">
                  <w:pPr>
                    <w:widowControl/>
                    <w:jc w:val="center"/>
                    <w:rPr>
                      <w:rFonts w:eastAsiaTheme="minorEastAsia"/>
                      <w:kern w:val="0"/>
                      <w:szCs w:val="21"/>
                      <w:highlight w:val="none"/>
                    </w:rPr>
                  </w:pPr>
                </w:p>
              </w:tc>
              <w:tc>
                <w:tcPr>
                  <w:tcW w:w="860" w:type="pct"/>
                  <w:tcBorders>
                    <w:top w:val="single" w:color="auto" w:sz="4" w:space="0"/>
                    <w:left w:val="single" w:color="auto" w:sz="4" w:space="0"/>
                    <w:bottom w:val="single" w:color="auto" w:sz="4" w:space="0"/>
                    <w:right w:val="single" w:color="auto" w:sz="4" w:space="0"/>
                  </w:tcBorders>
                  <w:vAlign w:val="center"/>
                </w:tcPr>
                <w:p w14:paraId="5F616AD4">
                  <w:pPr>
                    <w:widowControl/>
                    <w:jc w:val="center"/>
                    <w:textAlignment w:val="center"/>
                    <w:rPr>
                      <w:rFonts w:hint="eastAsia" w:eastAsia="宋体"/>
                      <w:bCs/>
                      <w:szCs w:val="21"/>
                      <w:highlight w:val="none"/>
                      <w:lang w:eastAsia="zh-CN"/>
                    </w:rPr>
                  </w:pPr>
                  <w:r>
                    <w:rPr>
                      <w:rFonts w:hint="eastAsia" w:ascii="宋体" w:hAnsi="宋体" w:cs="宋体"/>
                      <w:kern w:val="0"/>
                      <w:szCs w:val="21"/>
                      <w:highlight w:val="none"/>
                      <w:lang w:val="en-US" w:eastAsia="zh-CN" w:bidi="ar"/>
                    </w:rPr>
                    <w:t>鼓风机</w:t>
                  </w:r>
                </w:p>
              </w:tc>
              <w:tc>
                <w:tcPr>
                  <w:tcW w:w="884" w:type="pct"/>
                  <w:tcBorders>
                    <w:top w:val="single" w:color="auto" w:sz="4" w:space="0"/>
                    <w:left w:val="single" w:color="auto" w:sz="4" w:space="0"/>
                    <w:bottom w:val="single" w:color="auto" w:sz="4" w:space="0"/>
                    <w:right w:val="single" w:color="auto" w:sz="4" w:space="0"/>
                  </w:tcBorders>
                  <w:vAlign w:val="center"/>
                </w:tcPr>
                <w:p w14:paraId="374C2F51">
                  <w:pPr>
                    <w:widowControl/>
                    <w:jc w:val="center"/>
                    <w:textAlignment w:val="center"/>
                    <w:rPr>
                      <w:rFonts w:hint="default" w:eastAsia="宋体"/>
                      <w:kern w:val="0"/>
                      <w:szCs w:val="21"/>
                      <w:highlight w:val="none"/>
                      <w:lang w:val="en-US" w:eastAsia="zh-CN" w:bidi="ar"/>
                    </w:rPr>
                  </w:pPr>
                  <w:r>
                    <w:rPr>
                      <w:rFonts w:hint="eastAsia"/>
                      <w:kern w:val="0"/>
                      <w:szCs w:val="21"/>
                      <w:highlight w:val="none"/>
                      <w:lang w:val="en-US" w:eastAsia="zh-CN" w:bidi="ar"/>
                    </w:rPr>
                    <w:t>单级涡轮式</w:t>
                  </w:r>
                </w:p>
              </w:tc>
              <w:tc>
                <w:tcPr>
                  <w:tcW w:w="507" w:type="pct"/>
                  <w:tcBorders>
                    <w:top w:val="single" w:color="auto" w:sz="4" w:space="0"/>
                    <w:left w:val="single" w:color="auto" w:sz="4" w:space="0"/>
                    <w:bottom w:val="single" w:color="auto" w:sz="4" w:space="0"/>
                    <w:right w:val="single" w:color="auto" w:sz="4" w:space="0"/>
                  </w:tcBorders>
                  <w:vAlign w:val="center"/>
                </w:tcPr>
                <w:p w14:paraId="00C00A46">
                  <w:pPr>
                    <w:widowControl/>
                    <w:jc w:val="center"/>
                    <w:textAlignment w:val="center"/>
                    <w:rPr>
                      <w:rFonts w:hint="eastAsia" w:eastAsiaTheme="minorEastAsia"/>
                      <w:bCs/>
                      <w:szCs w:val="21"/>
                      <w:highlight w:val="none"/>
                      <w:lang w:val="en-US" w:eastAsia="zh-CN"/>
                    </w:rPr>
                  </w:pPr>
                  <w:r>
                    <w:rPr>
                      <w:rFonts w:hint="eastAsia" w:eastAsiaTheme="minorEastAsia"/>
                      <w:bCs/>
                      <w:szCs w:val="21"/>
                      <w:highlight w:val="none"/>
                      <w:lang w:val="en-US" w:eastAsia="zh-CN"/>
                    </w:rPr>
                    <w:t>1</w:t>
                  </w:r>
                </w:p>
              </w:tc>
              <w:tc>
                <w:tcPr>
                  <w:tcW w:w="521" w:type="pct"/>
                  <w:tcBorders>
                    <w:top w:val="single" w:color="auto" w:sz="4" w:space="0"/>
                    <w:left w:val="single" w:color="auto" w:sz="4" w:space="0"/>
                    <w:bottom w:val="single" w:color="auto" w:sz="4" w:space="0"/>
                    <w:right w:val="single" w:color="auto" w:sz="4" w:space="0"/>
                  </w:tcBorders>
                  <w:vAlign w:val="center"/>
                </w:tcPr>
                <w:p w14:paraId="6256DCB8">
                  <w:pPr>
                    <w:widowControl/>
                    <w:jc w:val="center"/>
                    <w:textAlignment w:val="center"/>
                    <w:rPr>
                      <w:kern w:val="0"/>
                      <w:szCs w:val="21"/>
                      <w:highlight w:val="none"/>
                    </w:rPr>
                  </w:pPr>
                  <w:r>
                    <w:rPr>
                      <w:rFonts w:hint="eastAsia"/>
                      <w:kern w:val="0"/>
                      <w:szCs w:val="21"/>
                      <w:highlight w:val="none"/>
                    </w:rPr>
                    <w:t>台</w:t>
                  </w:r>
                </w:p>
              </w:tc>
              <w:tc>
                <w:tcPr>
                  <w:tcW w:w="676" w:type="pct"/>
                  <w:tcBorders>
                    <w:left w:val="single" w:color="auto" w:sz="4" w:space="0"/>
                    <w:right w:val="single" w:color="auto" w:sz="4" w:space="0"/>
                  </w:tcBorders>
                  <w:vAlign w:val="center"/>
                </w:tcPr>
                <w:p w14:paraId="395E6F03">
                  <w:pPr>
                    <w:widowControl/>
                    <w:jc w:val="center"/>
                    <w:rPr>
                      <w:kern w:val="0"/>
                      <w:szCs w:val="21"/>
                      <w:highlight w:val="none"/>
                    </w:rPr>
                  </w:pPr>
                  <w:r>
                    <w:rPr>
                      <w:rFonts w:hint="eastAsia"/>
                      <w:bCs/>
                      <w:szCs w:val="21"/>
                      <w:highlight w:val="none"/>
                      <w:lang w:val="en-US" w:eastAsia="zh-CN"/>
                    </w:rPr>
                    <w:t>新增</w:t>
                  </w:r>
                </w:p>
              </w:tc>
            </w:tr>
            <w:tr w14:paraId="06753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292" w:type="pct"/>
                  <w:vMerge w:val="restart"/>
                  <w:tcBorders>
                    <w:top w:val="single" w:color="auto" w:sz="4" w:space="0"/>
                    <w:left w:val="single" w:color="auto" w:sz="4" w:space="0"/>
                    <w:right w:val="single" w:color="auto" w:sz="4" w:space="0"/>
                  </w:tcBorders>
                  <w:vAlign w:val="center"/>
                </w:tcPr>
                <w:p w14:paraId="3D86EFDC">
                  <w:pPr>
                    <w:jc w:val="center"/>
                    <w:rPr>
                      <w:szCs w:val="21"/>
                      <w:highlight w:val="none"/>
                    </w:rPr>
                  </w:pPr>
                  <w:r>
                    <w:rPr>
                      <w:szCs w:val="21"/>
                      <w:highlight w:val="none"/>
                    </w:rPr>
                    <w:t>2</w:t>
                  </w:r>
                </w:p>
              </w:tc>
              <w:tc>
                <w:tcPr>
                  <w:tcW w:w="517" w:type="pct"/>
                  <w:vMerge w:val="restart"/>
                  <w:tcBorders>
                    <w:top w:val="single" w:color="auto" w:sz="4" w:space="0"/>
                    <w:left w:val="single" w:color="auto" w:sz="4" w:space="0"/>
                    <w:right w:val="single" w:color="auto" w:sz="4" w:space="0"/>
                  </w:tcBorders>
                  <w:vAlign w:val="center"/>
                </w:tcPr>
                <w:p w14:paraId="7CACA7E8">
                  <w:pPr>
                    <w:jc w:val="center"/>
                    <w:rPr>
                      <w:kern w:val="0"/>
                      <w:szCs w:val="21"/>
                      <w:highlight w:val="none"/>
                    </w:rPr>
                  </w:pPr>
                  <w:r>
                    <w:rPr>
                      <w:rFonts w:hint="eastAsia" w:ascii="Times New Roman" w:hAnsi="Times New Roman" w:eastAsia="宋体" w:cs="Times New Roman"/>
                      <w:color w:val="000000"/>
                      <w:szCs w:val="21"/>
                      <w:highlight w:val="none"/>
                      <w:lang w:val="en-US" w:eastAsia="zh-CN"/>
                    </w:rPr>
                    <w:t>辅助单元</w:t>
                  </w:r>
                </w:p>
              </w:tc>
              <w:tc>
                <w:tcPr>
                  <w:tcW w:w="738" w:type="pct"/>
                  <w:vMerge w:val="restart"/>
                  <w:tcBorders>
                    <w:top w:val="single" w:color="auto" w:sz="4" w:space="0"/>
                    <w:left w:val="single" w:color="auto" w:sz="4" w:space="0"/>
                    <w:right w:val="single" w:color="auto" w:sz="4" w:space="0"/>
                  </w:tcBorders>
                  <w:vAlign w:val="center"/>
                </w:tcPr>
                <w:p w14:paraId="06B25915">
                  <w:pPr>
                    <w:jc w:val="center"/>
                    <w:rPr>
                      <w:kern w:val="0"/>
                      <w:szCs w:val="21"/>
                      <w:highlight w:val="none"/>
                    </w:rPr>
                  </w:pPr>
                  <w:r>
                    <w:rPr>
                      <w:rFonts w:hint="eastAsia" w:ascii="Times New Roman" w:hAnsi="Times New Roman" w:eastAsia="宋体" w:cs="Times New Roman"/>
                      <w:color w:val="000000"/>
                      <w:szCs w:val="21"/>
                      <w:highlight w:val="none"/>
                      <w:lang w:val="en-US" w:eastAsia="zh-CN"/>
                    </w:rPr>
                    <w:t>软化水制备系统</w:t>
                  </w:r>
                </w:p>
              </w:tc>
              <w:tc>
                <w:tcPr>
                  <w:tcW w:w="860" w:type="pct"/>
                  <w:tcBorders>
                    <w:top w:val="single" w:color="auto" w:sz="4" w:space="0"/>
                    <w:left w:val="single" w:color="auto" w:sz="4" w:space="0"/>
                    <w:bottom w:val="single" w:color="auto" w:sz="4" w:space="0"/>
                    <w:right w:val="single" w:color="auto" w:sz="4" w:space="0"/>
                  </w:tcBorders>
                  <w:vAlign w:val="center"/>
                </w:tcPr>
                <w:p w14:paraId="03104064">
                  <w:pPr>
                    <w:widowControl/>
                    <w:jc w:val="center"/>
                    <w:rPr>
                      <w:rFonts w:hint="default" w:eastAsia="宋体"/>
                      <w:kern w:val="0"/>
                      <w:szCs w:val="21"/>
                      <w:highlight w:val="none"/>
                      <w:lang w:val="en-US" w:eastAsia="zh-CN"/>
                    </w:rPr>
                  </w:pPr>
                  <w:r>
                    <w:rPr>
                      <w:rFonts w:hint="eastAsia" w:ascii="Times New Roman" w:hAnsi="Times New Roman" w:eastAsia="宋体" w:cs="Times New Roman"/>
                      <w:color w:val="000000"/>
                      <w:szCs w:val="21"/>
                      <w:highlight w:val="none"/>
                      <w:lang w:val="en-US" w:eastAsia="zh-CN"/>
                    </w:rPr>
                    <w:t>软化水制备设施</w:t>
                  </w:r>
                </w:p>
              </w:tc>
              <w:tc>
                <w:tcPr>
                  <w:tcW w:w="884" w:type="pct"/>
                  <w:tcBorders>
                    <w:top w:val="single" w:color="auto" w:sz="4" w:space="0"/>
                    <w:left w:val="single" w:color="auto" w:sz="4" w:space="0"/>
                    <w:bottom w:val="single" w:color="auto" w:sz="4" w:space="0"/>
                    <w:right w:val="single" w:color="auto" w:sz="4" w:space="0"/>
                  </w:tcBorders>
                  <w:vAlign w:val="center"/>
                </w:tcPr>
                <w:p w14:paraId="2182F3ED">
                  <w:pPr>
                    <w:widowControl/>
                    <w:snapToGrid w:val="0"/>
                    <w:jc w:val="center"/>
                    <w:rPr>
                      <w:rFonts w:hint="default" w:eastAsia="宋体"/>
                      <w:bCs/>
                      <w:szCs w:val="21"/>
                      <w:highlight w:val="none"/>
                      <w:lang w:val="en-US" w:eastAsia="zh-CN"/>
                    </w:rPr>
                  </w:pPr>
                  <w:r>
                    <w:rPr>
                      <w:rFonts w:hint="eastAsia"/>
                      <w:bCs/>
                      <w:szCs w:val="21"/>
                      <w:highlight w:val="none"/>
                      <w:lang w:val="en-US" w:eastAsia="zh-CN"/>
                    </w:rPr>
                    <w:t>MS-100C</w:t>
                  </w:r>
                </w:p>
              </w:tc>
              <w:tc>
                <w:tcPr>
                  <w:tcW w:w="507" w:type="pct"/>
                  <w:tcBorders>
                    <w:top w:val="single" w:color="auto" w:sz="4" w:space="0"/>
                    <w:left w:val="single" w:color="auto" w:sz="4" w:space="0"/>
                    <w:bottom w:val="single" w:color="auto" w:sz="4" w:space="0"/>
                    <w:right w:val="single" w:color="auto" w:sz="4" w:space="0"/>
                  </w:tcBorders>
                  <w:vAlign w:val="center"/>
                </w:tcPr>
                <w:p w14:paraId="37D49C66">
                  <w:pPr>
                    <w:widowControl/>
                    <w:snapToGrid w:val="0"/>
                    <w:jc w:val="center"/>
                    <w:rPr>
                      <w:bCs/>
                      <w:szCs w:val="21"/>
                      <w:highlight w:val="none"/>
                    </w:rPr>
                  </w:pPr>
                  <w:r>
                    <w:rPr>
                      <w:bCs/>
                      <w:szCs w:val="21"/>
                      <w:highlight w:val="none"/>
                    </w:rPr>
                    <w:t>1</w:t>
                  </w:r>
                </w:p>
              </w:tc>
              <w:tc>
                <w:tcPr>
                  <w:tcW w:w="521" w:type="pct"/>
                  <w:tcBorders>
                    <w:top w:val="single" w:color="auto" w:sz="4" w:space="0"/>
                    <w:left w:val="single" w:color="auto" w:sz="4" w:space="0"/>
                    <w:bottom w:val="single" w:color="auto" w:sz="4" w:space="0"/>
                    <w:right w:val="single" w:color="auto" w:sz="4" w:space="0"/>
                  </w:tcBorders>
                  <w:vAlign w:val="center"/>
                </w:tcPr>
                <w:p w14:paraId="7280C29A">
                  <w:pPr>
                    <w:widowControl/>
                    <w:snapToGrid w:val="0"/>
                    <w:jc w:val="center"/>
                    <w:rPr>
                      <w:rFonts w:hint="eastAsia" w:eastAsia="宋体"/>
                      <w:kern w:val="0"/>
                      <w:szCs w:val="21"/>
                      <w:highlight w:val="none"/>
                      <w:lang w:val="en-US" w:eastAsia="zh-CN"/>
                    </w:rPr>
                  </w:pPr>
                  <w:r>
                    <w:rPr>
                      <w:rFonts w:hint="eastAsia"/>
                      <w:kern w:val="0"/>
                      <w:szCs w:val="21"/>
                      <w:highlight w:val="none"/>
                      <w:lang w:val="en-US" w:eastAsia="zh-CN"/>
                    </w:rPr>
                    <w:t>套</w:t>
                  </w:r>
                </w:p>
              </w:tc>
              <w:tc>
                <w:tcPr>
                  <w:tcW w:w="676" w:type="pct"/>
                  <w:tcBorders>
                    <w:left w:val="single" w:color="auto" w:sz="4" w:space="0"/>
                    <w:right w:val="single" w:color="auto" w:sz="4" w:space="0"/>
                  </w:tcBorders>
                  <w:vAlign w:val="center"/>
                </w:tcPr>
                <w:p w14:paraId="50B68E12">
                  <w:pPr>
                    <w:widowControl/>
                    <w:snapToGrid w:val="0"/>
                    <w:jc w:val="center"/>
                    <w:rPr>
                      <w:rFonts w:hint="eastAsia" w:eastAsia="宋体"/>
                      <w:bCs/>
                      <w:szCs w:val="21"/>
                      <w:highlight w:val="none"/>
                      <w:lang w:val="en-US" w:eastAsia="zh-CN"/>
                    </w:rPr>
                  </w:pPr>
                  <w:r>
                    <w:rPr>
                      <w:rFonts w:hint="eastAsia"/>
                      <w:bCs/>
                      <w:szCs w:val="21"/>
                      <w:highlight w:val="none"/>
                      <w:lang w:val="en-US" w:eastAsia="zh-CN"/>
                    </w:rPr>
                    <w:t>新增</w:t>
                  </w:r>
                </w:p>
              </w:tc>
            </w:tr>
            <w:tr w14:paraId="1E672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62" w:hRule="atLeast"/>
                <w:jc w:val="center"/>
              </w:trPr>
              <w:tc>
                <w:tcPr>
                  <w:tcW w:w="292" w:type="pct"/>
                  <w:vMerge w:val="continue"/>
                  <w:tcBorders>
                    <w:left w:val="single" w:color="auto" w:sz="4" w:space="0"/>
                    <w:right w:val="single" w:color="auto" w:sz="4" w:space="0"/>
                  </w:tcBorders>
                  <w:vAlign w:val="center"/>
                </w:tcPr>
                <w:p w14:paraId="6D2353B9">
                  <w:pPr>
                    <w:jc w:val="center"/>
                    <w:rPr>
                      <w:szCs w:val="21"/>
                      <w:highlight w:val="none"/>
                    </w:rPr>
                  </w:pPr>
                </w:p>
              </w:tc>
              <w:tc>
                <w:tcPr>
                  <w:tcW w:w="517" w:type="pct"/>
                  <w:vMerge w:val="continue"/>
                  <w:tcBorders>
                    <w:left w:val="single" w:color="auto" w:sz="4" w:space="0"/>
                    <w:right w:val="single" w:color="auto" w:sz="4" w:space="0"/>
                  </w:tcBorders>
                  <w:vAlign w:val="center"/>
                </w:tcPr>
                <w:p w14:paraId="791C4678">
                  <w:pPr>
                    <w:jc w:val="center"/>
                    <w:rPr>
                      <w:rFonts w:hint="eastAsia" w:ascii="Times New Roman" w:hAnsi="Times New Roman" w:eastAsia="宋体" w:cs="Times New Roman"/>
                      <w:color w:val="000000"/>
                      <w:szCs w:val="21"/>
                      <w:highlight w:val="none"/>
                      <w:lang w:val="en-US" w:eastAsia="zh-CN"/>
                    </w:rPr>
                  </w:pPr>
                </w:p>
              </w:tc>
              <w:tc>
                <w:tcPr>
                  <w:tcW w:w="738" w:type="pct"/>
                  <w:vMerge w:val="continue"/>
                  <w:tcBorders>
                    <w:left w:val="single" w:color="auto" w:sz="4" w:space="0"/>
                    <w:right w:val="single" w:color="auto" w:sz="4" w:space="0"/>
                  </w:tcBorders>
                  <w:vAlign w:val="center"/>
                </w:tcPr>
                <w:p w14:paraId="47A60D5F">
                  <w:pPr>
                    <w:jc w:val="center"/>
                    <w:rPr>
                      <w:rFonts w:hint="eastAsia" w:ascii="Times New Roman" w:hAnsi="Times New Roman" w:eastAsia="宋体" w:cs="Times New Roman"/>
                      <w:color w:val="000000"/>
                      <w:szCs w:val="21"/>
                      <w:highlight w:val="none"/>
                      <w:lang w:val="en-US" w:eastAsia="zh-CN"/>
                    </w:rPr>
                  </w:pPr>
                </w:p>
              </w:tc>
              <w:tc>
                <w:tcPr>
                  <w:tcW w:w="860" w:type="pct"/>
                  <w:tcBorders>
                    <w:top w:val="single" w:color="auto" w:sz="4" w:space="0"/>
                    <w:left w:val="single" w:color="auto" w:sz="4" w:space="0"/>
                    <w:bottom w:val="single" w:color="auto" w:sz="4" w:space="0"/>
                    <w:right w:val="single" w:color="auto" w:sz="4" w:space="0"/>
                  </w:tcBorders>
                  <w:shd w:val="clear" w:color="auto" w:fill="auto"/>
                  <w:vAlign w:val="center"/>
                </w:tcPr>
                <w:p w14:paraId="7C371012">
                  <w:pPr>
                    <w:widowControl/>
                    <w:jc w:val="center"/>
                    <w:textAlignment w:val="center"/>
                    <w:rPr>
                      <w:rFonts w:hint="eastAsia" w:ascii="Times New Roman" w:hAnsi="Times New Roman" w:eastAsia="宋体" w:cs="Times New Roman"/>
                      <w:bCs/>
                      <w:kern w:val="2"/>
                      <w:sz w:val="21"/>
                      <w:szCs w:val="21"/>
                      <w:highlight w:val="none"/>
                      <w:lang w:val="en-US" w:eastAsia="zh-CN" w:bidi="ar-SA"/>
                    </w:rPr>
                  </w:pPr>
                  <w:r>
                    <w:rPr>
                      <w:rFonts w:hint="eastAsia" w:ascii="宋体" w:hAnsi="宋体" w:cs="宋体"/>
                      <w:kern w:val="0"/>
                      <w:szCs w:val="21"/>
                      <w:highlight w:val="none"/>
                      <w:lang w:val="en-US" w:eastAsia="zh-CN" w:bidi="ar"/>
                    </w:rPr>
                    <w:t>给水泵</w:t>
                  </w:r>
                </w:p>
              </w:tc>
              <w:tc>
                <w:tcPr>
                  <w:tcW w:w="884" w:type="pct"/>
                  <w:tcBorders>
                    <w:top w:val="single" w:color="auto" w:sz="4" w:space="0"/>
                    <w:left w:val="single" w:color="auto" w:sz="4" w:space="0"/>
                    <w:bottom w:val="single" w:color="auto" w:sz="4" w:space="0"/>
                    <w:right w:val="single" w:color="auto" w:sz="4" w:space="0"/>
                  </w:tcBorders>
                  <w:shd w:val="clear" w:color="auto" w:fill="auto"/>
                  <w:vAlign w:val="center"/>
                </w:tcPr>
                <w:p w14:paraId="6EA4D1D9">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w:t>
                  </w:r>
                </w:p>
              </w:tc>
              <w:tc>
                <w:tcPr>
                  <w:tcW w:w="507" w:type="pct"/>
                  <w:tcBorders>
                    <w:top w:val="single" w:color="auto" w:sz="4" w:space="0"/>
                    <w:left w:val="single" w:color="auto" w:sz="4" w:space="0"/>
                    <w:bottom w:val="single" w:color="auto" w:sz="4" w:space="0"/>
                    <w:right w:val="single" w:color="auto" w:sz="4" w:space="0"/>
                  </w:tcBorders>
                  <w:shd w:val="clear" w:color="auto" w:fill="auto"/>
                  <w:vAlign w:val="center"/>
                </w:tcPr>
                <w:p w14:paraId="03FD4B6E">
                  <w:pPr>
                    <w:widowControl/>
                    <w:jc w:val="center"/>
                    <w:textAlignment w:val="center"/>
                    <w:rPr>
                      <w:rFonts w:hint="eastAsia" w:ascii="Times New Roman" w:hAnsi="Times New Roman" w:cs="Times New Roman" w:eastAsiaTheme="minorEastAsia"/>
                      <w:bCs/>
                      <w:kern w:val="2"/>
                      <w:sz w:val="21"/>
                      <w:szCs w:val="21"/>
                      <w:highlight w:val="none"/>
                      <w:lang w:val="en-US" w:eastAsia="zh-CN" w:bidi="ar-SA"/>
                    </w:rPr>
                  </w:pPr>
                  <w:r>
                    <w:rPr>
                      <w:rFonts w:hint="eastAsia" w:eastAsiaTheme="minorEastAsia"/>
                      <w:bCs/>
                      <w:szCs w:val="21"/>
                      <w:highlight w:val="none"/>
                      <w:lang w:val="en-US" w:eastAsia="zh-CN"/>
                    </w:rPr>
                    <w:t>1</w:t>
                  </w:r>
                </w:p>
              </w:tc>
              <w:tc>
                <w:tcPr>
                  <w:tcW w:w="521" w:type="pct"/>
                  <w:tcBorders>
                    <w:top w:val="single" w:color="auto" w:sz="4" w:space="0"/>
                    <w:left w:val="single" w:color="auto" w:sz="4" w:space="0"/>
                    <w:bottom w:val="single" w:color="auto" w:sz="4" w:space="0"/>
                    <w:right w:val="single" w:color="auto" w:sz="4" w:space="0"/>
                  </w:tcBorders>
                  <w:shd w:val="clear" w:color="auto" w:fill="auto"/>
                  <w:vAlign w:val="center"/>
                </w:tcPr>
                <w:p w14:paraId="2E8CBAF9">
                  <w:pPr>
                    <w:widowControl/>
                    <w:jc w:val="center"/>
                    <w:textAlignment w:val="center"/>
                    <w:rPr>
                      <w:rFonts w:hint="eastAsia" w:ascii="Times New Roman" w:hAnsi="Times New Roman" w:eastAsia="宋体" w:cs="Times New Roman"/>
                      <w:kern w:val="0"/>
                      <w:sz w:val="21"/>
                      <w:szCs w:val="21"/>
                      <w:highlight w:val="none"/>
                      <w:lang w:val="en-US" w:eastAsia="zh-CN" w:bidi="ar-SA"/>
                    </w:rPr>
                  </w:pPr>
                  <w:r>
                    <w:rPr>
                      <w:rFonts w:hint="eastAsia"/>
                      <w:kern w:val="0"/>
                      <w:szCs w:val="21"/>
                      <w:highlight w:val="none"/>
                    </w:rPr>
                    <w:t>台</w:t>
                  </w:r>
                </w:p>
              </w:tc>
              <w:tc>
                <w:tcPr>
                  <w:tcW w:w="676" w:type="pct"/>
                  <w:tcBorders>
                    <w:left w:val="single" w:color="auto" w:sz="4" w:space="0"/>
                    <w:right w:val="single" w:color="auto" w:sz="4" w:space="0"/>
                  </w:tcBorders>
                  <w:shd w:val="clear" w:color="auto" w:fill="auto"/>
                  <w:vAlign w:val="center"/>
                </w:tcPr>
                <w:p w14:paraId="19CF0343">
                  <w:pPr>
                    <w:widowControl/>
                    <w:jc w:val="center"/>
                    <w:rPr>
                      <w:rFonts w:hint="eastAsia" w:ascii="Times New Roman" w:hAnsi="Times New Roman" w:cs="Times New Roman" w:eastAsiaTheme="minorEastAsia"/>
                      <w:kern w:val="0"/>
                      <w:sz w:val="21"/>
                      <w:szCs w:val="21"/>
                      <w:highlight w:val="none"/>
                      <w:lang w:val="en-US" w:eastAsia="zh-CN" w:bidi="ar-SA"/>
                    </w:rPr>
                  </w:pPr>
                  <w:r>
                    <w:rPr>
                      <w:rFonts w:hint="eastAsia"/>
                      <w:bCs/>
                      <w:szCs w:val="21"/>
                      <w:highlight w:val="none"/>
                      <w:lang w:val="en-US" w:eastAsia="zh-CN"/>
                    </w:rPr>
                    <w:t>新增</w:t>
                  </w:r>
                </w:p>
              </w:tc>
            </w:tr>
            <w:tr w14:paraId="403F5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292" w:type="pct"/>
                  <w:vMerge w:val="continue"/>
                  <w:tcBorders>
                    <w:left w:val="single" w:color="auto" w:sz="4" w:space="0"/>
                    <w:right w:val="single" w:color="auto" w:sz="4" w:space="0"/>
                  </w:tcBorders>
                  <w:vAlign w:val="center"/>
                </w:tcPr>
                <w:p w14:paraId="3FB02644">
                  <w:pPr>
                    <w:jc w:val="center"/>
                    <w:rPr>
                      <w:szCs w:val="21"/>
                      <w:highlight w:val="none"/>
                    </w:rPr>
                  </w:pPr>
                </w:p>
              </w:tc>
              <w:tc>
                <w:tcPr>
                  <w:tcW w:w="517" w:type="pct"/>
                  <w:vMerge w:val="continue"/>
                  <w:tcBorders>
                    <w:left w:val="single" w:color="auto" w:sz="4" w:space="0"/>
                    <w:right w:val="single" w:color="auto" w:sz="4" w:space="0"/>
                  </w:tcBorders>
                  <w:vAlign w:val="center"/>
                </w:tcPr>
                <w:p w14:paraId="1A6A5C30">
                  <w:pPr>
                    <w:jc w:val="center"/>
                    <w:rPr>
                      <w:rFonts w:hint="eastAsia" w:ascii="Times New Roman" w:hAnsi="Times New Roman" w:eastAsia="宋体" w:cs="Times New Roman"/>
                      <w:color w:val="000000"/>
                      <w:szCs w:val="21"/>
                      <w:highlight w:val="none"/>
                      <w:lang w:val="en-US" w:eastAsia="zh-CN"/>
                    </w:rPr>
                  </w:pPr>
                </w:p>
              </w:tc>
              <w:tc>
                <w:tcPr>
                  <w:tcW w:w="738" w:type="pct"/>
                  <w:vMerge w:val="continue"/>
                  <w:tcBorders>
                    <w:left w:val="single" w:color="auto" w:sz="4" w:space="0"/>
                    <w:bottom w:val="single" w:color="auto" w:sz="4" w:space="0"/>
                    <w:right w:val="single" w:color="auto" w:sz="4" w:space="0"/>
                  </w:tcBorders>
                  <w:vAlign w:val="center"/>
                </w:tcPr>
                <w:p w14:paraId="25781771">
                  <w:pPr>
                    <w:jc w:val="center"/>
                    <w:rPr>
                      <w:rFonts w:hint="eastAsia" w:ascii="Times New Roman" w:hAnsi="Times New Roman" w:eastAsia="宋体" w:cs="Times New Roman"/>
                      <w:color w:val="000000"/>
                      <w:szCs w:val="21"/>
                      <w:highlight w:val="none"/>
                      <w:lang w:val="en-US" w:eastAsia="zh-CN"/>
                    </w:rPr>
                  </w:pPr>
                </w:p>
              </w:tc>
              <w:tc>
                <w:tcPr>
                  <w:tcW w:w="860" w:type="pct"/>
                  <w:tcBorders>
                    <w:top w:val="single" w:color="auto" w:sz="4" w:space="0"/>
                    <w:left w:val="single" w:color="auto" w:sz="4" w:space="0"/>
                    <w:bottom w:val="single" w:color="auto" w:sz="4" w:space="0"/>
                    <w:right w:val="single" w:color="auto" w:sz="4" w:space="0"/>
                  </w:tcBorders>
                  <w:vAlign w:val="center"/>
                </w:tcPr>
                <w:p w14:paraId="6C969DEE">
                  <w:pPr>
                    <w:widowControl/>
                    <w:jc w:val="center"/>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离子树脂罐</w:t>
                  </w:r>
                </w:p>
              </w:tc>
              <w:tc>
                <w:tcPr>
                  <w:tcW w:w="884" w:type="pct"/>
                  <w:tcBorders>
                    <w:top w:val="single" w:color="auto" w:sz="4" w:space="0"/>
                    <w:left w:val="single" w:color="auto" w:sz="4" w:space="0"/>
                    <w:bottom w:val="single" w:color="auto" w:sz="4" w:space="0"/>
                    <w:right w:val="single" w:color="auto" w:sz="4" w:space="0"/>
                  </w:tcBorders>
                  <w:vAlign w:val="center"/>
                </w:tcPr>
                <w:p w14:paraId="0851B71B">
                  <w:pPr>
                    <w:widowControl/>
                    <w:snapToGrid w:val="0"/>
                    <w:jc w:val="center"/>
                    <w:rPr>
                      <w:rFonts w:hint="default"/>
                      <w:bCs/>
                      <w:szCs w:val="21"/>
                      <w:highlight w:val="none"/>
                      <w:lang w:val="en-US" w:eastAsia="zh-CN"/>
                    </w:rPr>
                  </w:pPr>
                  <w:r>
                    <w:rPr>
                      <w:rFonts w:hint="eastAsia"/>
                      <w:bCs/>
                      <w:szCs w:val="21"/>
                      <w:highlight w:val="none"/>
                      <w:lang w:val="en-US" w:eastAsia="zh-CN"/>
                    </w:rPr>
                    <w:t>1.11m</w:t>
                  </w:r>
                  <w:r>
                    <w:rPr>
                      <w:rFonts w:hint="eastAsia"/>
                      <w:bCs/>
                      <w:szCs w:val="21"/>
                      <w:highlight w:val="none"/>
                      <w:vertAlign w:val="superscript"/>
                      <w:lang w:val="en-US" w:eastAsia="zh-CN"/>
                    </w:rPr>
                    <w:t>3</w:t>
                  </w:r>
                </w:p>
              </w:tc>
              <w:tc>
                <w:tcPr>
                  <w:tcW w:w="507" w:type="pct"/>
                  <w:tcBorders>
                    <w:top w:val="single" w:color="auto" w:sz="4" w:space="0"/>
                    <w:left w:val="single" w:color="auto" w:sz="4" w:space="0"/>
                    <w:bottom w:val="single" w:color="auto" w:sz="4" w:space="0"/>
                    <w:right w:val="single" w:color="auto" w:sz="4" w:space="0"/>
                  </w:tcBorders>
                  <w:vAlign w:val="center"/>
                </w:tcPr>
                <w:p w14:paraId="4864124F">
                  <w:pPr>
                    <w:widowControl/>
                    <w:snapToGrid w:val="0"/>
                    <w:jc w:val="center"/>
                    <w:rPr>
                      <w:rFonts w:hint="default" w:eastAsia="宋体"/>
                      <w:bCs/>
                      <w:szCs w:val="21"/>
                      <w:highlight w:val="none"/>
                      <w:lang w:val="en-US" w:eastAsia="zh-CN"/>
                    </w:rPr>
                  </w:pPr>
                  <w:r>
                    <w:rPr>
                      <w:rFonts w:hint="eastAsia"/>
                      <w:bCs/>
                      <w:szCs w:val="21"/>
                      <w:highlight w:val="none"/>
                      <w:lang w:val="en-US" w:eastAsia="zh-CN"/>
                    </w:rPr>
                    <w:t>1</w:t>
                  </w:r>
                </w:p>
              </w:tc>
              <w:tc>
                <w:tcPr>
                  <w:tcW w:w="521" w:type="pct"/>
                  <w:tcBorders>
                    <w:top w:val="single" w:color="auto" w:sz="4" w:space="0"/>
                    <w:left w:val="single" w:color="auto" w:sz="4" w:space="0"/>
                    <w:bottom w:val="single" w:color="auto" w:sz="4" w:space="0"/>
                    <w:right w:val="single" w:color="auto" w:sz="4" w:space="0"/>
                  </w:tcBorders>
                  <w:vAlign w:val="center"/>
                </w:tcPr>
                <w:p w14:paraId="35BC0151">
                  <w:pPr>
                    <w:widowControl/>
                    <w:snapToGrid w:val="0"/>
                    <w:jc w:val="center"/>
                    <w:rPr>
                      <w:rFonts w:hint="default"/>
                      <w:kern w:val="0"/>
                      <w:szCs w:val="21"/>
                      <w:highlight w:val="none"/>
                      <w:lang w:val="en-US" w:eastAsia="zh-CN"/>
                    </w:rPr>
                  </w:pPr>
                  <w:r>
                    <w:rPr>
                      <w:rFonts w:hint="eastAsia"/>
                      <w:kern w:val="0"/>
                      <w:szCs w:val="21"/>
                      <w:highlight w:val="none"/>
                      <w:lang w:val="en-US" w:eastAsia="zh-CN"/>
                    </w:rPr>
                    <w:t>座</w:t>
                  </w:r>
                </w:p>
              </w:tc>
              <w:tc>
                <w:tcPr>
                  <w:tcW w:w="676" w:type="pct"/>
                  <w:tcBorders>
                    <w:left w:val="single" w:color="auto" w:sz="4" w:space="0"/>
                    <w:right w:val="single" w:color="auto" w:sz="4" w:space="0"/>
                  </w:tcBorders>
                  <w:vAlign w:val="center"/>
                </w:tcPr>
                <w:p w14:paraId="03BBE962">
                  <w:pPr>
                    <w:widowControl/>
                    <w:snapToGrid w:val="0"/>
                    <w:jc w:val="center"/>
                    <w:rPr>
                      <w:rFonts w:hint="default"/>
                      <w:bCs/>
                      <w:szCs w:val="21"/>
                      <w:highlight w:val="none"/>
                      <w:lang w:val="en-US" w:eastAsia="zh-CN"/>
                    </w:rPr>
                  </w:pPr>
                  <w:r>
                    <w:rPr>
                      <w:rFonts w:hint="eastAsia"/>
                      <w:bCs/>
                      <w:szCs w:val="21"/>
                      <w:highlight w:val="none"/>
                      <w:lang w:val="en-US" w:eastAsia="zh-CN"/>
                    </w:rPr>
                    <w:t>新增</w:t>
                  </w:r>
                </w:p>
              </w:tc>
            </w:tr>
            <w:tr w14:paraId="3C305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292" w:type="pct"/>
                  <w:vMerge w:val="continue"/>
                  <w:tcBorders>
                    <w:left w:val="single" w:color="auto" w:sz="4" w:space="0"/>
                    <w:right w:val="single" w:color="auto" w:sz="4" w:space="0"/>
                  </w:tcBorders>
                  <w:vAlign w:val="center"/>
                </w:tcPr>
                <w:p w14:paraId="143C668E">
                  <w:pPr>
                    <w:jc w:val="center"/>
                    <w:rPr>
                      <w:szCs w:val="21"/>
                      <w:highlight w:val="none"/>
                    </w:rPr>
                  </w:pPr>
                </w:p>
              </w:tc>
              <w:tc>
                <w:tcPr>
                  <w:tcW w:w="517" w:type="pct"/>
                  <w:vMerge w:val="continue"/>
                  <w:tcBorders>
                    <w:left w:val="single" w:color="auto" w:sz="4" w:space="0"/>
                    <w:right w:val="single" w:color="auto" w:sz="4" w:space="0"/>
                  </w:tcBorders>
                  <w:vAlign w:val="center"/>
                </w:tcPr>
                <w:p w14:paraId="09948B8D">
                  <w:pPr>
                    <w:jc w:val="center"/>
                    <w:rPr>
                      <w:rFonts w:hint="eastAsia" w:ascii="Times New Roman" w:hAnsi="Times New Roman" w:eastAsia="宋体" w:cs="Times New Roman"/>
                      <w:color w:val="000000"/>
                      <w:szCs w:val="21"/>
                      <w:highlight w:val="none"/>
                      <w:lang w:val="en-US" w:eastAsia="zh-CN"/>
                    </w:rPr>
                  </w:pPr>
                </w:p>
              </w:tc>
              <w:tc>
                <w:tcPr>
                  <w:tcW w:w="738" w:type="pct"/>
                  <w:tcBorders>
                    <w:top w:val="single" w:color="auto" w:sz="4" w:space="0"/>
                    <w:left w:val="single" w:color="auto" w:sz="4" w:space="0"/>
                    <w:bottom w:val="single" w:color="auto" w:sz="4" w:space="0"/>
                    <w:right w:val="single" w:color="auto" w:sz="4" w:space="0"/>
                  </w:tcBorders>
                  <w:vAlign w:val="center"/>
                </w:tcPr>
                <w:p w14:paraId="0D88F348">
                  <w:pPr>
                    <w:jc w:val="center"/>
                    <w:rPr>
                      <w:rFonts w:hint="default" w:ascii="Times New Roman" w:hAnsi="Times New Roman" w:eastAsia="宋体" w:cs="Times New Roman"/>
                      <w:color w:val="000000"/>
                      <w:szCs w:val="21"/>
                      <w:highlight w:val="none"/>
                      <w:lang w:val="en-US" w:eastAsia="zh-CN"/>
                    </w:rPr>
                  </w:pPr>
                  <w:r>
                    <w:rPr>
                      <w:rFonts w:hint="eastAsia" w:ascii="Times New Roman" w:hAnsi="Times New Roman" w:eastAsia="宋体" w:cs="Times New Roman"/>
                      <w:color w:val="000000"/>
                      <w:szCs w:val="21"/>
                      <w:highlight w:val="none"/>
                      <w:lang w:val="en-US" w:eastAsia="zh-CN"/>
                    </w:rPr>
                    <w:t>沼气存储</w:t>
                  </w:r>
                </w:p>
              </w:tc>
              <w:tc>
                <w:tcPr>
                  <w:tcW w:w="860" w:type="pct"/>
                  <w:tcBorders>
                    <w:top w:val="single" w:color="auto" w:sz="4" w:space="0"/>
                    <w:left w:val="single" w:color="auto" w:sz="4" w:space="0"/>
                    <w:bottom w:val="single" w:color="auto" w:sz="4" w:space="0"/>
                    <w:right w:val="single" w:color="auto" w:sz="4" w:space="0"/>
                  </w:tcBorders>
                  <w:vAlign w:val="center"/>
                </w:tcPr>
                <w:p w14:paraId="544ADFAB">
                  <w:pPr>
                    <w:widowControl/>
                    <w:jc w:val="center"/>
                    <w:rPr>
                      <w:rFonts w:hint="default"/>
                      <w:kern w:val="0"/>
                      <w:szCs w:val="21"/>
                      <w:highlight w:val="none"/>
                      <w:lang w:val="en-US" w:eastAsia="zh-CN"/>
                    </w:rPr>
                  </w:pPr>
                  <w:r>
                    <w:rPr>
                      <w:rFonts w:hint="eastAsia"/>
                      <w:kern w:val="0"/>
                      <w:szCs w:val="21"/>
                      <w:highlight w:val="none"/>
                      <w:lang w:val="en-US" w:eastAsia="zh-CN"/>
                    </w:rPr>
                    <w:t>沼气储罐</w:t>
                  </w:r>
                </w:p>
              </w:tc>
              <w:tc>
                <w:tcPr>
                  <w:tcW w:w="884" w:type="pct"/>
                  <w:tcBorders>
                    <w:top w:val="single" w:color="auto" w:sz="4" w:space="0"/>
                    <w:left w:val="single" w:color="auto" w:sz="4" w:space="0"/>
                    <w:bottom w:val="single" w:color="auto" w:sz="4" w:space="0"/>
                    <w:right w:val="single" w:color="auto" w:sz="4" w:space="0"/>
                  </w:tcBorders>
                  <w:vAlign w:val="center"/>
                </w:tcPr>
                <w:p w14:paraId="34DB2854">
                  <w:pPr>
                    <w:widowControl/>
                    <w:snapToGrid w:val="0"/>
                    <w:jc w:val="center"/>
                    <w:rPr>
                      <w:rFonts w:hint="default" w:eastAsia="宋体"/>
                      <w:bCs/>
                      <w:szCs w:val="21"/>
                      <w:highlight w:val="none"/>
                      <w:lang w:val="en-US" w:eastAsia="zh-CN"/>
                    </w:rPr>
                  </w:pPr>
                  <w:r>
                    <w:rPr>
                      <w:rFonts w:hint="eastAsia"/>
                      <w:bCs/>
                      <w:szCs w:val="21"/>
                      <w:highlight w:val="none"/>
                      <w:lang w:val="en-US" w:eastAsia="zh-CN"/>
                    </w:rPr>
                    <w:t>200m</w:t>
                  </w:r>
                  <w:r>
                    <w:rPr>
                      <w:rFonts w:hint="eastAsia"/>
                      <w:bCs/>
                      <w:szCs w:val="21"/>
                      <w:highlight w:val="none"/>
                      <w:vertAlign w:val="superscript"/>
                      <w:lang w:val="en-US" w:eastAsia="zh-CN"/>
                    </w:rPr>
                    <w:t>3</w:t>
                  </w:r>
                </w:p>
              </w:tc>
              <w:tc>
                <w:tcPr>
                  <w:tcW w:w="507" w:type="pct"/>
                  <w:tcBorders>
                    <w:top w:val="single" w:color="auto" w:sz="4" w:space="0"/>
                    <w:left w:val="single" w:color="auto" w:sz="4" w:space="0"/>
                    <w:bottom w:val="single" w:color="auto" w:sz="4" w:space="0"/>
                    <w:right w:val="single" w:color="auto" w:sz="4" w:space="0"/>
                  </w:tcBorders>
                  <w:vAlign w:val="center"/>
                </w:tcPr>
                <w:p w14:paraId="73AFE6B8">
                  <w:pPr>
                    <w:widowControl/>
                    <w:snapToGrid w:val="0"/>
                    <w:jc w:val="center"/>
                    <w:rPr>
                      <w:rFonts w:hint="default" w:eastAsia="宋体"/>
                      <w:bCs/>
                      <w:szCs w:val="21"/>
                      <w:highlight w:val="none"/>
                      <w:lang w:val="en-US" w:eastAsia="zh-CN"/>
                    </w:rPr>
                  </w:pPr>
                  <w:r>
                    <w:rPr>
                      <w:rFonts w:hint="eastAsia"/>
                      <w:bCs/>
                      <w:szCs w:val="21"/>
                      <w:highlight w:val="none"/>
                      <w:lang w:val="en-US" w:eastAsia="zh-CN"/>
                    </w:rPr>
                    <w:t>1</w:t>
                  </w:r>
                </w:p>
              </w:tc>
              <w:tc>
                <w:tcPr>
                  <w:tcW w:w="521" w:type="pct"/>
                  <w:tcBorders>
                    <w:top w:val="single" w:color="auto" w:sz="4" w:space="0"/>
                    <w:left w:val="single" w:color="auto" w:sz="4" w:space="0"/>
                    <w:bottom w:val="single" w:color="auto" w:sz="4" w:space="0"/>
                    <w:right w:val="single" w:color="auto" w:sz="4" w:space="0"/>
                  </w:tcBorders>
                  <w:vAlign w:val="center"/>
                </w:tcPr>
                <w:p w14:paraId="10D45F34">
                  <w:pPr>
                    <w:widowControl/>
                    <w:snapToGrid w:val="0"/>
                    <w:jc w:val="center"/>
                    <w:rPr>
                      <w:rFonts w:hint="eastAsia" w:eastAsia="宋体"/>
                      <w:bCs/>
                      <w:szCs w:val="21"/>
                      <w:highlight w:val="none"/>
                      <w:lang w:val="en-US" w:eastAsia="zh-CN"/>
                    </w:rPr>
                  </w:pPr>
                  <w:r>
                    <w:rPr>
                      <w:rFonts w:hint="eastAsia"/>
                      <w:bCs/>
                      <w:szCs w:val="21"/>
                      <w:highlight w:val="none"/>
                      <w:lang w:val="en-US" w:eastAsia="zh-CN"/>
                    </w:rPr>
                    <w:t>座</w:t>
                  </w:r>
                </w:p>
              </w:tc>
              <w:tc>
                <w:tcPr>
                  <w:tcW w:w="676" w:type="pct"/>
                  <w:tcBorders>
                    <w:left w:val="single" w:color="auto" w:sz="4" w:space="0"/>
                    <w:right w:val="single" w:color="auto" w:sz="4" w:space="0"/>
                  </w:tcBorders>
                  <w:vAlign w:val="center"/>
                </w:tcPr>
                <w:p w14:paraId="475354FD">
                  <w:pPr>
                    <w:widowControl/>
                    <w:snapToGrid w:val="0"/>
                    <w:jc w:val="center"/>
                    <w:rPr>
                      <w:rFonts w:hint="eastAsia" w:eastAsia="宋体"/>
                      <w:bCs/>
                      <w:szCs w:val="21"/>
                      <w:highlight w:val="none"/>
                      <w:lang w:val="en-US" w:eastAsia="zh-CN"/>
                    </w:rPr>
                  </w:pPr>
                  <w:r>
                    <w:rPr>
                      <w:rFonts w:hint="eastAsia"/>
                      <w:bCs/>
                      <w:szCs w:val="21"/>
                      <w:highlight w:val="none"/>
                      <w:lang w:val="en-US" w:eastAsia="zh-CN"/>
                    </w:rPr>
                    <w:t>利旧</w:t>
                  </w:r>
                </w:p>
              </w:tc>
            </w:tr>
            <w:tr w14:paraId="1AF69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292" w:type="pct"/>
                  <w:vMerge w:val="restart"/>
                  <w:tcBorders>
                    <w:left w:val="single" w:color="auto" w:sz="4" w:space="0"/>
                    <w:right w:val="single" w:color="auto" w:sz="4" w:space="0"/>
                  </w:tcBorders>
                  <w:vAlign w:val="center"/>
                </w:tcPr>
                <w:p w14:paraId="6604E5AC">
                  <w:pPr>
                    <w:jc w:val="center"/>
                    <w:rPr>
                      <w:rFonts w:hint="eastAsia" w:eastAsia="宋体"/>
                      <w:szCs w:val="21"/>
                      <w:highlight w:val="none"/>
                      <w:lang w:val="en-US" w:eastAsia="zh-CN"/>
                    </w:rPr>
                  </w:pPr>
                  <w:r>
                    <w:rPr>
                      <w:rFonts w:hint="eastAsia"/>
                      <w:szCs w:val="21"/>
                      <w:highlight w:val="none"/>
                      <w:lang w:val="en-US" w:eastAsia="zh-CN"/>
                    </w:rPr>
                    <w:t>3</w:t>
                  </w:r>
                </w:p>
              </w:tc>
              <w:tc>
                <w:tcPr>
                  <w:tcW w:w="517" w:type="pct"/>
                  <w:vMerge w:val="restart"/>
                  <w:tcBorders>
                    <w:left w:val="single" w:color="auto" w:sz="4" w:space="0"/>
                    <w:right w:val="single" w:color="auto" w:sz="4" w:space="0"/>
                  </w:tcBorders>
                  <w:vAlign w:val="center"/>
                </w:tcPr>
                <w:p w14:paraId="084F8837">
                  <w:pPr>
                    <w:jc w:val="center"/>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废气治理单元</w:t>
                  </w:r>
                </w:p>
              </w:tc>
              <w:tc>
                <w:tcPr>
                  <w:tcW w:w="738" w:type="pct"/>
                  <w:vMerge w:val="restart"/>
                  <w:tcBorders>
                    <w:top w:val="single" w:color="auto" w:sz="4" w:space="0"/>
                    <w:left w:val="single" w:color="auto" w:sz="4" w:space="0"/>
                    <w:right w:val="single" w:color="auto" w:sz="4" w:space="0"/>
                  </w:tcBorders>
                  <w:vAlign w:val="center"/>
                </w:tcPr>
                <w:p w14:paraId="3DBC4DAA">
                  <w:pPr>
                    <w:jc w:val="center"/>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沼气脱水、脱硫</w:t>
                  </w:r>
                </w:p>
              </w:tc>
              <w:tc>
                <w:tcPr>
                  <w:tcW w:w="860" w:type="pct"/>
                  <w:tcBorders>
                    <w:top w:val="single" w:color="auto" w:sz="4" w:space="0"/>
                    <w:left w:val="single" w:color="auto" w:sz="4" w:space="0"/>
                    <w:bottom w:val="single" w:color="auto" w:sz="4" w:space="0"/>
                    <w:right w:val="single" w:color="auto" w:sz="4" w:space="0"/>
                  </w:tcBorders>
                  <w:shd w:val="clear" w:color="auto" w:fill="auto"/>
                  <w:vAlign w:val="center"/>
                </w:tcPr>
                <w:p w14:paraId="0965A8B8">
                  <w:pPr>
                    <w:widowControl/>
                    <w:jc w:val="center"/>
                    <w:textAlignment w:val="center"/>
                    <w:rPr>
                      <w:rFonts w:hint="eastAsia" w:ascii="Times New Roman" w:hAnsi="Times New Roman" w:eastAsia="宋体" w:cs="Times New Roman"/>
                      <w:bCs/>
                      <w:kern w:val="2"/>
                      <w:sz w:val="21"/>
                      <w:szCs w:val="21"/>
                      <w:highlight w:val="none"/>
                      <w:lang w:val="en-US" w:eastAsia="zh-CN" w:bidi="ar-SA"/>
                    </w:rPr>
                  </w:pPr>
                  <w:r>
                    <w:rPr>
                      <w:rFonts w:hint="eastAsia"/>
                      <w:bCs/>
                      <w:szCs w:val="21"/>
                      <w:highlight w:val="none"/>
                      <w:lang w:val="en-US" w:eastAsia="zh-CN"/>
                    </w:rPr>
                    <w:t>脱水器</w:t>
                  </w:r>
                </w:p>
              </w:tc>
              <w:tc>
                <w:tcPr>
                  <w:tcW w:w="884" w:type="pct"/>
                  <w:tcBorders>
                    <w:top w:val="single" w:color="auto" w:sz="4" w:space="0"/>
                    <w:left w:val="single" w:color="auto" w:sz="4" w:space="0"/>
                    <w:bottom w:val="single" w:color="auto" w:sz="4" w:space="0"/>
                    <w:right w:val="single" w:color="auto" w:sz="4" w:space="0"/>
                  </w:tcBorders>
                  <w:shd w:val="clear" w:color="auto" w:fill="auto"/>
                  <w:vAlign w:val="center"/>
                </w:tcPr>
                <w:p w14:paraId="08DC331A">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w:t>
                  </w:r>
                </w:p>
              </w:tc>
              <w:tc>
                <w:tcPr>
                  <w:tcW w:w="507" w:type="pct"/>
                  <w:tcBorders>
                    <w:top w:val="single" w:color="auto" w:sz="4" w:space="0"/>
                    <w:left w:val="single" w:color="auto" w:sz="4" w:space="0"/>
                    <w:bottom w:val="single" w:color="auto" w:sz="4" w:space="0"/>
                    <w:right w:val="single" w:color="auto" w:sz="4" w:space="0"/>
                  </w:tcBorders>
                  <w:shd w:val="clear" w:color="auto" w:fill="auto"/>
                  <w:vAlign w:val="center"/>
                </w:tcPr>
                <w:p w14:paraId="08041BFA">
                  <w:pPr>
                    <w:widowControl/>
                    <w:jc w:val="center"/>
                    <w:textAlignment w:val="center"/>
                    <w:rPr>
                      <w:rFonts w:hint="eastAsia" w:ascii="Times New Roman" w:hAnsi="Times New Roman" w:cs="Times New Roman" w:eastAsiaTheme="minorEastAsia"/>
                      <w:bCs/>
                      <w:kern w:val="2"/>
                      <w:sz w:val="21"/>
                      <w:szCs w:val="21"/>
                      <w:highlight w:val="none"/>
                      <w:lang w:val="en-US" w:eastAsia="zh-CN" w:bidi="ar-SA"/>
                    </w:rPr>
                  </w:pPr>
                  <w:r>
                    <w:rPr>
                      <w:rFonts w:hint="eastAsia" w:eastAsiaTheme="minorEastAsia"/>
                      <w:bCs/>
                      <w:szCs w:val="21"/>
                      <w:highlight w:val="none"/>
                      <w:lang w:val="en-US" w:eastAsia="zh-CN"/>
                    </w:rPr>
                    <w:t>1</w:t>
                  </w:r>
                </w:p>
              </w:tc>
              <w:tc>
                <w:tcPr>
                  <w:tcW w:w="521" w:type="pct"/>
                  <w:tcBorders>
                    <w:top w:val="single" w:color="auto" w:sz="4" w:space="0"/>
                    <w:left w:val="single" w:color="auto" w:sz="4" w:space="0"/>
                    <w:bottom w:val="single" w:color="auto" w:sz="4" w:space="0"/>
                    <w:right w:val="single" w:color="auto" w:sz="4" w:space="0"/>
                  </w:tcBorders>
                  <w:shd w:val="clear" w:color="auto" w:fill="auto"/>
                  <w:vAlign w:val="center"/>
                </w:tcPr>
                <w:p w14:paraId="7776E73C">
                  <w:pPr>
                    <w:widowControl/>
                    <w:jc w:val="center"/>
                    <w:textAlignment w:val="center"/>
                    <w:rPr>
                      <w:rFonts w:hint="eastAsia" w:ascii="Times New Roman" w:hAnsi="Times New Roman" w:eastAsia="宋体" w:cs="Times New Roman"/>
                      <w:kern w:val="0"/>
                      <w:sz w:val="21"/>
                      <w:szCs w:val="21"/>
                      <w:highlight w:val="none"/>
                      <w:lang w:val="en-US" w:eastAsia="zh-CN" w:bidi="ar-SA"/>
                    </w:rPr>
                  </w:pPr>
                  <w:r>
                    <w:rPr>
                      <w:rFonts w:hint="eastAsia"/>
                      <w:kern w:val="0"/>
                      <w:szCs w:val="21"/>
                      <w:highlight w:val="none"/>
                      <w:lang w:val="en-US" w:eastAsia="zh-CN"/>
                    </w:rPr>
                    <w:t>台</w:t>
                  </w:r>
                </w:p>
              </w:tc>
              <w:tc>
                <w:tcPr>
                  <w:tcW w:w="676" w:type="pct"/>
                  <w:tcBorders>
                    <w:left w:val="single" w:color="auto" w:sz="4" w:space="0"/>
                    <w:bottom w:val="single" w:color="auto" w:sz="4" w:space="0"/>
                    <w:right w:val="single" w:color="auto" w:sz="4" w:space="0"/>
                  </w:tcBorders>
                  <w:shd w:val="clear" w:color="auto" w:fill="auto"/>
                  <w:vAlign w:val="center"/>
                </w:tcPr>
                <w:p w14:paraId="530C79CA">
                  <w:pPr>
                    <w:widowControl/>
                    <w:jc w:val="center"/>
                    <w:rPr>
                      <w:rFonts w:hint="eastAsia" w:ascii="Times New Roman" w:hAnsi="Times New Roman" w:cs="Times New Roman" w:eastAsiaTheme="minorEastAsia"/>
                      <w:kern w:val="0"/>
                      <w:sz w:val="21"/>
                      <w:szCs w:val="21"/>
                      <w:highlight w:val="none"/>
                      <w:lang w:val="en-US" w:eastAsia="zh-CN" w:bidi="ar-SA"/>
                    </w:rPr>
                  </w:pPr>
                  <w:r>
                    <w:rPr>
                      <w:rFonts w:hint="eastAsia"/>
                      <w:bCs/>
                      <w:szCs w:val="21"/>
                      <w:highlight w:val="none"/>
                      <w:lang w:val="en-US" w:eastAsia="zh-CN"/>
                    </w:rPr>
                    <w:t>新增</w:t>
                  </w:r>
                </w:p>
              </w:tc>
            </w:tr>
            <w:tr w14:paraId="5119A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292" w:type="pct"/>
                  <w:vMerge w:val="continue"/>
                  <w:tcBorders>
                    <w:left w:val="single" w:color="auto" w:sz="4" w:space="0"/>
                    <w:right w:val="single" w:color="auto" w:sz="4" w:space="0"/>
                  </w:tcBorders>
                </w:tcPr>
                <w:p w14:paraId="1D1C027E">
                  <w:pPr>
                    <w:jc w:val="center"/>
                    <w:rPr>
                      <w:rFonts w:hint="eastAsia" w:eastAsia="宋体"/>
                      <w:szCs w:val="21"/>
                      <w:highlight w:val="none"/>
                      <w:lang w:val="en-US" w:eastAsia="zh-CN"/>
                    </w:rPr>
                  </w:pPr>
                </w:p>
              </w:tc>
              <w:tc>
                <w:tcPr>
                  <w:tcW w:w="517" w:type="pct"/>
                  <w:vMerge w:val="continue"/>
                  <w:tcBorders>
                    <w:left w:val="single" w:color="auto" w:sz="4" w:space="0"/>
                    <w:right w:val="single" w:color="auto" w:sz="4" w:space="0"/>
                  </w:tcBorders>
                </w:tcPr>
                <w:p w14:paraId="1F2CE728">
                  <w:pPr>
                    <w:jc w:val="center"/>
                    <w:rPr>
                      <w:rFonts w:hint="default" w:ascii="Times New Roman" w:hAnsi="Times New Roman" w:eastAsia="宋体" w:cs="Times New Roman"/>
                      <w:color w:val="000000"/>
                      <w:szCs w:val="21"/>
                      <w:highlight w:val="none"/>
                      <w:lang w:val="en-US" w:eastAsia="zh-CN"/>
                    </w:rPr>
                  </w:pPr>
                </w:p>
              </w:tc>
              <w:tc>
                <w:tcPr>
                  <w:tcW w:w="738" w:type="pct"/>
                  <w:vMerge w:val="continue"/>
                  <w:tcBorders>
                    <w:left w:val="single" w:color="auto" w:sz="4" w:space="0"/>
                    <w:right w:val="single" w:color="auto" w:sz="4" w:space="0"/>
                  </w:tcBorders>
                </w:tcPr>
                <w:p w14:paraId="757063F0">
                  <w:pPr>
                    <w:jc w:val="center"/>
                    <w:rPr>
                      <w:rFonts w:hint="eastAsia" w:ascii="Times New Roman" w:hAnsi="Times New Roman" w:eastAsia="宋体" w:cs="Times New Roman"/>
                      <w:color w:val="000000"/>
                      <w:szCs w:val="21"/>
                      <w:highlight w:val="none"/>
                      <w:lang w:val="en-US" w:eastAsia="zh-CN"/>
                    </w:rPr>
                  </w:pPr>
                </w:p>
              </w:tc>
              <w:tc>
                <w:tcPr>
                  <w:tcW w:w="1433" w:type="dxa"/>
                  <w:shd w:val="clear" w:color="auto" w:fill="auto"/>
                  <w:vAlign w:val="center"/>
                </w:tcPr>
                <w:p w14:paraId="1D229F08">
                  <w:pPr>
                    <w:widowControl/>
                    <w:jc w:val="center"/>
                    <w:textAlignment w:val="center"/>
                    <w:rPr>
                      <w:rFonts w:hint="eastAsia" w:ascii="Times New Roman" w:hAnsi="Times New Roman" w:eastAsia="宋体" w:cs="Times New Roman"/>
                      <w:bCs/>
                      <w:kern w:val="2"/>
                      <w:sz w:val="21"/>
                      <w:szCs w:val="21"/>
                      <w:highlight w:val="none"/>
                      <w:lang w:val="en-US" w:eastAsia="zh-CN" w:bidi="ar-SA"/>
                    </w:rPr>
                  </w:pPr>
                  <w:r>
                    <w:rPr>
                      <w:rFonts w:hint="eastAsia"/>
                      <w:bCs/>
                      <w:szCs w:val="21"/>
                      <w:highlight w:val="none"/>
                      <w:lang w:val="en-US" w:eastAsia="zh-CN"/>
                    </w:rPr>
                    <w:t>脱硫罐</w:t>
                  </w:r>
                </w:p>
              </w:tc>
              <w:tc>
                <w:tcPr>
                  <w:tcW w:w="1473" w:type="dxa"/>
                  <w:shd w:val="clear" w:color="auto" w:fill="auto"/>
                  <w:vAlign w:val="center"/>
                </w:tcPr>
                <w:p w14:paraId="3426569F">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w:t>
                  </w:r>
                </w:p>
              </w:tc>
              <w:tc>
                <w:tcPr>
                  <w:tcW w:w="845" w:type="dxa"/>
                  <w:shd w:val="clear" w:color="auto" w:fill="auto"/>
                  <w:vAlign w:val="center"/>
                </w:tcPr>
                <w:p w14:paraId="2E0313F5">
                  <w:pPr>
                    <w:widowControl/>
                    <w:jc w:val="center"/>
                    <w:textAlignment w:val="center"/>
                    <w:rPr>
                      <w:rFonts w:hint="eastAsia" w:ascii="Times New Roman" w:hAnsi="Times New Roman" w:cs="Times New Roman" w:eastAsiaTheme="minorEastAsia"/>
                      <w:bCs/>
                      <w:kern w:val="2"/>
                      <w:sz w:val="21"/>
                      <w:szCs w:val="21"/>
                      <w:highlight w:val="none"/>
                      <w:lang w:val="en-US" w:eastAsia="zh-CN" w:bidi="ar-SA"/>
                    </w:rPr>
                  </w:pPr>
                  <w:r>
                    <w:rPr>
                      <w:rFonts w:hint="eastAsia" w:eastAsiaTheme="minorEastAsia"/>
                      <w:bCs/>
                      <w:szCs w:val="21"/>
                      <w:highlight w:val="none"/>
                      <w:lang w:val="en-US" w:eastAsia="zh-CN"/>
                    </w:rPr>
                    <w:t>1</w:t>
                  </w:r>
                </w:p>
              </w:tc>
              <w:tc>
                <w:tcPr>
                  <w:tcW w:w="868" w:type="dxa"/>
                  <w:shd w:val="clear" w:color="auto" w:fill="auto"/>
                  <w:vAlign w:val="center"/>
                </w:tcPr>
                <w:p w14:paraId="0DDD0D3D">
                  <w:pPr>
                    <w:widowControl/>
                    <w:jc w:val="center"/>
                    <w:textAlignment w:val="center"/>
                    <w:rPr>
                      <w:rFonts w:hint="eastAsia" w:ascii="Times New Roman" w:hAnsi="Times New Roman" w:eastAsia="宋体" w:cs="Times New Roman"/>
                      <w:kern w:val="0"/>
                      <w:sz w:val="21"/>
                      <w:szCs w:val="21"/>
                      <w:highlight w:val="none"/>
                      <w:lang w:val="en-US" w:eastAsia="zh-CN" w:bidi="ar-SA"/>
                    </w:rPr>
                  </w:pPr>
                  <w:r>
                    <w:rPr>
                      <w:rFonts w:hint="eastAsia"/>
                      <w:kern w:val="0"/>
                      <w:szCs w:val="21"/>
                      <w:highlight w:val="none"/>
                      <w:lang w:val="en-US" w:eastAsia="zh-CN"/>
                    </w:rPr>
                    <w:t>个</w:t>
                  </w:r>
                </w:p>
              </w:tc>
              <w:tc>
                <w:tcPr>
                  <w:tcW w:w="1126" w:type="dxa"/>
                  <w:shd w:val="clear" w:color="auto" w:fill="auto"/>
                  <w:vAlign w:val="center"/>
                </w:tcPr>
                <w:p w14:paraId="61FBD22D">
                  <w:pPr>
                    <w:widowControl/>
                    <w:jc w:val="center"/>
                    <w:rPr>
                      <w:rFonts w:hint="eastAsia" w:ascii="Times New Roman" w:hAnsi="Times New Roman" w:cs="Times New Roman" w:eastAsiaTheme="minorEastAsia"/>
                      <w:kern w:val="0"/>
                      <w:sz w:val="21"/>
                      <w:szCs w:val="21"/>
                      <w:highlight w:val="none"/>
                      <w:lang w:val="en-US" w:eastAsia="zh-CN" w:bidi="ar-SA"/>
                    </w:rPr>
                  </w:pPr>
                  <w:r>
                    <w:rPr>
                      <w:rFonts w:hint="eastAsia"/>
                      <w:bCs/>
                      <w:szCs w:val="21"/>
                      <w:highlight w:val="none"/>
                      <w:lang w:val="en-US" w:eastAsia="zh-CN"/>
                    </w:rPr>
                    <w:t>新增</w:t>
                  </w:r>
                </w:p>
              </w:tc>
            </w:tr>
          </w:tbl>
          <w:p w14:paraId="0DD52488">
            <w:pPr>
              <w:spacing w:before="120" w:beforeLines="50" w:line="360" w:lineRule="auto"/>
              <w:ind w:firstLine="482" w:firstLineChars="200"/>
              <w:rPr>
                <w:b/>
                <w:sz w:val="24"/>
                <w:highlight w:val="none"/>
              </w:rPr>
            </w:pPr>
            <w:r>
              <w:rPr>
                <w:b/>
                <w:sz w:val="24"/>
                <w:highlight w:val="none"/>
              </w:rPr>
              <w:t>5．</w:t>
            </w:r>
            <w:r>
              <w:rPr>
                <w:rFonts w:hint="eastAsia"/>
                <w:b/>
                <w:sz w:val="24"/>
                <w:highlight w:val="none"/>
              </w:rPr>
              <w:t>主要原辅材料及能源、燃料的种类和用量</w:t>
            </w:r>
          </w:p>
          <w:p w14:paraId="78B8CA74">
            <w:pPr>
              <w:spacing w:line="360" w:lineRule="auto"/>
              <w:ind w:firstLine="480"/>
              <w:rPr>
                <w:sz w:val="24"/>
                <w:highlight w:val="none"/>
              </w:rPr>
            </w:pPr>
            <w:r>
              <w:rPr>
                <w:rFonts w:hint="eastAsia"/>
                <w:sz w:val="24"/>
                <w:highlight w:val="none"/>
              </w:rPr>
              <w:t>主要原辅材料及用量情况列表如下：</w:t>
            </w:r>
          </w:p>
          <w:p w14:paraId="643BCF95">
            <w:pPr>
              <w:pStyle w:val="50"/>
              <w:numPr>
                <w:ilvl w:val="0"/>
                <w:numId w:val="6"/>
              </w:numPr>
              <w:spacing w:line="360" w:lineRule="auto"/>
              <w:ind w:left="0" w:firstLine="0" w:firstLineChars="0"/>
              <w:jc w:val="center"/>
              <w:rPr>
                <w:rFonts w:ascii="宋体" w:hAnsi="宋体" w:eastAsia="宋体"/>
                <w:b/>
                <w:sz w:val="21"/>
                <w:highlight w:val="none"/>
              </w:rPr>
            </w:pPr>
            <w:r>
              <w:rPr>
                <w:rFonts w:hint="eastAsia" w:ascii="宋体" w:hAnsi="宋体" w:eastAsia="宋体"/>
                <w:b/>
                <w:sz w:val="21"/>
                <w:highlight w:val="none"/>
              </w:rPr>
              <w:t>项目主要原辅材料及用量情况一览表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8"/>
              <w:gridCol w:w="2217"/>
              <w:gridCol w:w="855"/>
              <w:gridCol w:w="728"/>
              <w:gridCol w:w="3767"/>
            </w:tblGrid>
            <w:tr w14:paraId="5596D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1" w:type="pct"/>
                  <w:tcBorders>
                    <w:top w:val="single" w:color="auto" w:sz="4" w:space="0"/>
                    <w:left w:val="single" w:color="auto" w:sz="4" w:space="0"/>
                    <w:bottom w:val="single" w:color="auto" w:sz="4" w:space="0"/>
                    <w:right w:val="single" w:color="auto" w:sz="4" w:space="0"/>
                  </w:tcBorders>
                  <w:vAlign w:val="center"/>
                </w:tcPr>
                <w:p w14:paraId="3CFC6B21">
                  <w:pPr>
                    <w:jc w:val="center"/>
                    <w:rPr>
                      <w:b/>
                      <w:szCs w:val="21"/>
                      <w:highlight w:val="none"/>
                    </w:rPr>
                  </w:pPr>
                  <w:r>
                    <w:rPr>
                      <w:rFonts w:hint="eastAsia"/>
                      <w:b/>
                      <w:szCs w:val="21"/>
                      <w:highlight w:val="none"/>
                    </w:rPr>
                    <w:t>序号</w:t>
                  </w:r>
                </w:p>
              </w:tc>
              <w:tc>
                <w:tcPr>
                  <w:tcW w:w="1396" w:type="pct"/>
                  <w:tcBorders>
                    <w:top w:val="single" w:color="auto" w:sz="4" w:space="0"/>
                    <w:left w:val="single" w:color="auto" w:sz="4" w:space="0"/>
                    <w:bottom w:val="single" w:color="auto" w:sz="4" w:space="0"/>
                    <w:right w:val="single" w:color="auto" w:sz="4" w:space="0"/>
                  </w:tcBorders>
                  <w:noWrap/>
                  <w:vAlign w:val="center"/>
                </w:tcPr>
                <w:p w14:paraId="3AA6B551">
                  <w:pPr>
                    <w:jc w:val="center"/>
                    <w:rPr>
                      <w:b/>
                      <w:szCs w:val="21"/>
                      <w:highlight w:val="none"/>
                    </w:rPr>
                  </w:pPr>
                  <w:r>
                    <w:rPr>
                      <w:rFonts w:hint="eastAsia"/>
                      <w:b/>
                      <w:szCs w:val="21"/>
                      <w:highlight w:val="none"/>
                    </w:rPr>
                    <w:t>原辅材料或能源名称</w:t>
                  </w:r>
                </w:p>
              </w:tc>
              <w:tc>
                <w:tcPr>
                  <w:tcW w:w="538" w:type="pct"/>
                  <w:tcBorders>
                    <w:top w:val="single" w:color="auto" w:sz="4" w:space="0"/>
                    <w:left w:val="single" w:color="auto" w:sz="4" w:space="0"/>
                    <w:bottom w:val="single" w:color="auto" w:sz="4" w:space="0"/>
                    <w:right w:val="single" w:color="auto" w:sz="4" w:space="0"/>
                  </w:tcBorders>
                  <w:vAlign w:val="center"/>
                </w:tcPr>
                <w:p w14:paraId="2886C695">
                  <w:pPr>
                    <w:jc w:val="center"/>
                    <w:rPr>
                      <w:b/>
                      <w:szCs w:val="21"/>
                      <w:highlight w:val="none"/>
                    </w:rPr>
                  </w:pPr>
                  <w:r>
                    <w:rPr>
                      <w:rFonts w:hint="eastAsia"/>
                      <w:b/>
                      <w:szCs w:val="21"/>
                      <w:highlight w:val="none"/>
                    </w:rPr>
                    <w:t>数量</w:t>
                  </w:r>
                </w:p>
              </w:tc>
              <w:tc>
                <w:tcPr>
                  <w:tcW w:w="458" w:type="pct"/>
                  <w:tcBorders>
                    <w:top w:val="single" w:color="auto" w:sz="4" w:space="0"/>
                    <w:left w:val="single" w:color="auto" w:sz="4" w:space="0"/>
                    <w:bottom w:val="single" w:color="auto" w:sz="4" w:space="0"/>
                    <w:right w:val="single" w:color="auto" w:sz="4" w:space="0"/>
                  </w:tcBorders>
                  <w:vAlign w:val="center"/>
                </w:tcPr>
                <w:p w14:paraId="557D1A05">
                  <w:pPr>
                    <w:jc w:val="center"/>
                    <w:rPr>
                      <w:b/>
                      <w:szCs w:val="21"/>
                      <w:highlight w:val="none"/>
                    </w:rPr>
                  </w:pPr>
                  <w:r>
                    <w:rPr>
                      <w:rFonts w:hint="eastAsia"/>
                      <w:b/>
                      <w:szCs w:val="21"/>
                      <w:highlight w:val="none"/>
                    </w:rPr>
                    <w:t>单位</w:t>
                  </w:r>
                </w:p>
              </w:tc>
              <w:tc>
                <w:tcPr>
                  <w:tcW w:w="2373" w:type="pct"/>
                  <w:tcBorders>
                    <w:top w:val="single" w:color="auto" w:sz="4" w:space="0"/>
                    <w:left w:val="single" w:color="auto" w:sz="4" w:space="0"/>
                    <w:bottom w:val="single" w:color="auto" w:sz="4" w:space="0"/>
                    <w:right w:val="single" w:color="auto" w:sz="4" w:space="0"/>
                  </w:tcBorders>
                  <w:noWrap/>
                  <w:vAlign w:val="center"/>
                </w:tcPr>
                <w:p w14:paraId="3B5C0E21">
                  <w:pPr>
                    <w:jc w:val="center"/>
                    <w:rPr>
                      <w:b/>
                      <w:kern w:val="0"/>
                      <w:szCs w:val="21"/>
                      <w:highlight w:val="none"/>
                    </w:rPr>
                  </w:pPr>
                  <w:r>
                    <w:rPr>
                      <w:rFonts w:hint="eastAsia"/>
                      <w:b/>
                      <w:kern w:val="0"/>
                      <w:szCs w:val="21"/>
                      <w:highlight w:val="none"/>
                    </w:rPr>
                    <w:t>备注</w:t>
                  </w:r>
                </w:p>
              </w:tc>
            </w:tr>
            <w:tr w14:paraId="54FA1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1" w:type="pct"/>
                  <w:tcBorders>
                    <w:top w:val="single" w:color="auto" w:sz="4" w:space="0"/>
                    <w:left w:val="single" w:color="auto" w:sz="4" w:space="0"/>
                    <w:bottom w:val="single" w:color="auto" w:sz="4" w:space="0"/>
                    <w:right w:val="single" w:color="auto" w:sz="4" w:space="0"/>
                  </w:tcBorders>
                  <w:vAlign w:val="center"/>
                </w:tcPr>
                <w:p w14:paraId="02E62E09">
                  <w:pPr>
                    <w:jc w:val="center"/>
                    <w:rPr>
                      <w:szCs w:val="21"/>
                      <w:highlight w:val="none"/>
                    </w:rPr>
                  </w:pPr>
                  <w:r>
                    <w:rPr>
                      <w:szCs w:val="21"/>
                      <w:highlight w:val="none"/>
                    </w:rPr>
                    <w:t>1</w:t>
                  </w:r>
                </w:p>
              </w:tc>
              <w:tc>
                <w:tcPr>
                  <w:tcW w:w="1396" w:type="pct"/>
                  <w:tcBorders>
                    <w:top w:val="single" w:color="auto" w:sz="4" w:space="0"/>
                    <w:left w:val="single" w:color="auto" w:sz="4" w:space="0"/>
                    <w:bottom w:val="single" w:color="auto" w:sz="4" w:space="0"/>
                    <w:right w:val="single" w:color="auto" w:sz="4" w:space="0"/>
                  </w:tcBorders>
                  <w:noWrap/>
                  <w:vAlign w:val="center"/>
                </w:tcPr>
                <w:p w14:paraId="5380BF73">
                  <w:pPr>
                    <w:widowControl/>
                    <w:jc w:val="center"/>
                    <w:rPr>
                      <w:rFonts w:hint="eastAsia" w:eastAsia="宋体"/>
                      <w:szCs w:val="21"/>
                      <w:highlight w:val="none"/>
                      <w:lang w:eastAsia="zh-CN"/>
                    </w:rPr>
                  </w:pPr>
                  <w:r>
                    <w:rPr>
                      <w:rFonts w:hint="eastAsia"/>
                      <w:kern w:val="44"/>
                      <w:szCs w:val="21"/>
                      <w:highlight w:val="none"/>
                      <w:lang w:val="en-US" w:eastAsia="zh-CN"/>
                    </w:rPr>
                    <w:t>沼气</w:t>
                  </w:r>
                </w:p>
              </w:tc>
              <w:tc>
                <w:tcPr>
                  <w:tcW w:w="538" w:type="pct"/>
                  <w:tcBorders>
                    <w:top w:val="single" w:color="auto" w:sz="4" w:space="0"/>
                    <w:left w:val="single" w:color="auto" w:sz="4" w:space="0"/>
                    <w:bottom w:val="single" w:color="auto" w:sz="4" w:space="0"/>
                    <w:right w:val="single" w:color="auto" w:sz="4" w:space="0"/>
                  </w:tcBorders>
                  <w:vAlign w:val="center"/>
                </w:tcPr>
                <w:p w14:paraId="0D3D70C1">
                  <w:pPr>
                    <w:widowControl/>
                    <w:jc w:val="center"/>
                    <w:rPr>
                      <w:rFonts w:hint="default" w:eastAsia="宋体"/>
                      <w:szCs w:val="21"/>
                      <w:highlight w:val="none"/>
                      <w:lang w:val="en-US" w:eastAsia="zh-CN"/>
                    </w:rPr>
                  </w:pPr>
                  <w:r>
                    <w:rPr>
                      <w:rFonts w:hint="eastAsia"/>
                      <w:szCs w:val="21"/>
                      <w:highlight w:val="none"/>
                      <w:lang w:val="en-US" w:eastAsia="zh-CN"/>
                    </w:rPr>
                    <w:t>874800</w:t>
                  </w:r>
                </w:p>
              </w:tc>
              <w:tc>
                <w:tcPr>
                  <w:tcW w:w="458" w:type="pct"/>
                  <w:tcBorders>
                    <w:top w:val="single" w:color="auto" w:sz="4" w:space="0"/>
                    <w:left w:val="single" w:color="auto" w:sz="4" w:space="0"/>
                    <w:bottom w:val="single" w:color="auto" w:sz="4" w:space="0"/>
                    <w:right w:val="single" w:color="auto" w:sz="4" w:space="0"/>
                  </w:tcBorders>
                  <w:vAlign w:val="center"/>
                </w:tcPr>
                <w:p w14:paraId="091B5BA8">
                  <w:pPr>
                    <w:widowControl/>
                    <w:jc w:val="center"/>
                    <w:rPr>
                      <w:kern w:val="44"/>
                      <w:szCs w:val="21"/>
                      <w:highlight w:val="none"/>
                    </w:rPr>
                  </w:pPr>
                  <w:r>
                    <w:rPr>
                      <w:rFonts w:hint="eastAsia"/>
                      <w:szCs w:val="21"/>
                      <w:highlight w:val="none"/>
                      <w:lang w:val="en-US" w:eastAsia="zh-CN"/>
                    </w:rPr>
                    <w:t>m</w:t>
                  </w:r>
                  <w:r>
                    <w:rPr>
                      <w:rFonts w:hint="eastAsia"/>
                      <w:szCs w:val="21"/>
                      <w:highlight w:val="none"/>
                      <w:vertAlign w:val="superscript"/>
                      <w:lang w:val="en-US" w:eastAsia="zh-CN"/>
                    </w:rPr>
                    <w:t>3</w:t>
                  </w:r>
                  <w:r>
                    <w:rPr>
                      <w:szCs w:val="21"/>
                      <w:highlight w:val="none"/>
                    </w:rPr>
                    <w:t>/a</w:t>
                  </w:r>
                </w:p>
              </w:tc>
              <w:tc>
                <w:tcPr>
                  <w:tcW w:w="2373" w:type="pct"/>
                  <w:tcBorders>
                    <w:top w:val="single" w:color="auto" w:sz="4" w:space="0"/>
                    <w:left w:val="single" w:color="auto" w:sz="4" w:space="0"/>
                    <w:bottom w:val="single" w:color="auto" w:sz="4" w:space="0"/>
                    <w:right w:val="single" w:color="auto" w:sz="4" w:space="0"/>
                  </w:tcBorders>
                  <w:noWrap/>
                  <w:vAlign w:val="center"/>
                </w:tcPr>
                <w:p w14:paraId="7997F0B4">
                  <w:pPr>
                    <w:jc w:val="center"/>
                    <w:rPr>
                      <w:rFonts w:hint="default" w:eastAsia="宋体"/>
                      <w:szCs w:val="21"/>
                      <w:highlight w:val="none"/>
                      <w:lang w:val="en-US" w:eastAsia="zh-CN"/>
                    </w:rPr>
                  </w:pPr>
                  <w:r>
                    <w:rPr>
                      <w:rFonts w:hint="eastAsia"/>
                      <w:szCs w:val="21"/>
                      <w:highlight w:val="none"/>
                      <w:lang w:val="en-US" w:eastAsia="zh-CN"/>
                    </w:rPr>
                    <w:t>承德泓辉双合淀粉有限公司污水处理站PEIC厌氧反应器产生</w:t>
                  </w:r>
                </w:p>
              </w:tc>
            </w:tr>
            <w:tr w14:paraId="0B174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1" w:type="pct"/>
                  <w:tcBorders>
                    <w:top w:val="single" w:color="auto" w:sz="4" w:space="0"/>
                    <w:left w:val="single" w:color="auto" w:sz="4" w:space="0"/>
                    <w:bottom w:val="single" w:color="auto" w:sz="4" w:space="0"/>
                    <w:right w:val="single" w:color="auto" w:sz="4" w:space="0"/>
                  </w:tcBorders>
                  <w:vAlign w:val="center"/>
                </w:tcPr>
                <w:p w14:paraId="1A573259">
                  <w:pPr>
                    <w:jc w:val="center"/>
                    <w:rPr>
                      <w:szCs w:val="21"/>
                      <w:highlight w:val="none"/>
                    </w:rPr>
                  </w:pPr>
                  <w:r>
                    <w:rPr>
                      <w:szCs w:val="21"/>
                      <w:highlight w:val="none"/>
                    </w:rPr>
                    <w:t>2</w:t>
                  </w:r>
                </w:p>
              </w:tc>
              <w:tc>
                <w:tcPr>
                  <w:tcW w:w="1396" w:type="pct"/>
                  <w:tcBorders>
                    <w:top w:val="single" w:color="auto" w:sz="4" w:space="0"/>
                    <w:left w:val="single" w:color="auto" w:sz="4" w:space="0"/>
                    <w:bottom w:val="single" w:color="auto" w:sz="4" w:space="0"/>
                    <w:right w:val="single" w:color="auto" w:sz="4" w:space="0"/>
                  </w:tcBorders>
                  <w:noWrap/>
                  <w:vAlign w:val="center"/>
                </w:tcPr>
                <w:p w14:paraId="1E333C21">
                  <w:pPr>
                    <w:jc w:val="center"/>
                    <w:rPr>
                      <w:rFonts w:hint="default" w:eastAsia="宋体"/>
                      <w:szCs w:val="21"/>
                      <w:highlight w:val="none"/>
                      <w:lang w:val="en-US" w:eastAsia="zh-CN"/>
                    </w:rPr>
                  </w:pPr>
                  <w:r>
                    <w:rPr>
                      <w:rFonts w:hint="eastAsia"/>
                      <w:szCs w:val="21"/>
                      <w:highlight w:val="none"/>
                      <w:lang w:val="en-US" w:eastAsia="zh-CN"/>
                    </w:rPr>
                    <w:t>氧化铁</w:t>
                  </w:r>
                </w:p>
              </w:tc>
              <w:tc>
                <w:tcPr>
                  <w:tcW w:w="538" w:type="pct"/>
                  <w:tcBorders>
                    <w:top w:val="single" w:color="auto" w:sz="4" w:space="0"/>
                    <w:left w:val="single" w:color="auto" w:sz="4" w:space="0"/>
                    <w:bottom w:val="single" w:color="auto" w:sz="4" w:space="0"/>
                    <w:right w:val="single" w:color="auto" w:sz="4" w:space="0"/>
                  </w:tcBorders>
                  <w:vAlign w:val="center"/>
                </w:tcPr>
                <w:p w14:paraId="2E966F84">
                  <w:pPr>
                    <w:jc w:val="center"/>
                    <w:rPr>
                      <w:rFonts w:hint="eastAsia" w:eastAsia="宋体"/>
                      <w:szCs w:val="21"/>
                      <w:highlight w:val="none"/>
                      <w:lang w:val="en-US" w:eastAsia="zh-CN"/>
                    </w:rPr>
                  </w:pPr>
                  <w:r>
                    <w:rPr>
                      <w:rFonts w:hint="eastAsia"/>
                      <w:szCs w:val="21"/>
                      <w:highlight w:val="none"/>
                      <w:lang w:val="en-US" w:eastAsia="zh-CN"/>
                    </w:rPr>
                    <w:t>1</w:t>
                  </w:r>
                </w:p>
              </w:tc>
              <w:tc>
                <w:tcPr>
                  <w:tcW w:w="458" w:type="pct"/>
                  <w:tcBorders>
                    <w:top w:val="single" w:color="auto" w:sz="4" w:space="0"/>
                    <w:left w:val="single" w:color="auto" w:sz="4" w:space="0"/>
                    <w:bottom w:val="single" w:color="auto" w:sz="4" w:space="0"/>
                    <w:right w:val="single" w:color="auto" w:sz="4" w:space="0"/>
                  </w:tcBorders>
                  <w:vAlign w:val="center"/>
                </w:tcPr>
                <w:p w14:paraId="5C40F743">
                  <w:pPr>
                    <w:jc w:val="center"/>
                    <w:rPr>
                      <w:kern w:val="44"/>
                      <w:szCs w:val="21"/>
                      <w:highlight w:val="none"/>
                    </w:rPr>
                  </w:pPr>
                  <w:r>
                    <w:rPr>
                      <w:szCs w:val="21"/>
                      <w:highlight w:val="none"/>
                    </w:rPr>
                    <w:t>t/a</w:t>
                  </w:r>
                </w:p>
              </w:tc>
              <w:tc>
                <w:tcPr>
                  <w:tcW w:w="2373" w:type="pct"/>
                  <w:tcBorders>
                    <w:top w:val="single" w:color="auto" w:sz="4" w:space="0"/>
                    <w:left w:val="single" w:color="auto" w:sz="4" w:space="0"/>
                    <w:bottom w:val="single" w:color="auto" w:sz="4" w:space="0"/>
                    <w:right w:val="single" w:color="auto" w:sz="4" w:space="0"/>
                  </w:tcBorders>
                  <w:noWrap/>
                  <w:vAlign w:val="center"/>
                </w:tcPr>
                <w:p w14:paraId="435ABD26">
                  <w:pPr>
                    <w:jc w:val="center"/>
                    <w:rPr>
                      <w:rFonts w:hint="eastAsia" w:eastAsia="宋体"/>
                      <w:szCs w:val="21"/>
                      <w:highlight w:val="none"/>
                      <w:lang w:val="en-US" w:eastAsia="zh-CN"/>
                    </w:rPr>
                  </w:pPr>
                  <w:r>
                    <w:rPr>
                      <w:rFonts w:hint="eastAsia"/>
                      <w:szCs w:val="21"/>
                      <w:highlight w:val="none"/>
                      <w:lang w:val="en-US" w:eastAsia="zh-CN"/>
                    </w:rPr>
                    <w:t>脱硫剂</w:t>
                  </w:r>
                </w:p>
              </w:tc>
            </w:tr>
            <w:tr w14:paraId="1482C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1" w:type="pct"/>
                  <w:tcBorders>
                    <w:top w:val="single" w:color="auto" w:sz="4" w:space="0"/>
                    <w:left w:val="single" w:color="auto" w:sz="4" w:space="0"/>
                    <w:bottom w:val="single" w:color="auto" w:sz="4" w:space="0"/>
                    <w:right w:val="single" w:color="auto" w:sz="4" w:space="0"/>
                  </w:tcBorders>
                  <w:vAlign w:val="center"/>
                </w:tcPr>
                <w:p w14:paraId="760C78CE">
                  <w:pPr>
                    <w:jc w:val="center"/>
                    <w:rPr>
                      <w:rFonts w:hint="eastAsia" w:eastAsia="宋体"/>
                      <w:szCs w:val="21"/>
                      <w:highlight w:val="none"/>
                      <w:lang w:val="en-US" w:eastAsia="zh-CN"/>
                    </w:rPr>
                  </w:pPr>
                  <w:r>
                    <w:rPr>
                      <w:rFonts w:hint="eastAsia"/>
                      <w:szCs w:val="21"/>
                      <w:highlight w:val="none"/>
                      <w:lang w:val="en-US" w:eastAsia="zh-CN"/>
                    </w:rPr>
                    <w:t>3</w:t>
                  </w:r>
                </w:p>
              </w:tc>
              <w:tc>
                <w:tcPr>
                  <w:tcW w:w="1396" w:type="pct"/>
                  <w:tcBorders>
                    <w:top w:val="single" w:color="auto" w:sz="4" w:space="0"/>
                    <w:left w:val="single" w:color="auto" w:sz="4" w:space="0"/>
                    <w:bottom w:val="single" w:color="auto" w:sz="4" w:space="0"/>
                    <w:right w:val="single" w:color="auto" w:sz="4" w:space="0"/>
                  </w:tcBorders>
                  <w:vAlign w:val="center"/>
                </w:tcPr>
                <w:p w14:paraId="57836222">
                  <w:pPr>
                    <w:jc w:val="center"/>
                    <w:rPr>
                      <w:kern w:val="44"/>
                      <w:szCs w:val="21"/>
                      <w:highlight w:val="none"/>
                    </w:rPr>
                  </w:pPr>
                  <w:r>
                    <w:rPr>
                      <w:rFonts w:hint="eastAsia"/>
                      <w:kern w:val="44"/>
                      <w:szCs w:val="21"/>
                      <w:highlight w:val="none"/>
                    </w:rPr>
                    <w:t>电</w:t>
                  </w:r>
                </w:p>
              </w:tc>
              <w:tc>
                <w:tcPr>
                  <w:tcW w:w="538" w:type="pct"/>
                  <w:tcBorders>
                    <w:top w:val="single" w:color="auto" w:sz="4" w:space="0"/>
                    <w:left w:val="single" w:color="auto" w:sz="4" w:space="0"/>
                    <w:bottom w:val="single" w:color="auto" w:sz="4" w:space="0"/>
                    <w:right w:val="single" w:color="auto" w:sz="4" w:space="0"/>
                  </w:tcBorders>
                  <w:vAlign w:val="center"/>
                </w:tcPr>
                <w:p w14:paraId="66589062">
                  <w:pPr>
                    <w:jc w:val="center"/>
                    <w:rPr>
                      <w:rFonts w:hint="default" w:eastAsia="宋体"/>
                      <w:kern w:val="44"/>
                      <w:szCs w:val="21"/>
                      <w:highlight w:val="none"/>
                      <w:lang w:val="en-US" w:eastAsia="zh-CN"/>
                    </w:rPr>
                  </w:pPr>
                  <w:r>
                    <w:rPr>
                      <w:rFonts w:hint="eastAsia"/>
                      <w:kern w:val="44"/>
                      <w:szCs w:val="21"/>
                      <w:highlight w:val="none"/>
                      <w:lang w:val="en-US" w:eastAsia="zh-CN"/>
                    </w:rPr>
                    <w:t>30672</w:t>
                  </w:r>
                </w:p>
              </w:tc>
              <w:tc>
                <w:tcPr>
                  <w:tcW w:w="458" w:type="pct"/>
                  <w:tcBorders>
                    <w:top w:val="single" w:color="auto" w:sz="4" w:space="0"/>
                    <w:left w:val="single" w:color="auto" w:sz="4" w:space="0"/>
                    <w:bottom w:val="single" w:color="auto" w:sz="4" w:space="0"/>
                    <w:right w:val="single" w:color="auto" w:sz="4" w:space="0"/>
                  </w:tcBorders>
                  <w:vAlign w:val="center"/>
                </w:tcPr>
                <w:p w14:paraId="6EA7FE3A">
                  <w:pPr>
                    <w:jc w:val="center"/>
                    <w:rPr>
                      <w:kern w:val="44"/>
                      <w:szCs w:val="21"/>
                      <w:highlight w:val="none"/>
                    </w:rPr>
                  </w:pPr>
                  <w:r>
                    <w:rPr>
                      <w:kern w:val="44"/>
                      <w:szCs w:val="21"/>
                      <w:highlight w:val="none"/>
                    </w:rPr>
                    <w:t>kW·h</w:t>
                  </w:r>
                </w:p>
              </w:tc>
              <w:tc>
                <w:tcPr>
                  <w:tcW w:w="2373" w:type="pct"/>
                  <w:tcBorders>
                    <w:top w:val="single" w:color="auto" w:sz="4" w:space="0"/>
                    <w:left w:val="single" w:color="auto" w:sz="4" w:space="0"/>
                    <w:bottom w:val="single" w:color="auto" w:sz="4" w:space="0"/>
                    <w:right w:val="single" w:color="auto" w:sz="4" w:space="0"/>
                  </w:tcBorders>
                  <w:vAlign w:val="center"/>
                </w:tcPr>
                <w:p w14:paraId="3DD0F639">
                  <w:pPr>
                    <w:widowControl/>
                    <w:jc w:val="center"/>
                    <w:rPr>
                      <w:kern w:val="0"/>
                      <w:szCs w:val="21"/>
                      <w:highlight w:val="none"/>
                    </w:rPr>
                  </w:pPr>
                  <w:r>
                    <w:rPr>
                      <w:rFonts w:hint="eastAsia"/>
                      <w:kern w:val="0"/>
                      <w:szCs w:val="21"/>
                      <w:highlight w:val="none"/>
                    </w:rPr>
                    <w:t>由当地电网供电</w:t>
                  </w:r>
                </w:p>
              </w:tc>
            </w:tr>
            <w:tr w14:paraId="24EE6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1" w:type="pct"/>
                  <w:tcBorders>
                    <w:top w:val="single" w:color="auto" w:sz="4" w:space="0"/>
                    <w:left w:val="single" w:color="auto" w:sz="4" w:space="0"/>
                    <w:bottom w:val="single" w:color="auto" w:sz="4" w:space="0"/>
                    <w:right w:val="single" w:color="auto" w:sz="4" w:space="0"/>
                  </w:tcBorders>
                  <w:vAlign w:val="center"/>
                </w:tcPr>
                <w:p w14:paraId="78D8763C">
                  <w:pPr>
                    <w:jc w:val="center"/>
                    <w:rPr>
                      <w:rFonts w:hint="eastAsia" w:eastAsia="宋体"/>
                      <w:szCs w:val="21"/>
                      <w:highlight w:val="none"/>
                      <w:lang w:val="en-US" w:eastAsia="zh-CN"/>
                    </w:rPr>
                  </w:pPr>
                  <w:r>
                    <w:rPr>
                      <w:rFonts w:hint="eastAsia"/>
                      <w:szCs w:val="21"/>
                      <w:highlight w:val="none"/>
                      <w:lang w:val="en-US" w:eastAsia="zh-CN"/>
                    </w:rPr>
                    <w:t>4</w:t>
                  </w:r>
                </w:p>
              </w:tc>
              <w:tc>
                <w:tcPr>
                  <w:tcW w:w="1396" w:type="pct"/>
                  <w:tcBorders>
                    <w:top w:val="single" w:color="auto" w:sz="4" w:space="0"/>
                    <w:left w:val="single" w:color="auto" w:sz="4" w:space="0"/>
                    <w:bottom w:val="single" w:color="auto" w:sz="4" w:space="0"/>
                    <w:right w:val="single" w:color="auto" w:sz="4" w:space="0"/>
                  </w:tcBorders>
                  <w:vAlign w:val="center"/>
                </w:tcPr>
                <w:p w14:paraId="233CC705">
                  <w:pPr>
                    <w:jc w:val="center"/>
                    <w:rPr>
                      <w:kern w:val="44"/>
                      <w:szCs w:val="21"/>
                      <w:highlight w:val="none"/>
                    </w:rPr>
                  </w:pPr>
                  <w:r>
                    <w:rPr>
                      <w:rFonts w:hint="eastAsia"/>
                      <w:kern w:val="44"/>
                      <w:szCs w:val="21"/>
                      <w:highlight w:val="none"/>
                    </w:rPr>
                    <w:t>水</w:t>
                  </w:r>
                </w:p>
              </w:tc>
              <w:tc>
                <w:tcPr>
                  <w:tcW w:w="538" w:type="pct"/>
                  <w:tcBorders>
                    <w:top w:val="single" w:color="auto" w:sz="4" w:space="0"/>
                    <w:left w:val="single" w:color="auto" w:sz="4" w:space="0"/>
                    <w:bottom w:val="single" w:color="auto" w:sz="4" w:space="0"/>
                    <w:right w:val="single" w:color="auto" w:sz="4" w:space="0"/>
                  </w:tcBorders>
                  <w:vAlign w:val="center"/>
                </w:tcPr>
                <w:p w14:paraId="6DABE1F5">
                  <w:pPr>
                    <w:jc w:val="center"/>
                    <w:rPr>
                      <w:rFonts w:hint="default" w:eastAsia="宋体"/>
                      <w:kern w:val="44"/>
                      <w:szCs w:val="21"/>
                      <w:highlight w:val="none"/>
                      <w:lang w:val="en-US" w:eastAsia="zh-CN"/>
                    </w:rPr>
                  </w:pPr>
                  <w:r>
                    <w:rPr>
                      <w:rFonts w:hint="eastAsia"/>
                      <w:kern w:val="44"/>
                      <w:szCs w:val="21"/>
                      <w:highlight w:val="none"/>
                      <w:lang w:val="en-US" w:eastAsia="zh-CN"/>
                    </w:rPr>
                    <w:t>650.38</w:t>
                  </w:r>
                </w:p>
              </w:tc>
              <w:tc>
                <w:tcPr>
                  <w:tcW w:w="458" w:type="pct"/>
                  <w:tcBorders>
                    <w:top w:val="single" w:color="auto" w:sz="4" w:space="0"/>
                    <w:left w:val="single" w:color="auto" w:sz="4" w:space="0"/>
                    <w:bottom w:val="single" w:color="auto" w:sz="4" w:space="0"/>
                    <w:right w:val="single" w:color="auto" w:sz="4" w:space="0"/>
                  </w:tcBorders>
                  <w:vAlign w:val="center"/>
                </w:tcPr>
                <w:p w14:paraId="7608575B">
                  <w:pPr>
                    <w:jc w:val="center"/>
                    <w:rPr>
                      <w:kern w:val="44"/>
                      <w:szCs w:val="21"/>
                      <w:highlight w:val="none"/>
                    </w:rPr>
                  </w:pPr>
                  <w:r>
                    <w:rPr>
                      <w:kern w:val="44"/>
                      <w:szCs w:val="21"/>
                      <w:highlight w:val="none"/>
                    </w:rPr>
                    <w:t>m</w:t>
                  </w:r>
                  <w:r>
                    <w:rPr>
                      <w:kern w:val="44"/>
                      <w:szCs w:val="21"/>
                      <w:highlight w:val="none"/>
                      <w:vertAlign w:val="superscript"/>
                    </w:rPr>
                    <w:t>3</w:t>
                  </w:r>
                  <w:r>
                    <w:rPr>
                      <w:kern w:val="44"/>
                      <w:szCs w:val="21"/>
                      <w:highlight w:val="none"/>
                    </w:rPr>
                    <w:t>/a</w:t>
                  </w:r>
                </w:p>
              </w:tc>
              <w:tc>
                <w:tcPr>
                  <w:tcW w:w="2373" w:type="pct"/>
                  <w:tcBorders>
                    <w:top w:val="single" w:color="auto" w:sz="4" w:space="0"/>
                    <w:left w:val="single" w:color="auto" w:sz="4" w:space="0"/>
                    <w:bottom w:val="single" w:color="auto" w:sz="4" w:space="0"/>
                    <w:right w:val="single" w:color="auto" w:sz="4" w:space="0"/>
                  </w:tcBorders>
                  <w:vAlign w:val="center"/>
                </w:tcPr>
                <w:p w14:paraId="390C38DE">
                  <w:pPr>
                    <w:widowControl/>
                    <w:jc w:val="center"/>
                    <w:rPr>
                      <w:rFonts w:hint="default" w:eastAsia="宋体"/>
                      <w:kern w:val="0"/>
                      <w:szCs w:val="21"/>
                      <w:highlight w:val="none"/>
                      <w:lang w:val="en-US" w:eastAsia="zh-CN"/>
                    </w:rPr>
                  </w:pPr>
                  <w:r>
                    <w:rPr>
                      <w:rFonts w:hint="eastAsia"/>
                      <w:kern w:val="0"/>
                      <w:szCs w:val="21"/>
                      <w:highlight w:val="none"/>
                      <w:lang w:val="en-US" w:eastAsia="zh-CN"/>
                    </w:rPr>
                    <w:t>自备水井</w:t>
                  </w:r>
                </w:p>
              </w:tc>
            </w:tr>
          </w:tbl>
          <w:p w14:paraId="0670CCBD">
            <w:pPr>
              <w:spacing w:line="360" w:lineRule="auto"/>
              <w:ind w:firstLine="480"/>
              <w:rPr>
                <w:rFonts w:hint="default" w:cs="Times New Roman"/>
                <w:sz w:val="24"/>
                <w:highlight w:val="none"/>
                <w:lang w:val="en-US" w:eastAsia="zh-CN"/>
              </w:rPr>
            </w:pPr>
            <w:r>
              <w:rPr>
                <w:rFonts w:hint="eastAsia" w:ascii="Times New Roman" w:hAnsi="Times New Roman" w:eastAsia="宋体" w:cs="Times New Roman"/>
                <w:sz w:val="24"/>
                <w:highlight w:val="none"/>
                <w:lang w:val="en-US" w:eastAsia="zh-CN"/>
              </w:rPr>
              <w:t>根据《承德泓辉双合淀粉有限公司马铃薯淀粉项目废水治理工程设计方案》</w:t>
            </w:r>
            <w:r>
              <w:rPr>
                <w:rFonts w:hint="eastAsia" w:cs="Times New Roman"/>
                <w:sz w:val="24"/>
                <w:highlight w:val="none"/>
                <w:lang w:val="en-US" w:eastAsia="zh-CN"/>
              </w:rPr>
              <w:t>沼气的产生量为9720m</w:t>
            </w:r>
            <w:r>
              <w:rPr>
                <w:rFonts w:hint="eastAsia" w:cs="Times New Roman"/>
                <w:sz w:val="24"/>
                <w:highlight w:val="none"/>
                <w:vertAlign w:val="superscript"/>
                <w:lang w:val="en-US" w:eastAsia="zh-CN"/>
              </w:rPr>
              <w:t>3</w:t>
            </w:r>
            <w:r>
              <w:rPr>
                <w:rFonts w:hint="eastAsia" w:cs="Times New Roman"/>
                <w:sz w:val="24"/>
                <w:highlight w:val="none"/>
                <w:lang w:val="en-US" w:eastAsia="zh-CN"/>
              </w:rPr>
              <w:t>/d，年产沼气量为874800m</w:t>
            </w:r>
            <w:r>
              <w:rPr>
                <w:rFonts w:hint="eastAsia" w:cs="Times New Roman"/>
                <w:sz w:val="24"/>
                <w:highlight w:val="none"/>
                <w:vertAlign w:val="superscript"/>
                <w:lang w:val="en-US" w:eastAsia="zh-CN"/>
              </w:rPr>
              <w:t>3</w:t>
            </w:r>
            <w:r>
              <w:rPr>
                <w:rFonts w:hint="eastAsia" w:cs="Times New Roman"/>
                <w:sz w:val="24"/>
                <w:highlight w:val="none"/>
                <w:lang w:val="en-US" w:eastAsia="zh-CN"/>
              </w:rPr>
              <w:t>/a。</w:t>
            </w:r>
          </w:p>
          <w:p w14:paraId="6C110191">
            <w:pPr>
              <w:spacing w:line="360" w:lineRule="auto"/>
              <w:ind w:firstLine="480"/>
              <w:rPr>
                <w:sz w:val="24"/>
                <w:highlight w:val="none"/>
              </w:rPr>
            </w:pPr>
            <w:r>
              <w:rPr>
                <w:rFonts w:hint="eastAsia"/>
                <w:sz w:val="24"/>
                <w:highlight w:val="none"/>
              </w:rPr>
              <w:t>锅炉燃料用量可按下式计算：</w:t>
            </w:r>
          </w:p>
          <w:p w14:paraId="20D15441">
            <w:pPr>
              <w:spacing w:line="360" w:lineRule="auto"/>
              <w:ind w:firstLine="480"/>
              <w:rPr>
                <w:sz w:val="24"/>
                <w:highlight w:val="none"/>
              </w:rPr>
            </w:pPr>
            <w:r>
              <w:rPr>
                <w:rFonts w:hint="eastAsia"/>
                <w:sz w:val="24"/>
                <w:highlight w:val="none"/>
              </w:rPr>
              <w:t>燃料用量=锅炉热量÷燃料低位发热量÷锅炉热效率*锅炉运行时间。</w:t>
            </w:r>
          </w:p>
          <w:p w14:paraId="0AA2D70E">
            <w:pPr>
              <w:spacing w:line="360" w:lineRule="auto"/>
              <w:ind w:firstLine="480"/>
              <w:rPr>
                <w:sz w:val="24"/>
                <w:highlight w:val="none"/>
              </w:rPr>
            </w:pPr>
            <w:r>
              <w:rPr>
                <w:rFonts w:hint="eastAsia"/>
                <w:sz w:val="24"/>
                <w:highlight w:val="none"/>
              </w:rPr>
              <w:t>根据调查，1台</w:t>
            </w:r>
            <w:r>
              <w:rPr>
                <w:rFonts w:hint="eastAsia"/>
                <w:sz w:val="24"/>
                <w:highlight w:val="none"/>
                <w:lang w:val="en-US" w:eastAsia="zh-CN"/>
              </w:rPr>
              <w:t>2</w:t>
            </w:r>
            <w:r>
              <w:rPr>
                <w:rFonts w:hint="eastAsia"/>
                <w:sz w:val="24"/>
                <w:highlight w:val="none"/>
              </w:rPr>
              <w:t>t/h</w:t>
            </w:r>
            <w:r>
              <w:rPr>
                <w:rFonts w:hint="eastAsia"/>
                <w:sz w:val="24"/>
                <w:highlight w:val="none"/>
                <w:lang w:val="en-US" w:eastAsia="zh-CN"/>
              </w:rPr>
              <w:t>沼气</w:t>
            </w:r>
            <w:r>
              <w:rPr>
                <w:rFonts w:hint="eastAsia"/>
                <w:sz w:val="24"/>
                <w:highlight w:val="none"/>
              </w:rPr>
              <w:t>锅炉每小时提供的热量为</w:t>
            </w:r>
            <w:r>
              <w:rPr>
                <w:rFonts w:hint="eastAsia"/>
                <w:sz w:val="24"/>
                <w:highlight w:val="none"/>
                <w:lang w:val="en-US" w:eastAsia="zh-CN"/>
              </w:rPr>
              <w:t>120</w:t>
            </w:r>
            <w:r>
              <w:rPr>
                <w:rFonts w:hint="eastAsia"/>
                <w:sz w:val="24"/>
                <w:highlight w:val="none"/>
              </w:rPr>
              <w:t>万kcal</w:t>
            </w:r>
            <w:r>
              <w:rPr>
                <w:sz w:val="24"/>
                <w:highlight w:val="none"/>
              </w:rPr>
              <w:t>/</w:t>
            </w:r>
            <w:r>
              <w:rPr>
                <w:rFonts w:hint="eastAsia"/>
                <w:sz w:val="24"/>
                <w:highlight w:val="none"/>
              </w:rPr>
              <w:t>h，根据</w:t>
            </w:r>
            <w:r>
              <w:rPr>
                <w:rFonts w:hint="eastAsia"/>
                <w:sz w:val="24"/>
                <w:highlight w:val="none"/>
                <w:lang w:val="en-US" w:eastAsia="zh-CN"/>
              </w:rPr>
              <w:t>沼气的MSDS</w:t>
            </w:r>
            <w:r>
              <w:rPr>
                <w:rFonts w:hint="eastAsia"/>
                <w:sz w:val="24"/>
                <w:highlight w:val="none"/>
              </w:rPr>
              <w:t>，燃料的低位发热量为</w:t>
            </w:r>
            <w:r>
              <w:rPr>
                <w:rFonts w:hint="eastAsia"/>
                <w:sz w:val="24"/>
                <w:highlight w:val="none"/>
                <w:lang w:val="en-US" w:eastAsia="zh-CN"/>
              </w:rPr>
              <w:t>3220</w:t>
            </w:r>
            <w:r>
              <w:rPr>
                <w:rFonts w:hint="eastAsia"/>
                <w:sz w:val="24"/>
                <w:highlight w:val="none"/>
              </w:rPr>
              <w:t>kcal/</w:t>
            </w:r>
            <w:r>
              <w:rPr>
                <w:rFonts w:hint="eastAsia"/>
                <w:sz w:val="24"/>
                <w:highlight w:val="none"/>
                <w:lang w:val="en-US" w:eastAsia="zh-CN"/>
              </w:rPr>
              <w:t>m</w:t>
            </w:r>
            <w:r>
              <w:rPr>
                <w:rFonts w:hint="eastAsia"/>
                <w:sz w:val="24"/>
                <w:highlight w:val="none"/>
                <w:vertAlign w:val="superscript"/>
                <w:lang w:val="en-US" w:eastAsia="zh-CN"/>
              </w:rPr>
              <w:t>3</w:t>
            </w:r>
            <w:r>
              <w:rPr>
                <w:rFonts w:hint="eastAsia"/>
                <w:sz w:val="24"/>
                <w:highlight w:val="none"/>
                <w:lang w:eastAsia="zh-CN"/>
              </w:rPr>
              <w:t>，</w:t>
            </w:r>
            <w:r>
              <w:rPr>
                <w:rFonts w:hint="eastAsia"/>
                <w:sz w:val="24"/>
                <w:highlight w:val="none"/>
              </w:rPr>
              <w:t>根据锅炉的设计参数，设计热效率取值</w:t>
            </w:r>
            <w:r>
              <w:rPr>
                <w:rFonts w:hint="eastAsia"/>
                <w:sz w:val="24"/>
                <w:highlight w:val="none"/>
                <w:lang w:val="en-US" w:eastAsia="zh-CN"/>
              </w:rPr>
              <w:t>92</w:t>
            </w:r>
            <w:r>
              <w:rPr>
                <w:sz w:val="24"/>
                <w:highlight w:val="none"/>
              </w:rPr>
              <w:t>%</w:t>
            </w:r>
            <w:r>
              <w:rPr>
                <w:rFonts w:hint="eastAsia"/>
                <w:sz w:val="24"/>
                <w:highlight w:val="none"/>
              </w:rPr>
              <w:t>，锅炉年运行</w:t>
            </w:r>
            <w:r>
              <w:rPr>
                <w:rFonts w:hint="eastAsia"/>
                <w:sz w:val="24"/>
                <w:highlight w:val="none"/>
                <w:lang w:val="en-US" w:eastAsia="zh-CN"/>
              </w:rPr>
              <w:t>216</w:t>
            </w:r>
            <w:r>
              <w:rPr>
                <w:sz w:val="24"/>
                <w:highlight w:val="none"/>
              </w:rPr>
              <w:t>0</w:t>
            </w:r>
            <w:r>
              <w:rPr>
                <w:rFonts w:hint="eastAsia"/>
                <w:sz w:val="24"/>
                <w:highlight w:val="none"/>
              </w:rPr>
              <w:t>h。</w:t>
            </w:r>
          </w:p>
          <w:p w14:paraId="656A64EA">
            <w:pPr>
              <w:spacing w:line="360" w:lineRule="auto"/>
              <w:ind w:firstLine="480"/>
              <w:rPr>
                <w:rFonts w:hint="eastAsia" w:cs="Times New Roman"/>
                <w:sz w:val="24"/>
                <w:highlight w:val="none"/>
                <w:lang w:val="en-US" w:eastAsia="zh-CN"/>
              </w:rPr>
            </w:pPr>
            <w:r>
              <w:rPr>
                <w:rFonts w:hint="eastAsia"/>
                <w:sz w:val="24"/>
                <w:highlight w:val="none"/>
              </w:rPr>
              <w:t>据此核算，项目锅炉</w:t>
            </w:r>
            <w:r>
              <w:rPr>
                <w:rFonts w:hint="eastAsia"/>
                <w:sz w:val="24"/>
                <w:highlight w:val="none"/>
                <w:lang w:val="en-US" w:eastAsia="zh-CN"/>
              </w:rPr>
              <w:t>沼气</w:t>
            </w:r>
            <w:r>
              <w:rPr>
                <w:rFonts w:hint="eastAsia"/>
                <w:sz w:val="24"/>
                <w:highlight w:val="none"/>
              </w:rPr>
              <w:t>用量约为</w:t>
            </w:r>
            <w:r>
              <w:rPr>
                <w:rFonts w:hint="eastAsia"/>
                <w:sz w:val="24"/>
                <w:highlight w:val="none"/>
                <w:lang w:val="en-US" w:eastAsia="zh-CN"/>
              </w:rPr>
              <w:t>874800m</w:t>
            </w:r>
            <w:r>
              <w:rPr>
                <w:rFonts w:hint="eastAsia"/>
                <w:sz w:val="24"/>
                <w:highlight w:val="none"/>
                <w:vertAlign w:val="superscript"/>
                <w:lang w:val="en-US" w:eastAsia="zh-CN"/>
              </w:rPr>
              <w:t>3</w:t>
            </w:r>
            <w:r>
              <w:rPr>
                <w:rFonts w:hint="eastAsia"/>
                <w:sz w:val="24"/>
                <w:highlight w:val="none"/>
              </w:rPr>
              <w:t>/a。</w:t>
            </w:r>
          </w:p>
          <w:p w14:paraId="1ABD21CF">
            <w:pPr>
              <w:spacing w:line="360" w:lineRule="auto"/>
              <w:ind w:firstLine="480"/>
              <w:rPr>
                <w:rFonts w:hint="eastAsia" w:ascii="Times New Roman" w:hAnsi="Times New Roman" w:eastAsia="宋体" w:cs="Times New Roman"/>
                <w:sz w:val="24"/>
                <w:highlight w:val="none"/>
                <w:lang w:val="en-US" w:eastAsia="zh-CN"/>
              </w:rPr>
            </w:pPr>
            <w:r>
              <w:rPr>
                <w:rFonts w:hint="eastAsia" w:cs="Times New Roman"/>
                <w:sz w:val="24"/>
                <w:highlight w:val="none"/>
                <w:lang w:val="en-US" w:eastAsia="zh-CN"/>
              </w:rPr>
              <w:t>氧化铁</w:t>
            </w:r>
            <w:r>
              <w:rPr>
                <w:rFonts w:hint="eastAsia" w:ascii="Times New Roman" w:hAnsi="Times New Roman" w:eastAsia="宋体" w:cs="Times New Roman"/>
                <w:sz w:val="24"/>
                <w:highlight w:val="none"/>
                <w:lang w:val="en-US" w:eastAsia="zh-CN"/>
              </w:rPr>
              <w:t>理化性质：橙红至紫红色的三方晶系粉末。相对密度5. 24。熔点1565℃（分解）。不溶于水，溶于盐酸、硫酸，微溶于硝酸和醇。灼烧时放出氧气，能被氢和一氧化碳还原成铁。分散性好，着色力及遮盖力强。无油渗性和水渗性。耐温、耐光、耐酸、耐碱。</w:t>
            </w:r>
          </w:p>
          <w:p w14:paraId="24336212">
            <w:pPr>
              <w:spacing w:line="360" w:lineRule="auto"/>
              <w:ind w:firstLine="480"/>
              <w:rPr>
                <w:rFonts w:hint="eastAsia"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沼气理化性质如下：</w:t>
            </w:r>
          </w:p>
          <w:p w14:paraId="31FDBCB6">
            <w:pPr>
              <w:pStyle w:val="50"/>
              <w:numPr>
                <w:ilvl w:val="0"/>
                <w:numId w:val="6"/>
              </w:numPr>
              <w:spacing w:line="360" w:lineRule="auto"/>
              <w:ind w:left="0" w:firstLine="0" w:firstLineChars="0"/>
              <w:jc w:val="center"/>
              <w:rPr>
                <w:rFonts w:ascii="宋体" w:hAnsi="宋体" w:eastAsia="宋体"/>
                <w:b/>
                <w:sz w:val="21"/>
                <w:highlight w:val="none"/>
              </w:rPr>
            </w:pPr>
            <w:r>
              <w:rPr>
                <w:rFonts w:hint="eastAsia" w:ascii="宋体" w:hAnsi="宋体" w:eastAsia="宋体"/>
                <w:b/>
                <w:sz w:val="21"/>
                <w:highlight w:val="none"/>
                <w:lang w:val="en-US" w:eastAsia="zh-CN"/>
              </w:rPr>
              <w:t>沼气理化性质</w:t>
            </w:r>
            <w:r>
              <w:rPr>
                <w:rFonts w:hint="eastAsia" w:ascii="宋体" w:hAnsi="宋体" w:eastAsia="宋体"/>
                <w:b/>
                <w:sz w:val="21"/>
                <w:highlight w:val="none"/>
              </w:rPr>
              <w:t>一览表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8"/>
              <w:gridCol w:w="2249"/>
              <w:gridCol w:w="522"/>
              <w:gridCol w:w="470"/>
              <w:gridCol w:w="1102"/>
              <w:gridCol w:w="903"/>
              <w:gridCol w:w="2281"/>
            </w:tblGrid>
            <w:tr w14:paraId="16EC6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15" w:hRule="atLeast"/>
              </w:trPr>
              <w:tc>
                <w:tcPr>
                  <w:tcW w:w="257" w:type="pct"/>
                  <w:vMerge w:val="restart"/>
                  <w:tcBorders>
                    <w:top w:val="single" w:color="auto" w:sz="4" w:space="0"/>
                    <w:left w:val="single" w:color="auto" w:sz="4" w:space="0"/>
                    <w:bottom w:val="single" w:color="auto" w:sz="4" w:space="0"/>
                    <w:right w:val="single" w:color="auto" w:sz="4" w:space="0"/>
                  </w:tcBorders>
                  <w:noWrap w:val="0"/>
                  <w:vAlign w:val="center"/>
                </w:tcPr>
                <w:p w14:paraId="136CCB49">
                  <w:pPr>
                    <w:spacing w:line="480" w:lineRule="exact"/>
                    <w:jc w:val="center"/>
                    <w:rPr>
                      <w:highlight w:val="none"/>
                    </w:rPr>
                  </w:pPr>
                  <w:r>
                    <w:rPr>
                      <w:rFonts w:hint="eastAsia"/>
                      <w:highlight w:val="none"/>
                    </w:rPr>
                    <w:t>标识</w:t>
                  </w:r>
                </w:p>
              </w:tc>
              <w:tc>
                <w:tcPr>
                  <w:tcW w:w="2042" w:type="pct"/>
                  <w:gridSpan w:val="3"/>
                  <w:tcBorders>
                    <w:top w:val="single" w:color="auto" w:sz="4" w:space="0"/>
                    <w:left w:val="single" w:color="auto" w:sz="4" w:space="0"/>
                    <w:bottom w:val="single" w:color="auto" w:sz="4" w:space="0"/>
                    <w:right w:val="single" w:color="auto" w:sz="4" w:space="0"/>
                  </w:tcBorders>
                  <w:noWrap w:val="0"/>
                  <w:vAlign w:val="top"/>
                </w:tcPr>
                <w:p w14:paraId="75E962C0">
                  <w:pPr>
                    <w:spacing w:line="300" w:lineRule="exact"/>
                    <w:rPr>
                      <w:highlight w:val="none"/>
                    </w:rPr>
                  </w:pPr>
                  <w:r>
                    <w:rPr>
                      <w:rFonts w:hint="eastAsia"/>
                      <w:highlight w:val="none"/>
                    </w:rPr>
                    <w:t>中文名：</w:t>
                  </w:r>
                  <w:r>
                    <w:rPr>
                      <w:highlight w:val="none"/>
                    </w:rPr>
                    <w:t xml:space="preserve"> </w:t>
                  </w:r>
                  <w:r>
                    <w:rPr>
                      <w:rFonts w:hint="eastAsia"/>
                      <w:highlight w:val="none"/>
                    </w:rPr>
                    <w:t>甲烷、沼气</w:t>
                  </w:r>
                </w:p>
              </w:tc>
              <w:tc>
                <w:tcPr>
                  <w:tcW w:w="2699" w:type="pct"/>
                  <w:gridSpan w:val="3"/>
                  <w:tcBorders>
                    <w:top w:val="single" w:color="auto" w:sz="4" w:space="0"/>
                    <w:left w:val="single" w:color="auto" w:sz="4" w:space="0"/>
                    <w:bottom w:val="single" w:color="auto" w:sz="4" w:space="0"/>
                    <w:right w:val="single" w:color="auto" w:sz="4" w:space="0"/>
                  </w:tcBorders>
                  <w:noWrap w:val="0"/>
                  <w:vAlign w:val="top"/>
                </w:tcPr>
                <w:p w14:paraId="7345705F">
                  <w:pPr>
                    <w:spacing w:line="300" w:lineRule="exact"/>
                    <w:rPr>
                      <w:highlight w:val="none"/>
                    </w:rPr>
                  </w:pPr>
                  <w:r>
                    <w:rPr>
                      <w:rFonts w:hint="eastAsia"/>
                      <w:highlight w:val="none"/>
                    </w:rPr>
                    <w:t>英文名：</w:t>
                  </w:r>
                  <w:r>
                    <w:rPr>
                      <w:highlight w:val="none"/>
                    </w:rPr>
                    <w:t>methane Marsh gas</w:t>
                  </w:r>
                </w:p>
              </w:tc>
            </w:tr>
            <w:tr w14:paraId="54510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8" w:hRule="atLeast"/>
              </w:trPr>
              <w:tc>
                <w:tcPr>
                  <w:tcW w:w="257" w:type="pct"/>
                  <w:vMerge w:val="continue"/>
                  <w:tcBorders>
                    <w:top w:val="single" w:color="auto" w:sz="4" w:space="0"/>
                    <w:left w:val="single" w:color="auto" w:sz="4" w:space="0"/>
                    <w:bottom w:val="single" w:color="auto" w:sz="4" w:space="0"/>
                    <w:right w:val="single" w:color="auto" w:sz="4" w:space="0"/>
                  </w:tcBorders>
                  <w:noWrap w:val="0"/>
                  <w:vAlign w:val="center"/>
                </w:tcPr>
                <w:p w14:paraId="7F35FD6C">
                  <w:pPr>
                    <w:widowControl/>
                    <w:jc w:val="left"/>
                    <w:rPr>
                      <w:highlight w:val="none"/>
                    </w:rPr>
                  </w:pPr>
                </w:p>
              </w:tc>
              <w:tc>
                <w:tcPr>
                  <w:tcW w:w="1746" w:type="pct"/>
                  <w:gridSpan w:val="2"/>
                  <w:tcBorders>
                    <w:top w:val="single" w:color="auto" w:sz="4" w:space="0"/>
                    <w:left w:val="single" w:color="auto" w:sz="4" w:space="0"/>
                    <w:bottom w:val="single" w:color="auto" w:sz="4" w:space="0"/>
                    <w:right w:val="single" w:color="auto" w:sz="4" w:space="0"/>
                  </w:tcBorders>
                  <w:noWrap w:val="0"/>
                  <w:vAlign w:val="top"/>
                </w:tcPr>
                <w:p w14:paraId="3519DF79">
                  <w:pPr>
                    <w:spacing w:line="300" w:lineRule="exact"/>
                    <w:rPr>
                      <w:highlight w:val="none"/>
                      <w:vertAlign w:val="subscript"/>
                    </w:rPr>
                  </w:pPr>
                  <w:r>
                    <w:rPr>
                      <w:rFonts w:hint="eastAsia"/>
                      <w:highlight w:val="none"/>
                    </w:rPr>
                    <w:t>分子式：</w:t>
                  </w:r>
                  <w:r>
                    <w:rPr>
                      <w:highlight w:val="none"/>
                    </w:rPr>
                    <w:t>CH</w:t>
                  </w:r>
                  <w:r>
                    <w:rPr>
                      <w:highlight w:val="none"/>
                      <w:vertAlign w:val="subscript"/>
                    </w:rPr>
                    <w:t>4</w:t>
                  </w:r>
                </w:p>
              </w:tc>
              <w:tc>
                <w:tcPr>
                  <w:tcW w:w="1559" w:type="pct"/>
                  <w:gridSpan w:val="3"/>
                  <w:tcBorders>
                    <w:top w:val="single" w:color="auto" w:sz="4" w:space="0"/>
                    <w:left w:val="single" w:color="auto" w:sz="4" w:space="0"/>
                    <w:bottom w:val="single" w:color="auto" w:sz="4" w:space="0"/>
                    <w:right w:val="single" w:color="auto" w:sz="4" w:space="0"/>
                  </w:tcBorders>
                  <w:noWrap w:val="0"/>
                  <w:vAlign w:val="top"/>
                </w:tcPr>
                <w:p w14:paraId="085DA3C8">
                  <w:pPr>
                    <w:spacing w:line="300" w:lineRule="exact"/>
                    <w:rPr>
                      <w:highlight w:val="none"/>
                    </w:rPr>
                  </w:pPr>
                  <w:r>
                    <w:rPr>
                      <w:rFonts w:hint="eastAsia"/>
                      <w:highlight w:val="none"/>
                    </w:rPr>
                    <w:t>分子量：</w:t>
                  </w:r>
                  <w:r>
                    <w:rPr>
                      <w:highlight w:val="none"/>
                    </w:rPr>
                    <w:t>16.04</w:t>
                  </w:r>
                </w:p>
              </w:tc>
              <w:tc>
                <w:tcPr>
                  <w:tcW w:w="1436" w:type="pct"/>
                  <w:tcBorders>
                    <w:top w:val="single" w:color="auto" w:sz="4" w:space="0"/>
                    <w:left w:val="single" w:color="auto" w:sz="4" w:space="0"/>
                    <w:bottom w:val="single" w:color="auto" w:sz="4" w:space="0"/>
                    <w:right w:val="single" w:color="auto" w:sz="4" w:space="0"/>
                  </w:tcBorders>
                  <w:noWrap w:val="0"/>
                  <w:vAlign w:val="top"/>
                </w:tcPr>
                <w:p w14:paraId="79A40E39">
                  <w:pPr>
                    <w:spacing w:line="300" w:lineRule="exact"/>
                    <w:rPr>
                      <w:highlight w:val="none"/>
                    </w:rPr>
                  </w:pPr>
                  <w:r>
                    <w:rPr>
                      <w:highlight w:val="none"/>
                    </w:rPr>
                    <w:t>CAS</w:t>
                  </w:r>
                  <w:r>
                    <w:rPr>
                      <w:rFonts w:hint="eastAsia"/>
                      <w:highlight w:val="none"/>
                    </w:rPr>
                    <w:t>号：</w:t>
                  </w:r>
                  <w:r>
                    <w:rPr>
                      <w:highlight w:val="none"/>
                    </w:rPr>
                    <w:t>74</w:t>
                  </w:r>
                  <w:r>
                    <w:rPr>
                      <w:rFonts w:hint="eastAsia"/>
                      <w:highlight w:val="none"/>
                    </w:rPr>
                    <w:t>－</w:t>
                  </w:r>
                  <w:r>
                    <w:rPr>
                      <w:highlight w:val="none"/>
                    </w:rPr>
                    <w:t>82</w:t>
                  </w:r>
                  <w:r>
                    <w:rPr>
                      <w:rFonts w:hint="eastAsia"/>
                      <w:highlight w:val="none"/>
                    </w:rPr>
                    <w:t>－</w:t>
                  </w:r>
                  <w:r>
                    <w:rPr>
                      <w:highlight w:val="none"/>
                    </w:rPr>
                    <w:t>8</w:t>
                  </w:r>
                </w:p>
              </w:tc>
            </w:tr>
            <w:tr w14:paraId="4E768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0" w:hRule="atLeast"/>
              </w:trPr>
              <w:tc>
                <w:tcPr>
                  <w:tcW w:w="257" w:type="pct"/>
                  <w:vMerge w:val="continue"/>
                  <w:tcBorders>
                    <w:top w:val="single" w:color="auto" w:sz="4" w:space="0"/>
                    <w:left w:val="single" w:color="auto" w:sz="4" w:space="0"/>
                    <w:bottom w:val="single" w:color="auto" w:sz="4" w:space="0"/>
                    <w:right w:val="single" w:color="auto" w:sz="4" w:space="0"/>
                  </w:tcBorders>
                  <w:noWrap w:val="0"/>
                  <w:vAlign w:val="center"/>
                </w:tcPr>
                <w:p w14:paraId="412E5CCB">
                  <w:pPr>
                    <w:widowControl/>
                    <w:jc w:val="left"/>
                    <w:rPr>
                      <w:highlight w:val="none"/>
                    </w:rPr>
                  </w:pPr>
                </w:p>
              </w:tc>
              <w:tc>
                <w:tcPr>
                  <w:tcW w:w="4742" w:type="pct"/>
                  <w:gridSpan w:val="6"/>
                  <w:tcBorders>
                    <w:top w:val="single" w:color="auto" w:sz="4" w:space="0"/>
                    <w:left w:val="single" w:color="auto" w:sz="4" w:space="0"/>
                    <w:bottom w:val="single" w:color="auto" w:sz="4" w:space="0"/>
                    <w:right w:val="single" w:color="auto" w:sz="4" w:space="0"/>
                  </w:tcBorders>
                  <w:noWrap w:val="0"/>
                  <w:vAlign w:val="top"/>
                </w:tcPr>
                <w:p w14:paraId="565FB692">
                  <w:pPr>
                    <w:spacing w:line="300" w:lineRule="exact"/>
                    <w:rPr>
                      <w:highlight w:val="none"/>
                    </w:rPr>
                  </w:pPr>
                  <w:r>
                    <w:rPr>
                      <w:rFonts w:hint="eastAsia"/>
                      <w:highlight w:val="none"/>
                    </w:rPr>
                    <w:t>危规号：</w:t>
                  </w:r>
                  <w:r>
                    <w:rPr>
                      <w:highlight w:val="none"/>
                    </w:rPr>
                    <w:t>21007</w:t>
                  </w:r>
                </w:p>
              </w:tc>
            </w:tr>
            <w:tr w14:paraId="5D9C0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6" w:hRule="atLeast"/>
              </w:trPr>
              <w:tc>
                <w:tcPr>
                  <w:tcW w:w="257" w:type="pct"/>
                  <w:vMerge w:val="restart"/>
                  <w:tcBorders>
                    <w:top w:val="single" w:color="auto" w:sz="4" w:space="0"/>
                    <w:left w:val="single" w:color="auto" w:sz="4" w:space="0"/>
                    <w:bottom w:val="single" w:color="auto" w:sz="4" w:space="0"/>
                    <w:right w:val="single" w:color="auto" w:sz="4" w:space="0"/>
                  </w:tcBorders>
                  <w:noWrap w:val="0"/>
                  <w:vAlign w:val="center"/>
                </w:tcPr>
                <w:p w14:paraId="1EAACBC4">
                  <w:pPr>
                    <w:spacing w:line="380" w:lineRule="exact"/>
                    <w:jc w:val="center"/>
                    <w:rPr>
                      <w:highlight w:val="none"/>
                    </w:rPr>
                  </w:pPr>
                  <w:r>
                    <w:rPr>
                      <w:rFonts w:hint="eastAsia"/>
                      <w:highlight w:val="none"/>
                    </w:rPr>
                    <w:t>理化性质</w:t>
                  </w:r>
                </w:p>
              </w:tc>
              <w:tc>
                <w:tcPr>
                  <w:tcW w:w="4742" w:type="pct"/>
                  <w:gridSpan w:val="6"/>
                  <w:tcBorders>
                    <w:top w:val="single" w:color="auto" w:sz="4" w:space="0"/>
                    <w:left w:val="single" w:color="auto" w:sz="4" w:space="0"/>
                    <w:bottom w:val="single" w:color="auto" w:sz="4" w:space="0"/>
                    <w:right w:val="single" w:color="auto" w:sz="4" w:space="0"/>
                  </w:tcBorders>
                  <w:noWrap w:val="0"/>
                  <w:vAlign w:val="top"/>
                </w:tcPr>
                <w:p w14:paraId="5F1F1F0D">
                  <w:pPr>
                    <w:spacing w:line="300" w:lineRule="exact"/>
                    <w:rPr>
                      <w:highlight w:val="none"/>
                    </w:rPr>
                  </w:pPr>
                  <w:r>
                    <w:rPr>
                      <w:rFonts w:hint="eastAsia"/>
                      <w:highlight w:val="none"/>
                    </w:rPr>
                    <w:t>性状：</w:t>
                  </w:r>
                  <w:r>
                    <w:rPr>
                      <w:highlight w:val="none"/>
                    </w:rPr>
                    <w:t xml:space="preserve"> </w:t>
                  </w:r>
                  <w:r>
                    <w:rPr>
                      <w:rFonts w:hint="eastAsia"/>
                      <w:highlight w:val="none"/>
                    </w:rPr>
                    <w:t>无色无臭气体。</w:t>
                  </w:r>
                </w:p>
              </w:tc>
            </w:tr>
            <w:tr w14:paraId="32051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trPr>
              <w:tc>
                <w:tcPr>
                  <w:tcW w:w="257" w:type="pct"/>
                  <w:vMerge w:val="continue"/>
                  <w:tcBorders>
                    <w:top w:val="single" w:color="auto" w:sz="4" w:space="0"/>
                    <w:left w:val="single" w:color="auto" w:sz="4" w:space="0"/>
                    <w:bottom w:val="single" w:color="auto" w:sz="4" w:space="0"/>
                    <w:right w:val="single" w:color="auto" w:sz="4" w:space="0"/>
                  </w:tcBorders>
                  <w:noWrap w:val="0"/>
                  <w:vAlign w:val="center"/>
                </w:tcPr>
                <w:p w14:paraId="63B66ED5">
                  <w:pPr>
                    <w:widowControl/>
                    <w:jc w:val="left"/>
                    <w:rPr>
                      <w:highlight w:val="none"/>
                    </w:rPr>
                  </w:pPr>
                </w:p>
              </w:tc>
              <w:tc>
                <w:tcPr>
                  <w:tcW w:w="4742" w:type="pct"/>
                  <w:gridSpan w:val="6"/>
                  <w:tcBorders>
                    <w:top w:val="single" w:color="auto" w:sz="4" w:space="0"/>
                    <w:left w:val="single" w:color="auto" w:sz="4" w:space="0"/>
                    <w:bottom w:val="single" w:color="auto" w:sz="4" w:space="0"/>
                    <w:right w:val="single" w:color="auto" w:sz="4" w:space="0"/>
                  </w:tcBorders>
                  <w:noWrap w:val="0"/>
                  <w:vAlign w:val="top"/>
                </w:tcPr>
                <w:p w14:paraId="0F1134D8">
                  <w:pPr>
                    <w:spacing w:line="300" w:lineRule="exact"/>
                    <w:rPr>
                      <w:highlight w:val="none"/>
                    </w:rPr>
                  </w:pPr>
                  <w:r>
                    <w:rPr>
                      <w:rFonts w:hint="eastAsia"/>
                      <w:highlight w:val="none"/>
                    </w:rPr>
                    <w:t>溶解性：微溶于水，溶于醇、乙醚。</w:t>
                  </w:r>
                </w:p>
              </w:tc>
            </w:tr>
            <w:tr w14:paraId="7FAE2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257" w:type="pct"/>
                  <w:vMerge w:val="continue"/>
                  <w:tcBorders>
                    <w:top w:val="single" w:color="auto" w:sz="4" w:space="0"/>
                    <w:left w:val="single" w:color="auto" w:sz="4" w:space="0"/>
                    <w:bottom w:val="single" w:color="auto" w:sz="4" w:space="0"/>
                    <w:right w:val="single" w:color="auto" w:sz="4" w:space="0"/>
                  </w:tcBorders>
                  <w:noWrap w:val="0"/>
                  <w:vAlign w:val="center"/>
                </w:tcPr>
                <w:p w14:paraId="2E2B4239">
                  <w:pPr>
                    <w:widowControl/>
                    <w:jc w:val="left"/>
                    <w:rPr>
                      <w:highlight w:val="none"/>
                    </w:rPr>
                  </w:pPr>
                </w:p>
              </w:tc>
              <w:tc>
                <w:tcPr>
                  <w:tcW w:w="1417" w:type="pct"/>
                  <w:tcBorders>
                    <w:top w:val="single" w:color="auto" w:sz="4" w:space="0"/>
                    <w:left w:val="single" w:color="auto" w:sz="4" w:space="0"/>
                    <w:bottom w:val="single" w:color="auto" w:sz="4" w:space="0"/>
                    <w:right w:val="single" w:color="auto" w:sz="4" w:space="0"/>
                  </w:tcBorders>
                  <w:noWrap w:val="0"/>
                  <w:vAlign w:val="top"/>
                </w:tcPr>
                <w:p w14:paraId="5B3D3C88">
                  <w:pPr>
                    <w:spacing w:line="300" w:lineRule="exact"/>
                    <w:rPr>
                      <w:highlight w:val="none"/>
                    </w:rPr>
                  </w:pPr>
                  <w:r>
                    <w:rPr>
                      <w:rFonts w:hint="eastAsia"/>
                      <w:highlight w:val="none"/>
                    </w:rPr>
                    <w:t>熔点（℃）：－</w:t>
                  </w:r>
                  <w:r>
                    <w:rPr>
                      <w:highlight w:val="none"/>
                    </w:rPr>
                    <w:t>182.5</w:t>
                  </w:r>
                </w:p>
              </w:tc>
              <w:tc>
                <w:tcPr>
                  <w:tcW w:w="1319" w:type="pct"/>
                  <w:gridSpan w:val="3"/>
                  <w:tcBorders>
                    <w:top w:val="single" w:color="auto" w:sz="4" w:space="0"/>
                    <w:left w:val="single" w:color="auto" w:sz="4" w:space="0"/>
                    <w:bottom w:val="single" w:color="auto" w:sz="4" w:space="0"/>
                    <w:right w:val="single" w:color="auto" w:sz="4" w:space="0"/>
                  </w:tcBorders>
                  <w:noWrap w:val="0"/>
                  <w:vAlign w:val="top"/>
                </w:tcPr>
                <w:p w14:paraId="365E9D21">
                  <w:pPr>
                    <w:spacing w:line="300" w:lineRule="exact"/>
                    <w:rPr>
                      <w:highlight w:val="none"/>
                    </w:rPr>
                  </w:pPr>
                  <w:r>
                    <w:rPr>
                      <w:rFonts w:hint="eastAsia"/>
                      <w:highlight w:val="none"/>
                    </w:rPr>
                    <w:t>沸点（℃）：－</w:t>
                  </w:r>
                  <w:r>
                    <w:rPr>
                      <w:highlight w:val="none"/>
                    </w:rPr>
                    <w:t>161.5</w:t>
                  </w:r>
                </w:p>
              </w:tc>
              <w:tc>
                <w:tcPr>
                  <w:tcW w:w="2005" w:type="pct"/>
                  <w:gridSpan w:val="2"/>
                  <w:tcBorders>
                    <w:top w:val="single" w:color="auto" w:sz="4" w:space="0"/>
                    <w:left w:val="single" w:color="auto" w:sz="4" w:space="0"/>
                    <w:bottom w:val="single" w:color="auto" w:sz="4" w:space="0"/>
                    <w:right w:val="single" w:color="auto" w:sz="4" w:space="0"/>
                  </w:tcBorders>
                  <w:noWrap w:val="0"/>
                  <w:vAlign w:val="top"/>
                </w:tcPr>
                <w:p w14:paraId="0F437158">
                  <w:pPr>
                    <w:spacing w:line="300" w:lineRule="exact"/>
                    <w:rPr>
                      <w:highlight w:val="none"/>
                    </w:rPr>
                  </w:pPr>
                  <w:r>
                    <w:rPr>
                      <w:rFonts w:hint="eastAsia"/>
                      <w:highlight w:val="none"/>
                    </w:rPr>
                    <w:t>相对密度（水＝</w:t>
                  </w:r>
                  <w:r>
                    <w:rPr>
                      <w:highlight w:val="none"/>
                    </w:rPr>
                    <w:t>1</w:t>
                  </w:r>
                  <w:r>
                    <w:rPr>
                      <w:rFonts w:hint="eastAsia"/>
                      <w:highlight w:val="none"/>
                    </w:rPr>
                    <w:t>）：</w:t>
                  </w:r>
                  <w:r>
                    <w:rPr>
                      <w:highlight w:val="none"/>
                    </w:rPr>
                    <w:t>0.42</w:t>
                  </w:r>
                  <w:r>
                    <w:rPr>
                      <w:rFonts w:hint="eastAsia"/>
                      <w:highlight w:val="none"/>
                    </w:rPr>
                    <w:t>（－</w:t>
                  </w:r>
                  <w:r>
                    <w:rPr>
                      <w:highlight w:val="none"/>
                    </w:rPr>
                    <w:t>164</w:t>
                  </w:r>
                  <w:r>
                    <w:rPr>
                      <w:rFonts w:hint="eastAsia"/>
                      <w:highlight w:val="none"/>
                    </w:rPr>
                    <w:t>℃）</w:t>
                  </w:r>
                </w:p>
              </w:tc>
            </w:tr>
            <w:tr w14:paraId="3C6CD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257" w:type="pct"/>
                  <w:vMerge w:val="continue"/>
                  <w:tcBorders>
                    <w:top w:val="single" w:color="auto" w:sz="4" w:space="0"/>
                    <w:left w:val="single" w:color="auto" w:sz="4" w:space="0"/>
                    <w:bottom w:val="single" w:color="auto" w:sz="4" w:space="0"/>
                    <w:right w:val="single" w:color="auto" w:sz="4" w:space="0"/>
                  </w:tcBorders>
                  <w:noWrap w:val="0"/>
                  <w:vAlign w:val="center"/>
                </w:tcPr>
                <w:p w14:paraId="0DB42F40">
                  <w:pPr>
                    <w:widowControl/>
                    <w:jc w:val="left"/>
                    <w:rPr>
                      <w:highlight w:val="none"/>
                    </w:rPr>
                  </w:pPr>
                </w:p>
              </w:tc>
              <w:tc>
                <w:tcPr>
                  <w:tcW w:w="1417" w:type="pct"/>
                  <w:tcBorders>
                    <w:top w:val="single" w:color="auto" w:sz="4" w:space="0"/>
                    <w:left w:val="single" w:color="auto" w:sz="4" w:space="0"/>
                    <w:bottom w:val="single" w:color="auto" w:sz="4" w:space="0"/>
                    <w:right w:val="single" w:color="auto" w:sz="4" w:space="0"/>
                  </w:tcBorders>
                  <w:noWrap w:val="0"/>
                  <w:vAlign w:val="top"/>
                </w:tcPr>
                <w:p w14:paraId="45EA3FAB">
                  <w:pPr>
                    <w:spacing w:line="300" w:lineRule="exact"/>
                    <w:rPr>
                      <w:highlight w:val="none"/>
                    </w:rPr>
                  </w:pPr>
                  <w:r>
                    <w:rPr>
                      <w:rFonts w:hint="eastAsia"/>
                      <w:highlight w:val="none"/>
                    </w:rPr>
                    <w:t>临界温度（℃）：－</w:t>
                  </w:r>
                  <w:r>
                    <w:rPr>
                      <w:highlight w:val="none"/>
                    </w:rPr>
                    <w:t>82.6</w:t>
                  </w:r>
                </w:p>
              </w:tc>
              <w:tc>
                <w:tcPr>
                  <w:tcW w:w="1319" w:type="pct"/>
                  <w:gridSpan w:val="3"/>
                  <w:tcBorders>
                    <w:top w:val="single" w:color="auto" w:sz="4" w:space="0"/>
                    <w:left w:val="single" w:color="auto" w:sz="4" w:space="0"/>
                    <w:bottom w:val="single" w:color="auto" w:sz="4" w:space="0"/>
                    <w:right w:val="single" w:color="auto" w:sz="4" w:space="0"/>
                  </w:tcBorders>
                  <w:noWrap w:val="0"/>
                  <w:vAlign w:val="top"/>
                </w:tcPr>
                <w:p w14:paraId="21E451C1">
                  <w:pPr>
                    <w:spacing w:line="300" w:lineRule="exact"/>
                    <w:rPr>
                      <w:highlight w:val="none"/>
                    </w:rPr>
                  </w:pPr>
                  <w:r>
                    <w:rPr>
                      <w:rFonts w:hint="eastAsia"/>
                      <w:highlight w:val="none"/>
                    </w:rPr>
                    <w:t>临界压力（</w:t>
                  </w:r>
                  <w:r>
                    <w:rPr>
                      <w:highlight w:val="none"/>
                    </w:rPr>
                    <w:t>MPa</w:t>
                  </w:r>
                  <w:r>
                    <w:rPr>
                      <w:rFonts w:hint="eastAsia"/>
                      <w:highlight w:val="none"/>
                    </w:rPr>
                    <w:t>）：</w:t>
                  </w:r>
                  <w:r>
                    <w:rPr>
                      <w:highlight w:val="none"/>
                    </w:rPr>
                    <w:t>4.59</w:t>
                  </w:r>
                </w:p>
              </w:tc>
              <w:tc>
                <w:tcPr>
                  <w:tcW w:w="2005" w:type="pct"/>
                  <w:gridSpan w:val="2"/>
                  <w:tcBorders>
                    <w:top w:val="single" w:color="auto" w:sz="4" w:space="0"/>
                    <w:left w:val="single" w:color="auto" w:sz="4" w:space="0"/>
                    <w:bottom w:val="single" w:color="auto" w:sz="4" w:space="0"/>
                    <w:right w:val="single" w:color="auto" w:sz="4" w:space="0"/>
                  </w:tcBorders>
                  <w:noWrap w:val="0"/>
                  <w:vAlign w:val="top"/>
                </w:tcPr>
                <w:p w14:paraId="20919237">
                  <w:pPr>
                    <w:spacing w:line="300" w:lineRule="exact"/>
                    <w:rPr>
                      <w:highlight w:val="none"/>
                    </w:rPr>
                  </w:pPr>
                  <w:r>
                    <w:rPr>
                      <w:rFonts w:hint="eastAsia"/>
                      <w:highlight w:val="none"/>
                    </w:rPr>
                    <w:t>相对密度（空气＝</w:t>
                  </w:r>
                  <w:r>
                    <w:rPr>
                      <w:highlight w:val="none"/>
                    </w:rPr>
                    <w:t>1</w:t>
                  </w:r>
                  <w:r>
                    <w:rPr>
                      <w:rFonts w:hint="eastAsia"/>
                      <w:highlight w:val="none"/>
                    </w:rPr>
                    <w:t>）：</w:t>
                  </w:r>
                  <w:r>
                    <w:rPr>
                      <w:highlight w:val="none"/>
                    </w:rPr>
                    <w:t>0.55</w:t>
                  </w:r>
                </w:p>
              </w:tc>
            </w:tr>
            <w:tr w14:paraId="30295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257" w:type="pct"/>
                  <w:vMerge w:val="continue"/>
                  <w:tcBorders>
                    <w:top w:val="single" w:color="auto" w:sz="4" w:space="0"/>
                    <w:left w:val="single" w:color="auto" w:sz="4" w:space="0"/>
                    <w:bottom w:val="single" w:color="auto" w:sz="4" w:space="0"/>
                    <w:right w:val="single" w:color="auto" w:sz="4" w:space="0"/>
                  </w:tcBorders>
                  <w:noWrap w:val="0"/>
                  <w:vAlign w:val="center"/>
                </w:tcPr>
                <w:p w14:paraId="0C188C67">
                  <w:pPr>
                    <w:widowControl/>
                    <w:jc w:val="left"/>
                    <w:rPr>
                      <w:highlight w:val="none"/>
                    </w:rPr>
                  </w:pPr>
                </w:p>
              </w:tc>
              <w:tc>
                <w:tcPr>
                  <w:tcW w:w="1417" w:type="pct"/>
                  <w:tcBorders>
                    <w:top w:val="single" w:color="auto" w:sz="4" w:space="0"/>
                    <w:left w:val="single" w:color="auto" w:sz="4" w:space="0"/>
                    <w:bottom w:val="single" w:color="auto" w:sz="4" w:space="0"/>
                    <w:right w:val="single" w:color="auto" w:sz="4" w:space="0"/>
                  </w:tcBorders>
                  <w:noWrap w:val="0"/>
                  <w:vAlign w:val="top"/>
                </w:tcPr>
                <w:p w14:paraId="419B9F9D">
                  <w:pPr>
                    <w:spacing w:line="300" w:lineRule="exact"/>
                    <w:rPr>
                      <w:rFonts w:hint="default" w:eastAsia="宋体"/>
                      <w:highlight w:val="none"/>
                      <w:lang w:val="en-US" w:eastAsia="zh-CN"/>
                    </w:rPr>
                  </w:pPr>
                  <w:r>
                    <w:rPr>
                      <w:rFonts w:hint="eastAsia"/>
                      <w:highlight w:val="none"/>
                    </w:rPr>
                    <w:t>燃烧热（</w:t>
                  </w:r>
                  <w:r>
                    <w:rPr>
                      <w:highlight w:val="none"/>
                    </w:rPr>
                    <w:t>KJ/mol</w:t>
                  </w:r>
                  <w:r>
                    <w:rPr>
                      <w:rFonts w:hint="eastAsia"/>
                      <w:highlight w:val="none"/>
                    </w:rPr>
                    <w:t>）：</w:t>
                  </w:r>
                  <w:r>
                    <w:rPr>
                      <w:rFonts w:hint="eastAsia"/>
                      <w:highlight w:val="none"/>
                      <w:lang w:val="en-US" w:eastAsia="zh-CN"/>
                    </w:rPr>
                    <w:t>13459.6</w:t>
                  </w:r>
                </w:p>
              </w:tc>
              <w:tc>
                <w:tcPr>
                  <w:tcW w:w="1319" w:type="pct"/>
                  <w:gridSpan w:val="3"/>
                  <w:tcBorders>
                    <w:top w:val="single" w:color="auto" w:sz="4" w:space="0"/>
                    <w:left w:val="single" w:color="auto" w:sz="4" w:space="0"/>
                    <w:bottom w:val="single" w:color="auto" w:sz="4" w:space="0"/>
                    <w:right w:val="single" w:color="auto" w:sz="4" w:space="0"/>
                  </w:tcBorders>
                  <w:noWrap w:val="0"/>
                  <w:vAlign w:val="top"/>
                </w:tcPr>
                <w:p w14:paraId="51E83BCF">
                  <w:pPr>
                    <w:spacing w:line="300" w:lineRule="exact"/>
                    <w:rPr>
                      <w:highlight w:val="none"/>
                    </w:rPr>
                  </w:pPr>
                  <w:r>
                    <w:rPr>
                      <w:rFonts w:hint="eastAsia"/>
                      <w:highlight w:val="none"/>
                    </w:rPr>
                    <w:t>最小点火能（</w:t>
                  </w:r>
                  <w:r>
                    <w:rPr>
                      <w:highlight w:val="none"/>
                    </w:rPr>
                    <w:t>mJ</w:t>
                  </w:r>
                  <w:r>
                    <w:rPr>
                      <w:rFonts w:hint="eastAsia"/>
                      <w:highlight w:val="none"/>
                    </w:rPr>
                    <w:t>）：</w:t>
                  </w:r>
                  <w:r>
                    <w:rPr>
                      <w:highlight w:val="none"/>
                    </w:rPr>
                    <w:t>0.28</w:t>
                  </w:r>
                </w:p>
              </w:tc>
              <w:tc>
                <w:tcPr>
                  <w:tcW w:w="2005" w:type="pct"/>
                  <w:gridSpan w:val="2"/>
                  <w:tcBorders>
                    <w:top w:val="single" w:color="auto" w:sz="4" w:space="0"/>
                    <w:left w:val="single" w:color="auto" w:sz="4" w:space="0"/>
                    <w:bottom w:val="single" w:color="auto" w:sz="4" w:space="0"/>
                    <w:right w:val="single" w:color="auto" w:sz="4" w:space="0"/>
                  </w:tcBorders>
                  <w:noWrap w:val="0"/>
                  <w:vAlign w:val="top"/>
                </w:tcPr>
                <w:p w14:paraId="15E36680">
                  <w:pPr>
                    <w:spacing w:line="300" w:lineRule="exact"/>
                    <w:rPr>
                      <w:highlight w:val="none"/>
                    </w:rPr>
                  </w:pPr>
                  <w:r>
                    <w:rPr>
                      <w:rFonts w:hint="eastAsia"/>
                      <w:highlight w:val="none"/>
                    </w:rPr>
                    <w:t>饱和蒸汽压（</w:t>
                  </w:r>
                  <w:r>
                    <w:rPr>
                      <w:highlight w:val="none"/>
                    </w:rPr>
                    <w:t>KPa</w:t>
                  </w:r>
                  <w:r>
                    <w:rPr>
                      <w:rFonts w:hint="eastAsia"/>
                      <w:highlight w:val="none"/>
                    </w:rPr>
                    <w:t>）：</w:t>
                  </w:r>
                  <w:r>
                    <w:rPr>
                      <w:highlight w:val="none"/>
                    </w:rPr>
                    <w:t>53.32</w:t>
                  </w:r>
                  <w:r>
                    <w:rPr>
                      <w:rFonts w:hint="eastAsia"/>
                      <w:highlight w:val="none"/>
                    </w:rPr>
                    <w:t>（－</w:t>
                  </w:r>
                  <w:r>
                    <w:rPr>
                      <w:highlight w:val="none"/>
                    </w:rPr>
                    <w:t>168.8</w:t>
                  </w:r>
                  <w:r>
                    <w:rPr>
                      <w:rFonts w:hint="eastAsia"/>
                      <w:highlight w:val="none"/>
                    </w:rPr>
                    <w:t>℃）</w:t>
                  </w:r>
                </w:p>
              </w:tc>
            </w:tr>
            <w:tr w14:paraId="553A3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257" w:type="pct"/>
                  <w:vMerge w:val="restart"/>
                  <w:tcBorders>
                    <w:top w:val="single" w:color="auto" w:sz="4" w:space="0"/>
                    <w:left w:val="single" w:color="auto" w:sz="4" w:space="0"/>
                    <w:bottom w:val="single" w:color="auto" w:sz="4" w:space="0"/>
                    <w:right w:val="single" w:color="auto" w:sz="4" w:space="0"/>
                  </w:tcBorders>
                  <w:noWrap w:val="0"/>
                  <w:vAlign w:val="center"/>
                </w:tcPr>
                <w:p w14:paraId="596AFC00">
                  <w:pPr>
                    <w:spacing w:line="280" w:lineRule="exact"/>
                    <w:jc w:val="center"/>
                    <w:rPr>
                      <w:highlight w:val="none"/>
                    </w:rPr>
                  </w:pPr>
                  <w:r>
                    <w:rPr>
                      <w:rFonts w:hint="eastAsia"/>
                      <w:highlight w:val="none"/>
                    </w:rPr>
                    <w:t>燃烧爆炸危险性</w:t>
                  </w:r>
                </w:p>
              </w:tc>
              <w:tc>
                <w:tcPr>
                  <w:tcW w:w="1746" w:type="pct"/>
                  <w:gridSpan w:val="2"/>
                  <w:tcBorders>
                    <w:top w:val="single" w:color="auto" w:sz="4" w:space="0"/>
                    <w:left w:val="single" w:color="auto" w:sz="4" w:space="0"/>
                    <w:bottom w:val="single" w:color="auto" w:sz="4" w:space="0"/>
                    <w:right w:val="single" w:color="auto" w:sz="4" w:space="0"/>
                  </w:tcBorders>
                  <w:noWrap w:val="0"/>
                  <w:vAlign w:val="top"/>
                </w:tcPr>
                <w:p w14:paraId="1DE5C52D">
                  <w:pPr>
                    <w:spacing w:line="300" w:lineRule="exact"/>
                    <w:rPr>
                      <w:highlight w:val="none"/>
                    </w:rPr>
                  </w:pPr>
                  <w:r>
                    <w:rPr>
                      <w:rFonts w:hint="eastAsia"/>
                      <w:highlight w:val="none"/>
                    </w:rPr>
                    <w:t>燃烧性：易燃</w:t>
                  </w:r>
                </w:p>
              </w:tc>
              <w:tc>
                <w:tcPr>
                  <w:tcW w:w="2995" w:type="pct"/>
                  <w:gridSpan w:val="4"/>
                  <w:tcBorders>
                    <w:top w:val="single" w:color="auto" w:sz="4" w:space="0"/>
                    <w:left w:val="single" w:color="auto" w:sz="4" w:space="0"/>
                    <w:bottom w:val="single" w:color="auto" w:sz="4" w:space="0"/>
                    <w:right w:val="single" w:color="auto" w:sz="4" w:space="0"/>
                  </w:tcBorders>
                  <w:noWrap w:val="0"/>
                  <w:vAlign w:val="top"/>
                </w:tcPr>
                <w:p w14:paraId="4F1949B3">
                  <w:pPr>
                    <w:spacing w:line="300" w:lineRule="exact"/>
                    <w:rPr>
                      <w:highlight w:val="none"/>
                    </w:rPr>
                  </w:pPr>
                  <w:r>
                    <w:rPr>
                      <w:rFonts w:hint="eastAsia"/>
                      <w:highlight w:val="none"/>
                    </w:rPr>
                    <w:t>燃烧分解产物：一氧化碳、二氧化碳</w:t>
                  </w:r>
                </w:p>
              </w:tc>
            </w:tr>
            <w:tr w14:paraId="33969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57" w:type="pct"/>
                  <w:vMerge w:val="continue"/>
                  <w:tcBorders>
                    <w:top w:val="single" w:color="auto" w:sz="4" w:space="0"/>
                    <w:left w:val="single" w:color="auto" w:sz="4" w:space="0"/>
                    <w:bottom w:val="single" w:color="auto" w:sz="4" w:space="0"/>
                    <w:right w:val="single" w:color="auto" w:sz="4" w:space="0"/>
                  </w:tcBorders>
                  <w:noWrap w:val="0"/>
                  <w:vAlign w:val="center"/>
                </w:tcPr>
                <w:p w14:paraId="7E0D23ED">
                  <w:pPr>
                    <w:widowControl/>
                    <w:jc w:val="left"/>
                    <w:rPr>
                      <w:highlight w:val="none"/>
                    </w:rPr>
                  </w:pPr>
                </w:p>
              </w:tc>
              <w:tc>
                <w:tcPr>
                  <w:tcW w:w="1746" w:type="pct"/>
                  <w:gridSpan w:val="2"/>
                  <w:tcBorders>
                    <w:top w:val="single" w:color="auto" w:sz="4" w:space="0"/>
                    <w:left w:val="single" w:color="auto" w:sz="4" w:space="0"/>
                    <w:bottom w:val="single" w:color="auto" w:sz="4" w:space="0"/>
                    <w:right w:val="single" w:color="auto" w:sz="4" w:space="0"/>
                  </w:tcBorders>
                  <w:noWrap w:val="0"/>
                  <w:vAlign w:val="top"/>
                </w:tcPr>
                <w:p w14:paraId="0FEE4C43">
                  <w:pPr>
                    <w:spacing w:line="300" w:lineRule="exact"/>
                    <w:rPr>
                      <w:highlight w:val="none"/>
                    </w:rPr>
                  </w:pPr>
                  <w:r>
                    <w:rPr>
                      <w:rFonts w:hint="eastAsia"/>
                      <w:highlight w:val="none"/>
                    </w:rPr>
                    <w:t>闪点（℃）：－</w:t>
                  </w:r>
                  <w:r>
                    <w:rPr>
                      <w:highlight w:val="none"/>
                    </w:rPr>
                    <w:t>188</w:t>
                  </w:r>
                </w:p>
              </w:tc>
              <w:tc>
                <w:tcPr>
                  <w:tcW w:w="2995" w:type="pct"/>
                  <w:gridSpan w:val="4"/>
                  <w:tcBorders>
                    <w:top w:val="single" w:color="auto" w:sz="4" w:space="0"/>
                    <w:left w:val="single" w:color="auto" w:sz="4" w:space="0"/>
                    <w:bottom w:val="single" w:color="auto" w:sz="4" w:space="0"/>
                    <w:right w:val="single" w:color="auto" w:sz="4" w:space="0"/>
                  </w:tcBorders>
                  <w:noWrap w:val="0"/>
                  <w:vAlign w:val="top"/>
                </w:tcPr>
                <w:p w14:paraId="6C564E6F">
                  <w:pPr>
                    <w:spacing w:line="300" w:lineRule="exact"/>
                    <w:rPr>
                      <w:highlight w:val="none"/>
                    </w:rPr>
                  </w:pPr>
                  <w:r>
                    <w:rPr>
                      <w:rFonts w:hint="eastAsia"/>
                      <w:highlight w:val="none"/>
                    </w:rPr>
                    <w:t>聚合危害：不聚合</w:t>
                  </w:r>
                </w:p>
              </w:tc>
            </w:tr>
            <w:tr w14:paraId="6B0F2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57" w:type="pct"/>
                  <w:vMerge w:val="continue"/>
                  <w:tcBorders>
                    <w:top w:val="single" w:color="auto" w:sz="4" w:space="0"/>
                    <w:left w:val="single" w:color="auto" w:sz="4" w:space="0"/>
                    <w:bottom w:val="single" w:color="auto" w:sz="4" w:space="0"/>
                    <w:right w:val="single" w:color="auto" w:sz="4" w:space="0"/>
                  </w:tcBorders>
                  <w:noWrap w:val="0"/>
                  <w:vAlign w:val="center"/>
                </w:tcPr>
                <w:p w14:paraId="34BAFAC0">
                  <w:pPr>
                    <w:widowControl/>
                    <w:jc w:val="left"/>
                    <w:rPr>
                      <w:highlight w:val="none"/>
                    </w:rPr>
                  </w:pPr>
                </w:p>
              </w:tc>
              <w:tc>
                <w:tcPr>
                  <w:tcW w:w="1746" w:type="pct"/>
                  <w:gridSpan w:val="2"/>
                  <w:tcBorders>
                    <w:top w:val="single" w:color="auto" w:sz="4" w:space="0"/>
                    <w:left w:val="single" w:color="auto" w:sz="4" w:space="0"/>
                    <w:bottom w:val="single" w:color="auto" w:sz="4" w:space="0"/>
                    <w:right w:val="single" w:color="auto" w:sz="4" w:space="0"/>
                  </w:tcBorders>
                  <w:noWrap w:val="0"/>
                  <w:vAlign w:val="top"/>
                </w:tcPr>
                <w:p w14:paraId="0407F746">
                  <w:pPr>
                    <w:spacing w:line="300" w:lineRule="exact"/>
                    <w:rPr>
                      <w:highlight w:val="none"/>
                    </w:rPr>
                  </w:pPr>
                  <w:r>
                    <w:rPr>
                      <w:rFonts w:hint="eastAsia"/>
                      <w:highlight w:val="none"/>
                    </w:rPr>
                    <w:t>爆炸下限（％）：</w:t>
                  </w:r>
                  <w:r>
                    <w:rPr>
                      <w:highlight w:val="none"/>
                    </w:rPr>
                    <w:t>5.3</w:t>
                  </w:r>
                </w:p>
              </w:tc>
              <w:tc>
                <w:tcPr>
                  <w:tcW w:w="2995" w:type="pct"/>
                  <w:gridSpan w:val="4"/>
                  <w:tcBorders>
                    <w:top w:val="single" w:color="auto" w:sz="4" w:space="0"/>
                    <w:left w:val="single" w:color="auto" w:sz="4" w:space="0"/>
                    <w:bottom w:val="single" w:color="auto" w:sz="4" w:space="0"/>
                    <w:right w:val="single" w:color="auto" w:sz="4" w:space="0"/>
                  </w:tcBorders>
                  <w:noWrap w:val="0"/>
                  <w:vAlign w:val="top"/>
                </w:tcPr>
                <w:p w14:paraId="289C19BC">
                  <w:pPr>
                    <w:spacing w:line="300" w:lineRule="exact"/>
                    <w:rPr>
                      <w:highlight w:val="none"/>
                    </w:rPr>
                  </w:pPr>
                  <w:r>
                    <w:rPr>
                      <w:rFonts w:hint="eastAsia"/>
                      <w:highlight w:val="none"/>
                    </w:rPr>
                    <w:t>稳定性：稳定</w:t>
                  </w:r>
                </w:p>
              </w:tc>
            </w:tr>
            <w:tr w14:paraId="0EBBA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57" w:type="pct"/>
                  <w:vMerge w:val="continue"/>
                  <w:tcBorders>
                    <w:top w:val="single" w:color="auto" w:sz="4" w:space="0"/>
                    <w:left w:val="single" w:color="auto" w:sz="4" w:space="0"/>
                    <w:bottom w:val="single" w:color="auto" w:sz="4" w:space="0"/>
                    <w:right w:val="single" w:color="auto" w:sz="4" w:space="0"/>
                  </w:tcBorders>
                  <w:noWrap w:val="0"/>
                  <w:vAlign w:val="center"/>
                </w:tcPr>
                <w:p w14:paraId="70A9E52D">
                  <w:pPr>
                    <w:widowControl/>
                    <w:jc w:val="left"/>
                    <w:rPr>
                      <w:highlight w:val="none"/>
                    </w:rPr>
                  </w:pPr>
                </w:p>
              </w:tc>
              <w:tc>
                <w:tcPr>
                  <w:tcW w:w="1746" w:type="pct"/>
                  <w:gridSpan w:val="2"/>
                  <w:tcBorders>
                    <w:top w:val="single" w:color="auto" w:sz="4" w:space="0"/>
                    <w:left w:val="single" w:color="auto" w:sz="4" w:space="0"/>
                    <w:bottom w:val="single" w:color="auto" w:sz="4" w:space="0"/>
                    <w:right w:val="single" w:color="auto" w:sz="4" w:space="0"/>
                  </w:tcBorders>
                  <w:noWrap w:val="0"/>
                  <w:vAlign w:val="top"/>
                </w:tcPr>
                <w:p w14:paraId="1BB44513">
                  <w:pPr>
                    <w:spacing w:line="300" w:lineRule="exact"/>
                    <w:rPr>
                      <w:highlight w:val="none"/>
                    </w:rPr>
                  </w:pPr>
                  <w:r>
                    <w:rPr>
                      <w:rFonts w:hint="eastAsia"/>
                      <w:highlight w:val="none"/>
                    </w:rPr>
                    <w:t>爆炸上限（％）：</w:t>
                  </w:r>
                  <w:r>
                    <w:rPr>
                      <w:highlight w:val="none"/>
                    </w:rPr>
                    <w:t>15</w:t>
                  </w:r>
                </w:p>
              </w:tc>
              <w:tc>
                <w:tcPr>
                  <w:tcW w:w="2995" w:type="pct"/>
                  <w:gridSpan w:val="4"/>
                  <w:tcBorders>
                    <w:top w:val="single" w:color="auto" w:sz="4" w:space="0"/>
                    <w:left w:val="single" w:color="auto" w:sz="4" w:space="0"/>
                    <w:bottom w:val="single" w:color="auto" w:sz="4" w:space="0"/>
                    <w:right w:val="single" w:color="auto" w:sz="4" w:space="0"/>
                  </w:tcBorders>
                  <w:noWrap w:val="0"/>
                  <w:vAlign w:val="top"/>
                </w:tcPr>
                <w:p w14:paraId="5ED2534D">
                  <w:pPr>
                    <w:spacing w:line="300" w:lineRule="exact"/>
                    <w:rPr>
                      <w:highlight w:val="none"/>
                    </w:rPr>
                  </w:pPr>
                  <w:r>
                    <w:rPr>
                      <w:rFonts w:hint="eastAsia"/>
                      <w:highlight w:val="none"/>
                    </w:rPr>
                    <w:t>最大爆炸压力（</w:t>
                  </w:r>
                  <w:r>
                    <w:rPr>
                      <w:highlight w:val="none"/>
                    </w:rPr>
                    <w:t>MPa</w:t>
                  </w:r>
                  <w:r>
                    <w:rPr>
                      <w:rFonts w:hint="eastAsia"/>
                      <w:highlight w:val="none"/>
                    </w:rPr>
                    <w:t>）：</w:t>
                  </w:r>
                  <w:r>
                    <w:rPr>
                      <w:highlight w:val="none"/>
                    </w:rPr>
                    <w:t>0.717</w:t>
                  </w:r>
                </w:p>
              </w:tc>
            </w:tr>
            <w:tr w14:paraId="418F0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0" w:hRule="atLeast"/>
              </w:trPr>
              <w:tc>
                <w:tcPr>
                  <w:tcW w:w="257" w:type="pct"/>
                  <w:vMerge w:val="continue"/>
                  <w:tcBorders>
                    <w:top w:val="single" w:color="auto" w:sz="4" w:space="0"/>
                    <w:left w:val="single" w:color="auto" w:sz="4" w:space="0"/>
                    <w:bottom w:val="single" w:color="auto" w:sz="4" w:space="0"/>
                    <w:right w:val="single" w:color="auto" w:sz="4" w:space="0"/>
                  </w:tcBorders>
                  <w:noWrap w:val="0"/>
                  <w:vAlign w:val="center"/>
                </w:tcPr>
                <w:p w14:paraId="2E641FC3">
                  <w:pPr>
                    <w:widowControl/>
                    <w:jc w:val="left"/>
                    <w:rPr>
                      <w:highlight w:val="none"/>
                    </w:rPr>
                  </w:pPr>
                </w:p>
              </w:tc>
              <w:tc>
                <w:tcPr>
                  <w:tcW w:w="1746" w:type="pct"/>
                  <w:gridSpan w:val="2"/>
                  <w:tcBorders>
                    <w:top w:val="single" w:color="auto" w:sz="4" w:space="0"/>
                    <w:left w:val="single" w:color="auto" w:sz="4" w:space="0"/>
                    <w:bottom w:val="single" w:color="auto" w:sz="4" w:space="0"/>
                    <w:right w:val="single" w:color="auto" w:sz="4" w:space="0"/>
                  </w:tcBorders>
                  <w:noWrap w:val="0"/>
                  <w:vAlign w:val="top"/>
                </w:tcPr>
                <w:p w14:paraId="19D72682">
                  <w:pPr>
                    <w:spacing w:line="300" w:lineRule="exact"/>
                    <w:rPr>
                      <w:highlight w:val="none"/>
                    </w:rPr>
                  </w:pPr>
                  <w:r>
                    <w:rPr>
                      <w:rFonts w:hint="eastAsia"/>
                      <w:highlight w:val="none"/>
                    </w:rPr>
                    <w:t>引燃温度（℃）：</w:t>
                  </w:r>
                  <w:r>
                    <w:rPr>
                      <w:highlight w:val="none"/>
                    </w:rPr>
                    <w:t>538</w:t>
                  </w:r>
                </w:p>
              </w:tc>
              <w:tc>
                <w:tcPr>
                  <w:tcW w:w="2995" w:type="pct"/>
                  <w:gridSpan w:val="4"/>
                  <w:tcBorders>
                    <w:top w:val="single" w:color="auto" w:sz="4" w:space="0"/>
                    <w:left w:val="single" w:color="auto" w:sz="4" w:space="0"/>
                    <w:bottom w:val="single" w:color="auto" w:sz="4" w:space="0"/>
                    <w:right w:val="single" w:color="auto" w:sz="4" w:space="0"/>
                  </w:tcBorders>
                  <w:noWrap w:val="0"/>
                  <w:vAlign w:val="top"/>
                </w:tcPr>
                <w:p w14:paraId="30BA60DA">
                  <w:pPr>
                    <w:spacing w:line="300" w:lineRule="exact"/>
                    <w:rPr>
                      <w:highlight w:val="none"/>
                    </w:rPr>
                  </w:pPr>
                  <w:r>
                    <w:rPr>
                      <w:rFonts w:hint="eastAsia"/>
                      <w:highlight w:val="none"/>
                    </w:rPr>
                    <w:t>禁忌物：强氧化剂、氟、氯</w:t>
                  </w:r>
                </w:p>
              </w:tc>
            </w:tr>
            <w:tr w14:paraId="77D93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47" w:hRule="atLeast"/>
              </w:trPr>
              <w:tc>
                <w:tcPr>
                  <w:tcW w:w="257" w:type="pct"/>
                  <w:vMerge w:val="continue"/>
                  <w:tcBorders>
                    <w:top w:val="single" w:color="auto" w:sz="4" w:space="0"/>
                    <w:left w:val="single" w:color="auto" w:sz="4" w:space="0"/>
                    <w:bottom w:val="single" w:color="auto" w:sz="4" w:space="0"/>
                    <w:right w:val="single" w:color="auto" w:sz="4" w:space="0"/>
                  </w:tcBorders>
                  <w:noWrap w:val="0"/>
                  <w:vAlign w:val="center"/>
                </w:tcPr>
                <w:p w14:paraId="1467B17D">
                  <w:pPr>
                    <w:widowControl/>
                    <w:jc w:val="left"/>
                    <w:rPr>
                      <w:highlight w:val="none"/>
                    </w:rPr>
                  </w:pPr>
                </w:p>
              </w:tc>
              <w:tc>
                <w:tcPr>
                  <w:tcW w:w="4742" w:type="pct"/>
                  <w:gridSpan w:val="6"/>
                  <w:tcBorders>
                    <w:top w:val="single" w:color="auto" w:sz="4" w:space="0"/>
                    <w:left w:val="single" w:color="auto" w:sz="4" w:space="0"/>
                    <w:bottom w:val="single" w:color="auto" w:sz="4" w:space="0"/>
                    <w:right w:val="single" w:color="auto" w:sz="4" w:space="0"/>
                  </w:tcBorders>
                  <w:noWrap w:val="0"/>
                  <w:vAlign w:val="top"/>
                </w:tcPr>
                <w:p w14:paraId="7D40D18E">
                  <w:pPr>
                    <w:spacing w:line="300" w:lineRule="exact"/>
                    <w:rPr>
                      <w:highlight w:val="none"/>
                    </w:rPr>
                  </w:pPr>
                  <w:r>
                    <w:rPr>
                      <w:rFonts w:hint="eastAsia"/>
                      <w:highlight w:val="none"/>
                    </w:rPr>
                    <w:t>危险特性：</w:t>
                  </w:r>
                  <w:r>
                    <w:rPr>
                      <w:highlight w:val="none"/>
                    </w:rPr>
                    <w:t xml:space="preserve"> </w:t>
                  </w:r>
                  <w:r>
                    <w:rPr>
                      <w:rFonts w:hint="eastAsia"/>
                      <w:highlight w:val="none"/>
                    </w:rPr>
                    <w:t>易燃，与空气混合能形成爆炸性混合物，遇热源和明火有燃烧爆炸的危险。与五氧化溴、氯气、次氯酸、三氟化氮、液氧、二氟化氧及其它强氧化剂接触剧烈反应。</w:t>
                  </w:r>
                </w:p>
              </w:tc>
            </w:tr>
            <w:tr w14:paraId="40EAC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2" w:hRule="atLeast"/>
              </w:trPr>
              <w:tc>
                <w:tcPr>
                  <w:tcW w:w="257" w:type="pct"/>
                  <w:vMerge w:val="continue"/>
                  <w:tcBorders>
                    <w:top w:val="single" w:color="auto" w:sz="4" w:space="0"/>
                    <w:left w:val="single" w:color="auto" w:sz="4" w:space="0"/>
                    <w:bottom w:val="single" w:color="auto" w:sz="4" w:space="0"/>
                    <w:right w:val="single" w:color="auto" w:sz="4" w:space="0"/>
                  </w:tcBorders>
                  <w:noWrap w:val="0"/>
                  <w:vAlign w:val="center"/>
                </w:tcPr>
                <w:p w14:paraId="15D48B18">
                  <w:pPr>
                    <w:widowControl/>
                    <w:jc w:val="left"/>
                    <w:rPr>
                      <w:highlight w:val="none"/>
                    </w:rPr>
                  </w:pPr>
                </w:p>
              </w:tc>
              <w:tc>
                <w:tcPr>
                  <w:tcW w:w="4742" w:type="pct"/>
                  <w:gridSpan w:val="6"/>
                  <w:tcBorders>
                    <w:top w:val="single" w:color="auto" w:sz="4" w:space="0"/>
                    <w:left w:val="single" w:color="auto" w:sz="4" w:space="0"/>
                    <w:bottom w:val="single" w:color="auto" w:sz="4" w:space="0"/>
                    <w:right w:val="single" w:color="auto" w:sz="4" w:space="0"/>
                  </w:tcBorders>
                  <w:noWrap w:val="0"/>
                  <w:vAlign w:val="top"/>
                </w:tcPr>
                <w:p w14:paraId="05736031">
                  <w:pPr>
                    <w:spacing w:line="300" w:lineRule="exact"/>
                    <w:rPr>
                      <w:highlight w:val="none"/>
                    </w:rPr>
                  </w:pPr>
                  <w:r>
                    <w:rPr>
                      <w:rFonts w:hint="eastAsia"/>
                      <w:highlight w:val="none"/>
                    </w:rPr>
                    <w:t>消防措施：切断气源。若不能立即切断气源，则不允许熄灭正在燃烧的气体。喷水冷却容器，可能的话将容器从火场移至空旷处。灭火剂：雾状水、泡沫、二氧化碳、干粉。</w:t>
                  </w:r>
                </w:p>
              </w:tc>
            </w:tr>
            <w:tr w14:paraId="1C690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tcBorders>
                    <w:top w:val="single" w:color="auto" w:sz="4" w:space="0"/>
                    <w:left w:val="single" w:color="auto" w:sz="4" w:space="0"/>
                    <w:bottom w:val="single" w:color="auto" w:sz="4" w:space="0"/>
                    <w:right w:val="single" w:color="auto" w:sz="4" w:space="0"/>
                  </w:tcBorders>
                  <w:noWrap w:val="0"/>
                  <w:vAlign w:val="center"/>
                </w:tcPr>
                <w:p w14:paraId="76281152">
                  <w:pPr>
                    <w:jc w:val="center"/>
                    <w:rPr>
                      <w:highlight w:val="none"/>
                    </w:rPr>
                  </w:pPr>
                  <w:r>
                    <w:rPr>
                      <w:rFonts w:hint="eastAsia"/>
                      <w:highlight w:val="none"/>
                    </w:rPr>
                    <w:t>毒性</w:t>
                  </w:r>
                </w:p>
              </w:tc>
              <w:tc>
                <w:tcPr>
                  <w:tcW w:w="4742" w:type="pct"/>
                  <w:gridSpan w:val="6"/>
                  <w:tcBorders>
                    <w:top w:val="single" w:color="auto" w:sz="4" w:space="0"/>
                    <w:left w:val="single" w:color="auto" w:sz="4" w:space="0"/>
                    <w:bottom w:val="single" w:color="auto" w:sz="4" w:space="0"/>
                    <w:right w:val="single" w:color="auto" w:sz="4" w:space="0"/>
                  </w:tcBorders>
                  <w:noWrap w:val="0"/>
                  <w:vAlign w:val="top"/>
                </w:tcPr>
                <w:p w14:paraId="741DF13A">
                  <w:pPr>
                    <w:spacing w:line="300" w:lineRule="exact"/>
                    <w:rPr>
                      <w:highlight w:val="none"/>
                    </w:rPr>
                  </w:pPr>
                  <w:r>
                    <w:rPr>
                      <w:rFonts w:hint="eastAsia"/>
                      <w:highlight w:val="none"/>
                    </w:rPr>
                    <w:t>接触限值：</w:t>
                  </w:r>
                  <w:r>
                    <w:rPr>
                      <w:highlight w:val="none"/>
                    </w:rPr>
                    <w:t xml:space="preserve"> </w:t>
                  </w:r>
                  <w:r>
                    <w:rPr>
                      <w:rFonts w:hint="eastAsia"/>
                      <w:highlight w:val="none"/>
                    </w:rPr>
                    <w:t>中国</w:t>
                  </w:r>
                  <w:r>
                    <w:rPr>
                      <w:highlight w:val="none"/>
                    </w:rPr>
                    <w:t>MAC</w:t>
                  </w:r>
                  <w:r>
                    <w:rPr>
                      <w:rFonts w:hint="eastAsia"/>
                      <w:highlight w:val="none"/>
                    </w:rPr>
                    <w:t>（</w:t>
                  </w:r>
                  <w:r>
                    <w:rPr>
                      <w:highlight w:val="none"/>
                    </w:rPr>
                    <w:t>mg/m</w:t>
                  </w:r>
                  <w:r>
                    <w:rPr>
                      <w:highlight w:val="none"/>
                      <w:vertAlign w:val="superscript"/>
                    </w:rPr>
                    <w:t>3</w:t>
                  </w:r>
                  <w:r>
                    <w:rPr>
                      <w:rFonts w:hint="eastAsia"/>
                      <w:highlight w:val="none"/>
                    </w:rPr>
                    <w:t>）</w:t>
                  </w:r>
                  <w:r>
                    <w:rPr>
                      <w:highlight w:val="none"/>
                    </w:rPr>
                    <w:t xml:space="preserve"> </w:t>
                  </w:r>
                  <w:r>
                    <w:rPr>
                      <w:rFonts w:hint="eastAsia"/>
                      <w:highlight w:val="none"/>
                    </w:rPr>
                    <w:t>未制定标准</w:t>
                  </w:r>
                  <w:r>
                    <w:rPr>
                      <w:highlight w:val="none"/>
                    </w:rPr>
                    <w:t xml:space="preserve">    </w:t>
                  </w:r>
                  <w:r>
                    <w:rPr>
                      <w:rFonts w:hint="eastAsia"/>
                      <w:highlight w:val="none"/>
                    </w:rPr>
                    <w:t>前苏联</w:t>
                  </w:r>
                  <w:r>
                    <w:rPr>
                      <w:highlight w:val="none"/>
                    </w:rPr>
                    <w:t xml:space="preserve"> MAC</w:t>
                  </w:r>
                  <w:r>
                    <w:rPr>
                      <w:rFonts w:hint="eastAsia"/>
                      <w:highlight w:val="none"/>
                    </w:rPr>
                    <w:t>（</w:t>
                  </w:r>
                  <w:r>
                    <w:rPr>
                      <w:highlight w:val="none"/>
                    </w:rPr>
                    <w:t>mg/m</w:t>
                  </w:r>
                  <w:r>
                    <w:rPr>
                      <w:highlight w:val="none"/>
                      <w:vertAlign w:val="superscript"/>
                    </w:rPr>
                    <w:t>3</w:t>
                  </w:r>
                  <w:r>
                    <w:rPr>
                      <w:rFonts w:hint="eastAsia"/>
                      <w:highlight w:val="none"/>
                    </w:rPr>
                    <w:t>）</w:t>
                  </w:r>
                  <w:r>
                    <w:rPr>
                      <w:highlight w:val="none"/>
                    </w:rPr>
                    <w:t xml:space="preserve"> 300   </w:t>
                  </w:r>
                </w:p>
                <w:p w14:paraId="52983E74">
                  <w:pPr>
                    <w:spacing w:line="300" w:lineRule="exact"/>
                    <w:rPr>
                      <w:highlight w:val="none"/>
                    </w:rPr>
                  </w:pPr>
                  <w:r>
                    <w:rPr>
                      <w:rFonts w:hint="eastAsia"/>
                      <w:highlight w:val="none"/>
                    </w:rPr>
                    <w:t>美国</w:t>
                  </w:r>
                  <w:r>
                    <w:rPr>
                      <w:highlight w:val="none"/>
                    </w:rPr>
                    <w:t>TVL</w:t>
                  </w:r>
                  <w:r>
                    <w:rPr>
                      <w:rFonts w:hint="eastAsia"/>
                      <w:highlight w:val="none"/>
                    </w:rPr>
                    <w:t>－</w:t>
                  </w:r>
                  <w:r>
                    <w:rPr>
                      <w:highlight w:val="none"/>
                    </w:rPr>
                    <w:t xml:space="preserve">TWA  ACGIH </w:t>
                  </w:r>
                  <w:r>
                    <w:rPr>
                      <w:rFonts w:hint="eastAsia"/>
                      <w:highlight w:val="none"/>
                    </w:rPr>
                    <w:t>窒息性气体</w:t>
                  </w:r>
                  <w:r>
                    <w:rPr>
                      <w:highlight w:val="none"/>
                    </w:rPr>
                    <w:t xml:space="preserve">   </w:t>
                  </w:r>
                  <w:r>
                    <w:rPr>
                      <w:rFonts w:hint="eastAsia"/>
                      <w:highlight w:val="none"/>
                    </w:rPr>
                    <w:t>美国</w:t>
                  </w:r>
                  <w:r>
                    <w:rPr>
                      <w:highlight w:val="none"/>
                    </w:rPr>
                    <w:t>TLV</w:t>
                  </w:r>
                  <w:r>
                    <w:rPr>
                      <w:rFonts w:hint="eastAsia"/>
                      <w:highlight w:val="none"/>
                    </w:rPr>
                    <w:t>－</w:t>
                  </w:r>
                  <w:r>
                    <w:rPr>
                      <w:highlight w:val="none"/>
                    </w:rPr>
                    <w:t xml:space="preserve">STEL  </w:t>
                  </w:r>
                  <w:r>
                    <w:rPr>
                      <w:rFonts w:hint="eastAsia"/>
                      <w:highlight w:val="none"/>
                    </w:rPr>
                    <w:t>未制定标准</w:t>
                  </w:r>
                </w:p>
              </w:tc>
            </w:tr>
            <w:tr w14:paraId="50DC7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tcBorders>
                    <w:top w:val="single" w:color="auto" w:sz="4" w:space="0"/>
                    <w:left w:val="single" w:color="auto" w:sz="4" w:space="0"/>
                    <w:bottom w:val="single" w:color="auto" w:sz="4" w:space="0"/>
                    <w:right w:val="single" w:color="auto" w:sz="4" w:space="0"/>
                  </w:tcBorders>
                  <w:noWrap w:val="0"/>
                  <w:vAlign w:val="center"/>
                </w:tcPr>
                <w:p w14:paraId="7985F4D5">
                  <w:pPr>
                    <w:spacing w:line="240" w:lineRule="exact"/>
                    <w:jc w:val="center"/>
                    <w:rPr>
                      <w:highlight w:val="none"/>
                    </w:rPr>
                  </w:pPr>
                  <w:r>
                    <w:rPr>
                      <w:rFonts w:hint="eastAsia"/>
                      <w:highlight w:val="none"/>
                    </w:rPr>
                    <w:t>对人体危害</w:t>
                  </w:r>
                </w:p>
              </w:tc>
              <w:tc>
                <w:tcPr>
                  <w:tcW w:w="4742" w:type="pct"/>
                  <w:gridSpan w:val="6"/>
                  <w:tcBorders>
                    <w:top w:val="single" w:color="auto" w:sz="4" w:space="0"/>
                    <w:left w:val="single" w:color="auto" w:sz="4" w:space="0"/>
                    <w:bottom w:val="single" w:color="auto" w:sz="4" w:space="0"/>
                    <w:right w:val="single" w:color="auto" w:sz="4" w:space="0"/>
                  </w:tcBorders>
                  <w:noWrap w:val="0"/>
                  <w:vAlign w:val="top"/>
                </w:tcPr>
                <w:p w14:paraId="6EA973AD">
                  <w:pPr>
                    <w:spacing w:line="300" w:lineRule="exact"/>
                    <w:rPr>
                      <w:highlight w:val="none"/>
                    </w:rPr>
                  </w:pPr>
                  <w:r>
                    <w:rPr>
                      <w:rFonts w:hint="eastAsia"/>
                      <w:highlight w:val="none"/>
                    </w:rPr>
                    <w:t>侵入途径：</w:t>
                  </w:r>
                  <w:r>
                    <w:rPr>
                      <w:highlight w:val="none"/>
                    </w:rPr>
                    <w:t xml:space="preserve"> </w:t>
                  </w:r>
                  <w:r>
                    <w:rPr>
                      <w:rFonts w:hint="eastAsia"/>
                      <w:highlight w:val="none"/>
                    </w:rPr>
                    <w:t>吸入。</w:t>
                  </w:r>
                </w:p>
                <w:p w14:paraId="22D2EA2E">
                  <w:pPr>
                    <w:spacing w:line="300" w:lineRule="exact"/>
                    <w:rPr>
                      <w:highlight w:val="none"/>
                    </w:rPr>
                  </w:pPr>
                  <w:r>
                    <w:rPr>
                      <w:rFonts w:hint="eastAsia"/>
                      <w:highlight w:val="none"/>
                    </w:rPr>
                    <w:t>健康危害：甲烷对人基本无毒，但浓度过高时，使空气中氧含量明显降低，使人窒息。当空气中甲烷达</w:t>
                  </w:r>
                  <w:r>
                    <w:rPr>
                      <w:highlight w:val="none"/>
                    </w:rPr>
                    <w:t>25</w:t>
                  </w:r>
                  <w:r>
                    <w:rPr>
                      <w:rFonts w:hint="eastAsia"/>
                      <w:highlight w:val="none"/>
                    </w:rPr>
                    <w:t>％～</w:t>
                  </w:r>
                  <w:r>
                    <w:rPr>
                      <w:highlight w:val="none"/>
                    </w:rPr>
                    <w:t>30</w:t>
                  </w:r>
                  <w:r>
                    <w:rPr>
                      <w:rFonts w:hint="eastAsia"/>
                      <w:highlight w:val="none"/>
                    </w:rPr>
                    <w:t>％时，可引起头痛、头晕、乏力、注意力不集中、呼吸和心跳加速、共济失调。若不及时脱离，可致窒息死亡。皮肤接触液化本品，可致冻伤。</w:t>
                  </w:r>
                </w:p>
              </w:tc>
            </w:tr>
            <w:tr w14:paraId="2BA2E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tcBorders>
                    <w:top w:val="single" w:color="auto" w:sz="4" w:space="0"/>
                    <w:left w:val="single" w:color="auto" w:sz="4" w:space="0"/>
                    <w:bottom w:val="single" w:color="auto" w:sz="4" w:space="0"/>
                    <w:right w:val="single" w:color="auto" w:sz="4" w:space="0"/>
                  </w:tcBorders>
                  <w:noWrap w:val="0"/>
                  <w:vAlign w:val="center"/>
                </w:tcPr>
                <w:p w14:paraId="2C53F3EC">
                  <w:pPr>
                    <w:spacing w:line="320" w:lineRule="exact"/>
                    <w:jc w:val="center"/>
                    <w:rPr>
                      <w:highlight w:val="none"/>
                    </w:rPr>
                  </w:pPr>
                  <w:r>
                    <w:rPr>
                      <w:rFonts w:hint="eastAsia"/>
                      <w:highlight w:val="none"/>
                    </w:rPr>
                    <w:t>急救</w:t>
                  </w:r>
                </w:p>
              </w:tc>
              <w:tc>
                <w:tcPr>
                  <w:tcW w:w="4742" w:type="pct"/>
                  <w:gridSpan w:val="6"/>
                  <w:tcBorders>
                    <w:top w:val="single" w:color="auto" w:sz="4" w:space="0"/>
                    <w:left w:val="single" w:color="auto" w:sz="4" w:space="0"/>
                    <w:bottom w:val="single" w:color="auto" w:sz="4" w:space="0"/>
                    <w:right w:val="single" w:color="auto" w:sz="4" w:space="0"/>
                  </w:tcBorders>
                  <w:noWrap w:val="0"/>
                  <w:vAlign w:val="top"/>
                </w:tcPr>
                <w:p w14:paraId="3C6AD738">
                  <w:pPr>
                    <w:spacing w:line="300" w:lineRule="exact"/>
                    <w:rPr>
                      <w:highlight w:val="none"/>
                    </w:rPr>
                  </w:pPr>
                  <w:r>
                    <w:rPr>
                      <w:rFonts w:hint="eastAsia"/>
                      <w:highlight w:val="none"/>
                    </w:rPr>
                    <w:t>皮肤冻伤：若有冻伤，就医治疗。</w:t>
                  </w:r>
                </w:p>
                <w:p w14:paraId="6E9F0391">
                  <w:pPr>
                    <w:spacing w:line="300" w:lineRule="exact"/>
                    <w:rPr>
                      <w:highlight w:val="none"/>
                    </w:rPr>
                  </w:pPr>
                  <w:r>
                    <w:rPr>
                      <w:rFonts w:hint="eastAsia"/>
                      <w:highlight w:val="none"/>
                    </w:rPr>
                    <w:t>吸入：迅速脱离现场至空气新鲜处，保持呼吸道通畅。如呼吸困难，给输氧。如呼吸停止，立即进行人工呼吸。就医。</w:t>
                  </w:r>
                </w:p>
              </w:tc>
            </w:tr>
            <w:tr w14:paraId="1A63C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tcBorders>
                    <w:top w:val="single" w:color="auto" w:sz="4" w:space="0"/>
                    <w:left w:val="single" w:color="auto" w:sz="4" w:space="0"/>
                    <w:bottom w:val="single" w:color="auto" w:sz="4" w:space="0"/>
                    <w:right w:val="single" w:color="auto" w:sz="4" w:space="0"/>
                  </w:tcBorders>
                  <w:noWrap w:val="0"/>
                  <w:vAlign w:val="center"/>
                </w:tcPr>
                <w:p w14:paraId="090ACD41">
                  <w:pPr>
                    <w:spacing w:line="500" w:lineRule="exact"/>
                    <w:jc w:val="center"/>
                    <w:rPr>
                      <w:highlight w:val="none"/>
                    </w:rPr>
                  </w:pPr>
                  <w:r>
                    <w:rPr>
                      <w:rFonts w:hint="eastAsia"/>
                      <w:highlight w:val="none"/>
                    </w:rPr>
                    <w:t>防护</w:t>
                  </w:r>
                </w:p>
              </w:tc>
              <w:tc>
                <w:tcPr>
                  <w:tcW w:w="4742" w:type="pct"/>
                  <w:gridSpan w:val="6"/>
                  <w:tcBorders>
                    <w:top w:val="single" w:color="auto" w:sz="4" w:space="0"/>
                    <w:left w:val="single" w:color="auto" w:sz="4" w:space="0"/>
                    <w:bottom w:val="single" w:color="auto" w:sz="4" w:space="0"/>
                    <w:right w:val="single" w:color="auto" w:sz="4" w:space="0"/>
                  </w:tcBorders>
                  <w:noWrap w:val="0"/>
                  <w:vAlign w:val="top"/>
                </w:tcPr>
                <w:p w14:paraId="471CEB1E">
                  <w:pPr>
                    <w:spacing w:line="300" w:lineRule="exact"/>
                    <w:rPr>
                      <w:highlight w:val="none"/>
                    </w:rPr>
                  </w:pPr>
                  <w:r>
                    <w:rPr>
                      <w:rFonts w:hint="eastAsia"/>
                      <w:highlight w:val="none"/>
                    </w:rPr>
                    <w:t>工程防护：生产过程密闭，全面通风。</w:t>
                  </w:r>
                </w:p>
                <w:p w14:paraId="6DBC3DAA">
                  <w:pPr>
                    <w:spacing w:line="300" w:lineRule="exact"/>
                    <w:rPr>
                      <w:highlight w:val="none"/>
                    </w:rPr>
                  </w:pPr>
                  <w:r>
                    <w:rPr>
                      <w:rFonts w:hint="eastAsia"/>
                      <w:highlight w:val="none"/>
                    </w:rPr>
                    <w:t>个人防护：</w:t>
                  </w:r>
                  <w:r>
                    <w:rPr>
                      <w:highlight w:val="none"/>
                    </w:rPr>
                    <w:t xml:space="preserve"> </w:t>
                  </w:r>
                  <w:r>
                    <w:rPr>
                      <w:rFonts w:hint="eastAsia"/>
                      <w:highlight w:val="none"/>
                    </w:rPr>
                    <w:t>一般不需要特殊防护，但建议特殊情况下，佩戴自吸过滤式防毒面具（半面罩）。眼睛防护一般不需要特殊防护，高浓度接触时可戴安全防护眼镜，穿防静电工作服。戴一般作业防护手套。工作现场严禁吸烟。避免长期反复接触，进入罐、限制性空间或其它高浓度区作业，须有人监护。</w:t>
                  </w:r>
                </w:p>
              </w:tc>
            </w:tr>
            <w:tr w14:paraId="5B9F5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 w:type="pct"/>
                  <w:tcBorders>
                    <w:top w:val="single" w:color="auto" w:sz="4" w:space="0"/>
                    <w:left w:val="single" w:color="auto" w:sz="4" w:space="0"/>
                    <w:bottom w:val="single" w:color="auto" w:sz="4" w:space="0"/>
                    <w:right w:val="single" w:color="auto" w:sz="4" w:space="0"/>
                  </w:tcBorders>
                  <w:noWrap w:val="0"/>
                  <w:vAlign w:val="center"/>
                </w:tcPr>
                <w:p w14:paraId="62C97D6D">
                  <w:pPr>
                    <w:spacing w:line="300" w:lineRule="exact"/>
                    <w:jc w:val="center"/>
                    <w:rPr>
                      <w:highlight w:val="none"/>
                    </w:rPr>
                  </w:pPr>
                  <w:r>
                    <w:rPr>
                      <w:rFonts w:hint="eastAsia"/>
                      <w:highlight w:val="none"/>
                    </w:rPr>
                    <w:t>泄漏处理</w:t>
                  </w:r>
                </w:p>
              </w:tc>
              <w:tc>
                <w:tcPr>
                  <w:tcW w:w="4742" w:type="pct"/>
                  <w:gridSpan w:val="6"/>
                  <w:tcBorders>
                    <w:top w:val="single" w:color="auto" w:sz="4" w:space="0"/>
                    <w:left w:val="single" w:color="auto" w:sz="4" w:space="0"/>
                    <w:bottom w:val="single" w:color="auto" w:sz="4" w:space="0"/>
                    <w:right w:val="single" w:color="auto" w:sz="4" w:space="0"/>
                  </w:tcBorders>
                  <w:noWrap w:val="0"/>
                  <w:vAlign w:val="top"/>
                </w:tcPr>
                <w:p w14:paraId="2877D154">
                  <w:pPr>
                    <w:spacing w:line="300" w:lineRule="exact"/>
                    <w:rPr>
                      <w:highlight w:val="none"/>
                    </w:rPr>
                  </w:pPr>
                  <w:r>
                    <w:rPr>
                      <w:rFonts w:hint="eastAsia"/>
                      <w:highlight w:val="none"/>
                    </w:rPr>
                    <w:t>迅速撤离泄漏污染区人员至上风处，并进行隔离，严格限制出入。切断火源。建议应急处理人员戴自给正压式呼吸器，穿消防防护服。尽可能切断泄漏源。合理通风，加速扩散。喷雾状水稀释、溶解。构筑围堤或挖坑收容产生的大量废水。如有可能，将漏出气用排风机送至空旷地方或装设适当喷头烧掉。也可以将漏气的容器移至空旷处，注意通风。漏气容器要妥善处理，修复、检验后再用。</w:t>
                  </w:r>
                </w:p>
              </w:tc>
            </w:tr>
            <w:tr w14:paraId="15863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0" w:hRule="atLeast"/>
              </w:trPr>
              <w:tc>
                <w:tcPr>
                  <w:tcW w:w="257" w:type="pct"/>
                  <w:tcBorders>
                    <w:top w:val="single" w:color="auto" w:sz="4" w:space="0"/>
                    <w:left w:val="single" w:color="auto" w:sz="4" w:space="0"/>
                    <w:bottom w:val="single" w:color="auto" w:sz="4" w:space="0"/>
                    <w:right w:val="single" w:color="auto" w:sz="4" w:space="0"/>
                  </w:tcBorders>
                  <w:noWrap w:val="0"/>
                  <w:vAlign w:val="center"/>
                </w:tcPr>
                <w:p w14:paraId="05BC2905">
                  <w:pPr>
                    <w:spacing w:line="500" w:lineRule="atLeast"/>
                    <w:jc w:val="center"/>
                    <w:rPr>
                      <w:highlight w:val="none"/>
                    </w:rPr>
                  </w:pPr>
                  <w:r>
                    <w:rPr>
                      <w:rFonts w:hint="eastAsia"/>
                      <w:highlight w:val="none"/>
                    </w:rPr>
                    <w:t>贮运</w:t>
                  </w:r>
                </w:p>
              </w:tc>
              <w:tc>
                <w:tcPr>
                  <w:tcW w:w="4742" w:type="pct"/>
                  <w:gridSpan w:val="6"/>
                  <w:tcBorders>
                    <w:top w:val="single" w:color="auto" w:sz="4" w:space="0"/>
                    <w:left w:val="single" w:color="auto" w:sz="4" w:space="0"/>
                    <w:bottom w:val="single" w:color="auto" w:sz="4" w:space="0"/>
                    <w:right w:val="single" w:color="auto" w:sz="4" w:space="0"/>
                  </w:tcBorders>
                  <w:noWrap w:val="0"/>
                  <w:vAlign w:val="top"/>
                </w:tcPr>
                <w:p w14:paraId="046F03E8">
                  <w:pPr>
                    <w:spacing w:line="300" w:lineRule="exact"/>
                    <w:rPr>
                      <w:highlight w:val="none"/>
                    </w:rPr>
                  </w:pPr>
                  <w:r>
                    <w:rPr>
                      <w:rFonts w:hint="eastAsia"/>
                      <w:highlight w:val="none"/>
                    </w:rPr>
                    <w:t>包装标志：</w:t>
                  </w:r>
                  <w:r>
                    <w:rPr>
                      <w:highlight w:val="none"/>
                    </w:rPr>
                    <w:t>4       UN</w:t>
                  </w:r>
                  <w:r>
                    <w:rPr>
                      <w:rFonts w:hint="eastAsia"/>
                      <w:highlight w:val="none"/>
                    </w:rPr>
                    <w:t>编号：</w:t>
                  </w:r>
                  <w:r>
                    <w:rPr>
                      <w:highlight w:val="none"/>
                    </w:rPr>
                    <w:t xml:space="preserve"> 1971     </w:t>
                  </w:r>
                  <w:r>
                    <w:rPr>
                      <w:rFonts w:hint="eastAsia"/>
                      <w:highlight w:val="none"/>
                    </w:rPr>
                    <w:t>包装分类：Ⅱ</w:t>
                  </w:r>
                  <w:r>
                    <w:rPr>
                      <w:highlight w:val="none"/>
                    </w:rPr>
                    <w:t xml:space="preserve">       </w:t>
                  </w:r>
                  <w:r>
                    <w:rPr>
                      <w:rFonts w:hint="eastAsia"/>
                      <w:highlight w:val="none"/>
                    </w:rPr>
                    <w:t>包装方法：钢质气瓶</w:t>
                  </w:r>
                </w:p>
                <w:p w14:paraId="731E1265">
                  <w:pPr>
                    <w:spacing w:line="300" w:lineRule="exact"/>
                    <w:rPr>
                      <w:highlight w:val="none"/>
                    </w:rPr>
                  </w:pPr>
                  <w:r>
                    <w:rPr>
                      <w:rFonts w:hint="eastAsia"/>
                      <w:highlight w:val="none"/>
                    </w:rPr>
                    <w:t>储运条件：易燃压缩气体。储存于阴凉、通风仓间内。仓温不宜超过</w:t>
                  </w:r>
                  <w:r>
                    <w:rPr>
                      <w:highlight w:val="none"/>
                    </w:rPr>
                    <w:t>30</w:t>
                  </w:r>
                  <w:r>
                    <w:rPr>
                      <w:rFonts w:hint="eastAsia"/>
                      <w:highlight w:val="none"/>
                    </w:rPr>
                    <w:t>℃。远离火种、热源。防止阳光直射。应与氧气、压缩空气、卤素（氟、氯、溴）等分开存放。切忌混储混运。储存间的照明、通风等设施应采用防爆型，开关设在仓外。配备相应品种和数量的消防器材。罐储时要有防火防爆技术措施。露天贮罐夏季要有降温措施。禁止使用易产生火花的机械设备和工具。验收时要注意品名，注意验瓶日期，先进仓的先发用。搬运时轻装轻卸，防止钢瓶及附件破损。</w:t>
                  </w:r>
                </w:p>
              </w:tc>
            </w:tr>
          </w:tbl>
          <w:p w14:paraId="7404786C">
            <w:pPr>
              <w:spacing w:before="120" w:beforeLines="50" w:line="360" w:lineRule="auto"/>
              <w:ind w:firstLine="482" w:firstLineChars="200"/>
              <w:rPr>
                <w:b/>
                <w:sz w:val="24"/>
                <w:highlight w:val="none"/>
              </w:rPr>
            </w:pPr>
            <w:r>
              <w:rPr>
                <w:b/>
                <w:sz w:val="24"/>
                <w:highlight w:val="none"/>
              </w:rPr>
              <w:t>6．</w:t>
            </w:r>
            <w:r>
              <w:rPr>
                <w:rFonts w:hint="eastAsia"/>
                <w:b/>
                <w:sz w:val="24"/>
                <w:highlight w:val="none"/>
              </w:rPr>
              <w:t>劳动定员及工作制度</w:t>
            </w:r>
          </w:p>
          <w:p w14:paraId="6719BFA5">
            <w:pPr>
              <w:spacing w:line="360" w:lineRule="auto"/>
              <w:ind w:firstLine="480"/>
              <w:rPr>
                <w:rFonts w:hint="eastAsia" w:eastAsia="宋体"/>
                <w:sz w:val="24"/>
                <w:highlight w:val="none"/>
                <w:lang w:val="en-US" w:eastAsia="zh-CN"/>
              </w:rPr>
            </w:pPr>
            <w:r>
              <w:rPr>
                <w:rFonts w:hint="eastAsia"/>
                <w:sz w:val="24"/>
                <w:highlight w:val="none"/>
                <w:lang w:val="en-US" w:eastAsia="zh-CN"/>
              </w:rPr>
              <w:t>本项目沼气来源为承德泓辉双合淀粉有限公司污水处理站PEIC厌氧反应器，污水处理站</w:t>
            </w:r>
            <w:r>
              <w:rPr>
                <w:rFonts w:hint="eastAsia"/>
                <w:sz w:val="24"/>
                <w:highlight w:val="none"/>
              </w:rPr>
              <w:t>年生产</w:t>
            </w:r>
            <w:r>
              <w:rPr>
                <w:rFonts w:hint="eastAsia"/>
                <w:sz w:val="24"/>
                <w:highlight w:val="none"/>
                <w:lang w:val="en-US" w:eastAsia="zh-CN"/>
              </w:rPr>
              <w:t>90</w:t>
            </w:r>
            <w:r>
              <w:rPr>
                <w:rFonts w:hint="eastAsia"/>
                <w:sz w:val="24"/>
                <w:highlight w:val="none"/>
              </w:rPr>
              <w:t>天，每天</w:t>
            </w:r>
            <w:r>
              <w:rPr>
                <w:rFonts w:hint="eastAsia"/>
                <w:sz w:val="24"/>
                <w:highlight w:val="none"/>
                <w:lang w:val="en-US" w:eastAsia="zh-CN"/>
              </w:rPr>
              <w:t>3</w:t>
            </w:r>
            <w:r>
              <w:rPr>
                <w:rFonts w:hint="eastAsia"/>
                <w:sz w:val="24"/>
                <w:highlight w:val="none"/>
              </w:rPr>
              <w:t>班，每班</w:t>
            </w:r>
            <w:r>
              <w:rPr>
                <w:rFonts w:hint="eastAsia"/>
                <w:sz w:val="24"/>
                <w:highlight w:val="none"/>
                <w:lang w:val="en-US" w:eastAsia="zh-CN"/>
              </w:rPr>
              <w:t>8</w:t>
            </w:r>
            <w:r>
              <w:rPr>
                <w:rFonts w:hint="eastAsia"/>
                <w:sz w:val="24"/>
                <w:highlight w:val="none"/>
              </w:rPr>
              <w:t>小时，年运行时间</w:t>
            </w:r>
            <w:r>
              <w:rPr>
                <w:rFonts w:hint="eastAsia"/>
                <w:sz w:val="24"/>
                <w:highlight w:val="none"/>
                <w:lang w:val="en-US" w:eastAsia="zh-CN"/>
              </w:rPr>
              <w:t>2160</w:t>
            </w:r>
            <w:r>
              <w:rPr>
                <w:rFonts w:hint="eastAsia"/>
                <w:sz w:val="24"/>
                <w:highlight w:val="none"/>
              </w:rPr>
              <w:t>小时。</w:t>
            </w:r>
            <w:r>
              <w:rPr>
                <w:rFonts w:hint="eastAsia"/>
                <w:sz w:val="24"/>
                <w:highlight w:val="none"/>
                <w:lang w:val="en-US" w:eastAsia="zh-CN"/>
              </w:rPr>
              <w:t>本</w:t>
            </w:r>
            <w:r>
              <w:rPr>
                <w:rFonts w:hint="eastAsia"/>
                <w:sz w:val="24"/>
                <w:highlight w:val="none"/>
              </w:rPr>
              <w:t>项目</w:t>
            </w:r>
            <w:r>
              <w:rPr>
                <w:rFonts w:hint="eastAsia"/>
                <w:sz w:val="24"/>
                <w:highlight w:val="none"/>
                <w:lang w:val="en-US" w:eastAsia="zh-CN"/>
              </w:rPr>
              <w:t>不新增劳动定员</w:t>
            </w:r>
            <w:r>
              <w:rPr>
                <w:rFonts w:hint="eastAsia"/>
                <w:sz w:val="24"/>
                <w:highlight w:val="none"/>
              </w:rPr>
              <w:t>，年生产</w:t>
            </w:r>
            <w:r>
              <w:rPr>
                <w:rFonts w:hint="eastAsia"/>
                <w:sz w:val="24"/>
                <w:highlight w:val="none"/>
                <w:lang w:val="en-US" w:eastAsia="zh-CN"/>
              </w:rPr>
              <w:t>90</w:t>
            </w:r>
            <w:r>
              <w:rPr>
                <w:rFonts w:hint="eastAsia"/>
                <w:sz w:val="24"/>
                <w:highlight w:val="none"/>
              </w:rPr>
              <w:t>天，每天2班，每班12小时，年运行时间</w:t>
            </w:r>
            <w:r>
              <w:rPr>
                <w:rFonts w:hint="eastAsia"/>
                <w:sz w:val="24"/>
                <w:highlight w:val="none"/>
                <w:lang w:val="en-US" w:eastAsia="zh-CN"/>
              </w:rPr>
              <w:t>2160</w:t>
            </w:r>
            <w:r>
              <w:rPr>
                <w:rFonts w:hint="eastAsia"/>
                <w:sz w:val="24"/>
                <w:highlight w:val="none"/>
              </w:rPr>
              <w:t>小时</w:t>
            </w:r>
            <w:r>
              <w:rPr>
                <w:rFonts w:hint="eastAsia"/>
                <w:sz w:val="24"/>
                <w:highlight w:val="none"/>
                <w:lang w:eastAsia="zh-CN"/>
              </w:rPr>
              <w:t>。</w:t>
            </w:r>
          </w:p>
          <w:p w14:paraId="221354FF">
            <w:pPr>
              <w:spacing w:line="360" w:lineRule="auto"/>
              <w:ind w:firstLine="482" w:firstLineChars="200"/>
              <w:rPr>
                <w:sz w:val="24"/>
                <w:highlight w:val="none"/>
              </w:rPr>
            </w:pPr>
            <w:r>
              <w:rPr>
                <w:b/>
                <w:sz w:val="24"/>
                <w:highlight w:val="none"/>
              </w:rPr>
              <w:t>7．</w:t>
            </w:r>
            <w:r>
              <w:rPr>
                <w:rFonts w:hint="eastAsia"/>
                <w:b/>
                <w:sz w:val="24"/>
                <w:highlight w:val="none"/>
              </w:rPr>
              <w:t>厂区平面布置情况</w:t>
            </w:r>
          </w:p>
          <w:p w14:paraId="557F059E">
            <w:pPr>
              <w:spacing w:line="360" w:lineRule="auto"/>
              <w:ind w:firstLine="480"/>
              <w:rPr>
                <w:sz w:val="24"/>
                <w:highlight w:val="none"/>
              </w:rPr>
            </w:pPr>
            <w:r>
              <w:rPr>
                <w:rFonts w:hint="eastAsia"/>
                <w:sz w:val="24"/>
                <w:highlight w:val="none"/>
              </w:rPr>
              <w:t>厂区出入口位于厂区的</w:t>
            </w:r>
            <w:r>
              <w:rPr>
                <w:rFonts w:hint="eastAsia"/>
                <w:sz w:val="24"/>
                <w:highlight w:val="none"/>
                <w:lang w:val="en-US" w:eastAsia="zh-CN"/>
              </w:rPr>
              <w:t>南侧</w:t>
            </w:r>
            <w:r>
              <w:rPr>
                <w:rFonts w:hint="eastAsia"/>
                <w:sz w:val="24"/>
                <w:highlight w:val="none"/>
              </w:rPr>
              <w:t>，厂区自</w:t>
            </w:r>
            <w:r>
              <w:rPr>
                <w:rFonts w:hint="eastAsia"/>
                <w:sz w:val="24"/>
                <w:highlight w:val="none"/>
                <w:lang w:val="en-US" w:eastAsia="zh-CN"/>
              </w:rPr>
              <w:t>南</w:t>
            </w:r>
            <w:r>
              <w:rPr>
                <w:rFonts w:hint="eastAsia"/>
                <w:sz w:val="24"/>
                <w:highlight w:val="none"/>
              </w:rPr>
              <w:t>向</w:t>
            </w:r>
            <w:r>
              <w:rPr>
                <w:rFonts w:hint="eastAsia"/>
                <w:sz w:val="24"/>
                <w:highlight w:val="none"/>
                <w:lang w:val="en-US" w:eastAsia="zh-CN"/>
              </w:rPr>
              <w:t>北</w:t>
            </w:r>
            <w:r>
              <w:rPr>
                <w:rFonts w:hint="eastAsia"/>
                <w:sz w:val="24"/>
                <w:highlight w:val="none"/>
              </w:rPr>
              <w:t>依次为</w:t>
            </w:r>
            <w:r>
              <w:rPr>
                <w:rFonts w:hint="eastAsia"/>
                <w:sz w:val="24"/>
                <w:highlight w:val="none"/>
                <w:lang w:val="en-US" w:eastAsia="zh-CN"/>
              </w:rPr>
              <w:t>员工宿舍、办公楼、库房、淀粉成品库、污水处理站、生产车间、污水存储罐、危废间、原料库、淀粉制品车间、本项目锅炉房、现有锅炉房</w:t>
            </w:r>
            <w:r>
              <w:rPr>
                <w:rFonts w:hint="eastAsia"/>
                <w:sz w:val="24"/>
                <w:highlight w:val="none"/>
              </w:rPr>
              <w:t>。厂区平面布置详见附图。</w:t>
            </w:r>
          </w:p>
          <w:p w14:paraId="37BFBA2A">
            <w:pPr>
              <w:spacing w:line="360" w:lineRule="auto"/>
              <w:ind w:firstLine="482" w:firstLineChars="200"/>
              <w:rPr>
                <w:b/>
                <w:sz w:val="24"/>
                <w:highlight w:val="none"/>
              </w:rPr>
            </w:pPr>
            <w:r>
              <w:rPr>
                <w:b/>
                <w:sz w:val="24"/>
                <w:highlight w:val="none"/>
              </w:rPr>
              <w:t>8．</w:t>
            </w:r>
            <w:r>
              <w:rPr>
                <w:rFonts w:hint="eastAsia"/>
                <w:b/>
                <w:sz w:val="24"/>
                <w:highlight w:val="none"/>
              </w:rPr>
              <w:t>给、排水工程及水平衡分析</w:t>
            </w:r>
          </w:p>
          <w:p w14:paraId="4531DA7F">
            <w:pPr>
              <w:spacing w:line="360" w:lineRule="auto"/>
              <w:ind w:firstLine="480"/>
              <w:rPr>
                <w:sz w:val="24"/>
                <w:highlight w:val="none"/>
              </w:rPr>
            </w:pPr>
            <w:r>
              <w:rPr>
                <w:rFonts w:hint="eastAsia"/>
                <w:sz w:val="24"/>
                <w:highlight w:val="none"/>
              </w:rPr>
              <w:t>结合工程分析可知，项目用水工序为锅炉</w:t>
            </w:r>
            <w:r>
              <w:rPr>
                <w:rFonts w:hint="eastAsia"/>
                <w:sz w:val="24"/>
                <w:highlight w:val="none"/>
                <w:lang w:val="en-US" w:eastAsia="zh-CN"/>
              </w:rPr>
              <w:t>用水和离子树脂反洗再生用水</w:t>
            </w:r>
            <w:r>
              <w:rPr>
                <w:rFonts w:hint="eastAsia"/>
                <w:sz w:val="24"/>
                <w:highlight w:val="none"/>
              </w:rPr>
              <w:t>。</w:t>
            </w:r>
          </w:p>
          <w:p w14:paraId="3CB2ADA9">
            <w:pPr>
              <w:spacing w:line="360" w:lineRule="auto"/>
              <w:ind w:firstLine="480"/>
              <w:rPr>
                <w:sz w:val="24"/>
                <w:highlight w:val="none"/>
              </w:rPr>
            </w:pPr>
            <w:r>
              <w:rPr>
                <w:rFonts w:hint="eastAsia"/>
                <w:sz w:val="24"/>
                <w:highlight w:val="none"/>
              </w:rPr>
              <w:t>（</w:t>
            </w:r>
            <w:r>
              <w:rPr>
                <w:sz w:val="24"/>
                <w:highlight w:val="none"/>
              </w:rPr>
              <w:t>1</w:t>
            </w:r>
            <w:r>
              <w:rPr>
                <w:rFonts w:hint="eastAsia"/>
                <w:sz w:val="24"/>
                <w:highlight w:val="none"/>
              </w:rPr>
              <w:t>）给水</w:t>
            </w:r>
          </w:p>
          <w:p w14:paraId="0A8286E1">
            <w:pPr>
              <w:spacing w:line="360" w:lineRule="auto"/>
              <w:ind w:firstLine="480"/>
              <w:rPr>
                <w:rFonts w:hint="eastAsia" w:ascii="Times New Roman" w:hAnsi="Times New Roman" w:eastAsia="宋体" w:cs="Times New Roman"/>
                <w:sz w:val="24"/>
                <w:highlight w:val="none"/>
              </w:rPr>
            </w:pPr>
            <w:r>
              <w:rPr>
                <w:rFonts w:hint="default" w:ascii="Times New Roman" w:hAnsi="Times New Roman" w:eastAsia="宋体" w:cs="Times New Roman"/>
                <w:sz w:val="24"/>
                <w:highlight w:val="none"/>
              </w:rPr>
              <w:t>①锅炉用水</w:t>
            </w:r>
            <w:r>
              <w:rPr>
                <w:rFonts w:hint="eastAsia"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主要</w:t>
            </w:r>
            <w:r>
              <w:rPr>
                <w:rFonts w:hint="eastAsia" w:ascii="Times New Roman" w:hAnsi="Times New Roman" w:eastAsia="宋体" w:cs="Times New Roman"/>
                <w:sz w:val="24"/>
                <w:highlight w:val="none"/>
                <w:lang w:val="en-US" w:eastAsia="zh-CN"/>
              </w:rPr>
              <w:t>为</w:t>
            </w:r>
            <w:r>
              <w:rPr>
                <w:rFonts w:hint="eastAsia" w:ascii="Times New Roman" w:hAnsi="Times New Roman" w:eastAsia="宋体" w:cs="Times New Roman"/>
                <w:sz w:val="24"/>
                <w:highlight w:val="none"/>
              </w:rPr>
              <w:t>锅炉补充水</w:t>
            </w:r>
            <w:r>
              <w:rPr>
                <w:rFonts w:hint="eastAsia" w:ascii="Times New Roman" w:hAnsi="Times New Roman" w:eastAsia="宋体" w:cs="Times New Roman"/>
                <w:sz w:val="24"/>
                <w:highlight w:val="none"/>
                <w:lang w:eastAsia="zh-CN"/>
              </w:rPr>
              <w:t>，</w:t>
            </w:r>
            <w:r>
              <w:rPr>
                <w:rFonts w:hint="eastAsia" w:ascii="Times New Roman" w:hAnsi="Times New Roman" w:eastAsia="宋体" w:cs="Times New Roman"/>
                <w:sz w:val="24"/>
                <w:highlight w:val="none"/>
              </w:rPr>
              <w:t>年运行</w:t>
            </w:r>
            <w:r>
              <w:rPr>
                <w:rFonts w:hint="eastAsia" w:ascii="Times New Roman" w:hAnsi="Times New Roman" w:eastAsia="宋体" w:cs="Times New Roman"/>
                <w:sz w:val="24"/>
                <w:highlight w:val="none"/>
                <w:lang w:val="en-US" w:eastAsia="zh-CN"/>
              </w:rPr>
              <w:t>90</w:t>
            </w:r>
            <w:r>
              <w:rPr>
                <w:rFonts w:hint="eastAsia" w:ascii="Times New Roman" w:hAnsi="Times New Roman" w:eastAsia="宋体" w:cs="Times New Roman"/>
                <w:sz w:val="24"/>
                <w:highlight w:val="none"/>
              </w:rPr>
              <w:t>d，每天</w:t>
            </w:r>
            <w:r>
              <w:rPr>
                <w:rFonts w:hint="eastAsia" w:ascii="Times New Roman" w:hAnsi="Times New Roman" w:eastAsia="宋体" w:cs="Times New Roman"/>
                <w:sz w:val="24"/>
                <w:highlight w:val="none"/>
                <w:lang w:val="en-US" w:eastAsia="zh-CN"/>
              </w:rPr>
              <w:t>运行24</w:t>
            </w:r>
            <w:r>
              <w:rPr>
                <w:rFonts w:hint="eastAsia" w:ascii="Times New Roman" w:hAnsi="Times New Roman" w:eastAsia="宋体" w:cs="Times New Roman"/>
                <w:sz w:val="24"/>
                <w:highlight w:val="none"/>
              </w:rPr>
              <w:t>h，总计年运行时间为</w:t>
            </w:r>
            <w:r>
              <w:rPr>
                <w:rFonts w:hint="eastAsia" w:ascii="Times New Roman" w:hAnsi="Times New Roman" w:eastAsia="宋体" w:cs="Times New Roman"/>
                <w:sz w:val="24"/>
                <w:highlight w:val="none"/>
                <w:lang w:val="en-US" w:eastAsia="zh-CN"/>
              </w:rPr>
              <w:t>2160</w:t>
            </w:r>
            <w:r>
              <w:rPr>
                <w:rFonts w:hint="eastAsia" w:ascii="Times New Roman" w:hAnsi="Times New Roman" w:eastAsia="宋体" w:cs="Times New Roman"/>
                <w:sz w:val="24"/>
                <w:highlight w:val="none"/>
              </w:rPr>
              <w:t>h，锅炉规格为</w:t>
            </w:r>
            <w:r>
              <w:rPr>
                <w:rFonts w:hint="eastAsia" w:ascii="Times New Roman" w:hAnsi="Times New Roman" w:eastAsia="宋体" w:cs="Times New Roman"/>
                <w:sz w:val="24"/>
                <w:highlight w:val="none"/>
                <w:lang w:val="en-US" w:eastAsia="zh-CN"/>
              </w:rPr>
              <w:t>2</w:t>
            </w:r>
            <w:r>
              <w:rPr>
                <w:rFonts w:hint="eastAsia" w:ascii="Times New Roman" w:hAnsi="Times New Roman" w:eastAsia="宋体" w:cs="Times New Roman"/>
                <w:sz w:val="24"/>
                <w:highlight w:val="none"/>
              </w:rPr>
              <w:t>t/h，则锅炉用水量为48</w:t>
            </w:r>
            <w:r>
              <w:rPr>
                <w:rFonts w:hint="eastAsia" w:cs="Times New Roman"/>
                <w:sz w:val="24"/>
                <w:highlight w:val="none"/>
                <w:lang w:val="en-US" w:eastAsia="zh-CN"/>
              </w:rPr>
              <w:t>m</w:t>
            </w:r>
            <w:r>
              <w:rPr>
                <w:rFonts w:hint="eastAsia" w:cs="Times New Roman"/>
                <w:sz w:val="24"/>
                <w:highlight w:val="none"/>
                <w:vertAlign w:val="superscript"/>
                <w:lang w:val="en-US" w:eastAsia="zh-CN"/>
              </w:rPr>
              <w:t>3</w:t>
            </w:r>
            <w:r>
              <w:rPr>
                <w:rFonts w:hint="eastAsia" w:ascii="Times New Roman" w:hAnsi="Times New Roman" w:eastAsia="宋体" w:cs="Times New Roman"/>
                <w:sz w:val="24"/>
                <w:highlight w:val="none"/>
              </w:rPr>
              <w:t>/d（</w:t>
            </w:r>
            <w:r>
              <w:rPr>
                <w:rFonts w:hint="eastAsia" w:ascii="Times New Roman" w:hAnsi="Times New Roman" w:eastAsia="宋体" w:cs="Times New Roman"/>
                <w:sz w:val="24"/>
                <w:highlight w:val="none"/>
                <w:lang w:val="en-US" w:eastAsia="zh-CN"/>
              </w:rPr>
              <w:t>4320</w:t>
            </w:r>
            <w:bookmarkStart w:id="8" w:name="OLE_LINK9"/>
            <w:r>
              <w:rPr>
                <w:rFonts w:hint="eastAsia" w:cs="Times New Roman"/>
                <w:sz w:val="24"/>
                <w:highlight w:val="none"/>
                <w:lang w:val="en-US" w:eastAsia="zh-CN"/>
              </w:rPr>
              <w:t>m</w:t>
            </w:r>
            <w:r>
              <w:rPr>
                <w:rFonts w:hint="eastAsia" w:cs="Times New Roman"/>
                <w:sz w:val="24"/>
                <w:highlight w:val="none"/>
                <w:vertAlign w:val="superscript"/>
                <w:lang w:val="en-US" w:eastAsia="zh-CN"/>
              </w:rPr>
              <w:t>3</w:t>
            </w:r>
            <w:r>
              <w:rPr>
                <w:rFonts w:hint="eastAsia" w:ascii="Times New Roman" w:hAnsi="Times New Roman" w:eastAsia="宋体" w:cs="Times New Roman"/>
                <w:sz w:val="24"/>
                <w:highlight w:val="none"/>
              </w:rPr>
              <w:t>/a</w:t>
            </w:r>
            <w:bookmarkEnd w:id="8"/>
            <w:r>
              <w:rPr>
                <w:rFonts w:hint="eastAsia" w:ascii="Times New Roman" w:hAnsi="Times New Roman" w:eastAsia="宋体" w:cs="Times New Roman"/>
                <w:sz w:val="24"/>
                <w:highlight w:val="none"/>
              </w:rPr>
              <w:t>）。锅炉蒸发水变为水蒸气，用于</w:t>
            </w:r>
            <w:r>
              <w:rPr>
                <w:rFonts w:hint="eastAsia" w:ascii="Times New Roman" w:hAnsi="Times New Roman" w:eastAsia="宋体" w:cs="Times New Roman"/>
                <w:sz w:val="24"/>
                <w:highlight w:val="none"/>
                <w:lang w:val="en-US" w:eastAsia="zh-CN"/>
              </w:rPr>
              <w:t>生产</w:t>
            </w:r>
            <w:r>
              <w:rPr>
                <w:rFonts w:hint="eastAsia" w:cs="Times New Roman"/>
                <w:sz w:val="24"/>
                <w:highlight w:val="none"/>
                <w:lang w:val="en-US" w:eastAsia="zh-CN"/>
              </w:rPr>
              <w:t>，</w:t>
            </w:r>
            <w:r>
              <w:rPr>
                <w:rFonts w:hint="eastAsia" w:ascii="Times New Roman" w:hAnsi="Times New Roman" w:eastAsia="宋体" w:cs="Times New Roman"/>
                <w:sz w:val="24"/>
                <w:highlight w:val="none"/>
                <w:lang w:val="en-US" w:eastAsia="zh-CN"/>
              </w:rPr>
              <w:t>其中90%可循环利用，10%损耗，则循环水量为43.2</w:t>
            </w:r>
            <w:r>
              <w:rPr>
                <w:rFonts w:hint="eastAsia" w:cs="Times New Roman"/>
                <w:sz w:val="24"/>
                <w:highlight w:val="none"/>
                <w:lang w:val="en-US" w:eastAsia="zh-CN"/>
              </w:rPr>
              <w:t>m</w:t>
            </w:r>
            <w:r>
              <w:rPr>
                <w:rFonts w:hint="eastAsia" w:cs="Times New Roman"/>
                <w:sz w:val="24"/>
                <w:highlight w:val="none"/>
                <w:vertAlign w:val="superscript"/>
                <w:lang w:val="en-US" w:eastAsia="zh-CN"/>
              </w:rPr>
              <w:t>3</w:t>
            </w:r>
            <w:r>
              <w:rPr>
                <w:rFonts w:hint="eastAsia" w:ascii="Times New Roman" w:hAnsi="Times New Roman" w:eastAsia="宋体" w:cs="Times New Roman"/>
                <w:sz w:val="24"/>
                <w:highlight w:val="none"/>
              </w:rPr>
              <w:t>/d（</w:t>
            </w:r>
            <w:r>
              <w:rPr>
                <w:rFonts w:hint="eastAsia" w:ascii="Times New Roman" w:hAnsi="Times New Roman" w:eastAsia="宋体" w:cs="Times New Roman"/>
                <w:sz w:val="24"/>
                <w:highlight w:val="none"/>
                <w:lang w:val="en-US" w:eastAsia="zh-CN"/>
              </w:rPr>
              <w:t>3888</w:t>
            </w:r>
            <w:r>
              <w:rPr>
                <w:rFonts w:hint="eastAsia" w:cs="Times New Roman"/>
                <w:sz w:val="24"/>
                <w:highlight w:val="none"/>
                <w:lang w:val="en-US" w:eastAsia="zh-CN"/>
              </w:rPr>
              <w:t>m</w:t>
            </w:r>
            <w:r>
              <w:rPr>
                <w:rFonts w:hint="eastAsia" w:cs="Times New Roman"/>
                <w:sz w:val="24"/>
                <w:highlight w:val="none"/>
                <w:vertAlign w:val="superscript"/>
                <w:lang w:val="en-US" w:eastAsia="zh-CN"/>
              </w:rPr>
              <w:t>3</w:t>
            </w:r>
            <w:r>
              <w:rPr>
                <w:rFonts w:hint="eastAsia" w:ascii="Times New Roman" w:hAnsi="Times New Roman" w:eastAsia="宋体" w:cs="Times New Roman"/>
                <w:sz w:val="24"/>
                <w:highlight w:val="none"/>
              </w:rPr>
              <w:t>/a）</w:t>
            </w:r>
            <w:r>
              <w:rPr>
                <w:rFonts w:hint="eastAsia" w:ascii="Times New Roman" w:hAnsi="Times New Roman" w:eastAsia="宋体" w:cs="Times New Roman"/>
                <w:sz w:val="24"/>
                <w:highlight w:val="none"/>
                <w:lang w:val="en-US" w:eastAsia="zh-CN"/>
              </w:rPr>
              <w:t>，损耗水量为4.8</w:t>
            </w:r>
            <w:r>
              <w:rPr>
                <w:rFonts w:hint="eastAsia" w:cs="Times New Roman"/>
                <w:sz w:val="24"/>
                <w:highlight w:val="none"/>
                <w:lang w:val="en-US" w:eastAsia="zh-CN"/>
              </w:rPr>
              <w:t>m</w:t>
            </w:r>
            <w:r>
              <w:rPr>
                <w:rFonts w:hint="eastAsia" w:cs="Times New Roman"/>
                <w:sz w:val="24"/>
                <w:highlight w:val="none"/>
                <w:vertAlign w:val="superscript"/>
                <w:lang w:val="en-US" w:eastAsia="zh-CN"/>
              </w:rPr>
              <w:t>3</w:t>
            </w:r>
            <w:r>
              <w:rPr>
                <w:rFonts w:hint="eastAsia" w:ascii="Times New Roman" w:hAnsi="Times New Roman" w:eastAsia="宋体" w:cs="Times New Roman"/>
                <w:sz w:val="24"/>
                <w:highlight w:val="none"/>
              </w:rPr>
              <w:t>/d（</w:t>
            </w:r>
            <w:r>
              <w:rPr>
                <w:rFonts w:hint="eastAsia" w:ascii="Times New Roman" w:hAnsi="Times New Roman" w:eastAsia="宋体" w:cs="Times New Roman"/>
                <w:sz w:val="24"/>
                <w:highlight w:val="none"/>
                <w:lang w:val="en-US" w:eastAsia="zh-CN"/>
              </w:rPr>
              <w:t>432</w:t>
            </w:r>
            <w:r>
              <w:rPr>
                <w:rFonts w:hint="eastAsia" w:cs="Times New Roman"/>
                <w:sz w:val="24"/>
                <w:highlight w:val="none"/>
                <w:lang w:val="en-US" w:eastAsia="zh-CN"/>
              </w:rPr>
              <w:t>m</w:t>
            </w:r>
            <w:r>
              <w:rPr>
                <w:rFonts w:hint="eastAsia" w:cs="Times New Roman"/>
                <w:sz w:val="24"/>
                <w:highlight w:val="none"/>
                <w:vertAlign w:val="superscript"/>
                <w:lang w:val="en-US" w:eastAsia="zh-CN"/>
              </w:rPr>
              <w:t>3</w:t>
            </w:r>
            <w:r>
              <w:rPr>
                <w:rFonts w:hint="eastAsia" w:ascii="Times New Roman" w:hAnsi="Times New Roman" w:eastAsia="宋体" w:cs="Times New Roman"/>
                <w:sz w:val="24"/>
                <w:highlight w:val="none"/>
              </w:rPr>
              <w:t>/a）</w:t>
            </w:r>
            <w:r>
              <w:rPr>
                <w:rFonts w:hint="eastAsia"/>
                <w:color w:val="auto"/>
                <w:highlight w:val="none"/>
                <w:lang w:eastAsia="zh-CN"/>
              </w:rPr>
              <w:t>；</w:t>
            </w:r>
            <w:r>
              <w:rPr>
                <w:rFonts w:hint="eastAsia" w:ascii="Times New Roman" w:hAnsi="Times New Roman" w:eastAsia="宋体" w:cs="Times New Roman"/>
                <w:sz w:val="24"/>
                <w:highlight w:val="none"/>
              </w:rPr>
              <w:t>锅炉定期需排水，总排水量为</w:t>
            </w:r>
            <w:r>
              <w:rPr>
                <w:rFonts w:hint="eastAsia" w:ascii="Times New Roman" w:hAnsi="Times New Roman" w:eastAsia="宋体" w:cs="Times New Roman"/>
                <w:sz w:val="24"/>
                <w:highlight w:val="none"/>
                <w:lang w:val="en-US" w:eastAsia="zh-CN"/>
              </w:rPr>
              <w:t>用水量</w:t>
            </w:r>
            <w:r>
              <w:rPr>
                <w:rFonts w:hint="eastAsia" w:ascii="Times New Roman" w:hAnsi="Times New Roman" w:eastAsia="宋体" w:cs="Times New Roman"/>
                <w:sz w:val="24"/>
                <w:highlight w:val="none"/>
              </w:rPr>
              <w:t>的</w:t>
            </w:r>
            <w:r>
              <w:rPr>
                <w:rFonts w:hint="eastAsia" w:cs="Times New Roman"/>
                <w:sz w:val="24"/>
                <w:highlight w:val="none"/>
                <w:lang w:val="en-US" w:eastAsia="zh-CN"/>
              </w:rPr>
              <w:t>5</w:t>
            </w:r>
            <w:r>
              <w:rPr>
                <w:rFonts w:hint="eastAsia" w:ascii="Times New Roman" w:hAnsi="Times New Roman" w:eastAsia="宋体" w:cs="Times New Roman"/>
                <w:sz w:val="24"/>
                <w:highlight w:val="none"/>
              </w:rPr>
              <w:t>%，则锅炉排水量为</w:t>
            </w:r>
            <w:r>
              <w:rPr>
                <w:rFonts w:hint="eastAsia" w:cs="Times New Roman"/>
                <w:sz w:val="24"/>
                <w:highlight w:val="none"/>
                <w:lang w:val="en-US" w:eastAsia="zh-CN"/>
              </w:rPr>
              <w:t>2.4m</w:t>
            </w:r>
            <w:r>
              <w:rPr>
                <w:rFonts w:hint="eastAsia" w:cs="Times New Roman"/>
                <w:sz w:val="24"/>
                <w:highlight w:val="none"/>
                <w:vertAlign w:val="superscript"/>
                <w:lang w:val="en-US" w:eastAsia="zh-CN"/>
              </w:rPr>
              <w:t>3</w:t>
            </w:r>
            <w:r>
              <w:rPr>
                <w:rFonts w:hint="eastAsia" w:ascii="Times New Roman" w:hAnsi="Times New Roman" w:eastAsia="宋体" w:cs="Times New Roman"/>
                <w:sz w:val="24"/>
                <w:highlight w:val="none"/>
              </w:rPr>
              <w:t>/d（</w:t>
            </w:r>
            <w:r>
              <w:rPr>
                <w:rFonts w:hint="eastAsia" w:ascii="Times New Roman" w:hAnsi="Times New Roman" w:eastAsia="宋体" w:cs="Times New Roman"/>
                <w:sz w:val="24"/>
                <w:highlight w:val="none"/>
                <w:lang w:val="en-US" w:eastAsia="zh-CN"/>
              </w:rPr>
              <w:t>216</w:t>
            </w:r>
            <w:r>
              <w:rPr>
                <w:rFonts w:hint="eastAsia" w:cs="Times New Roman"/>
                <w:sz w:val="24"/>
                <w:highlight w:val="none"/>
                <w:lang w:val="en-US" w:eastAsia="zh-CN"/>
              </w:rPr>
              <w:t>m</w:t>
            </w:r>
            <w:r>
              <w:rPr>
                <w:rFonts w:hint="eastAsia" w:cs="Times New Roman"/>
                <w:sz w:val="24"/>
                <w:highlight w:val="none"/>
                <w:vertAlign w:val="superscript"/>
                <w:lang w:val="en-US" w:eastAsia="zh-CN"/>
              </w:rPr>
              <w:t>3</w:t>
            </w:r>
            <w:r>
              <w:rPr>
                <w:rFonts w:hint="eastAsia" w:ascii="Times New Roman" w:hAnsi="Times New Roman" w:eastAsia="宋体" w:cs="Times New Roman"/>
                <w:sz w:val="24"/>
                <w:highlight w:val="none"/>
              </w:rPr>
              <w:t>/a）</w:t>
            </w:r>
            <w:r>
              <w:rPr>
                <w:rFonts w:hint="eastAsia" w:ascii="Times New Roman" w:hAnsi="Times New Roman" w:cs="Times New Roman"/>
                <w:sz w:val="24"/>
                <w:highlight w:val="none"/>
                <w:lang w:val="en-US" w:eastAsia="zh-CN"/>
              </w:rPr>
              <w:t>，则锅炉的补水量为</w:t>
            </w:r>
            <w:r>
              <w:rPr>
                <w:rFonts w:hint="eastAsia" w:cs="Times New Roman"/>
                <w:sz w:val="24"/>
                <w:highlight w:val="none"/>
                <w:lang w:val="en-US" w:eastAsia="zh-CN"/>
              </w:rPr>
              <w:t>7.2</w:t>
            </w:r>
            <w:r>
              <w:rPr>
                <w:rFonts w:hint="eastAsia" w:ascii="Times New Roman" w:hAnsi="Times New Roman" w:cs="Times New Roman"/>
                <w:sz w:val="24"/>
                <w:highlight w:val="none"/>
                <w:lang w:val="en-US" w:eastAsia="zh-CN"/>
              </w:rPr>
              <w:t>m</w:t>
            </w:r>
            <w:r>
              <w:rPr>
                <w:rFonts w:hint="eastAsia" w:ascii="Times New Roman" w:hAnsi="Times New Roman" w:cs="Times New Roman"/>
                <w:sz w:val="24"/>
                <w:highlight w:val="none"/>
                <w:vertAlign w:val="superscript"/>
                <w:lang w:val="en-US" w:eastAsia="zh-CN"/>
              </w:rPr>
              <w:t>3</w:t>
            </w:r>
            <w:r>
              <w:rPr>
                <w:rFonts w:hint="eastAsia" w:ascii="Times New Roman" w:hAnsi="Times New Roman" w:cs="Times New Roman"/>
                <w:sz w:val="24"/>
                <w:highlight w:val="none"/>
              </w:rPr>
              <w:t>/d</w:t>
            </w:r>
            <w:r>
              <w:rPr>
                <w:rFonts w:hint="eastAsia" w:ascii="Times New Roman" w:hAnsi="Times New Roman" w:cs="Times New Roman"/>
                <w:sz w:val="24"/>
                <w:highlight w:val="none"/>
                <w:lang w:eastAsia="zh-CN"/>
              </w:rPr>
              <w:t>（</w:t>
            </w:r>
            <w:r>
              <w:rPr>
                <w:rFonts w:hint="eastAsia" w:cs="Times New Roman"/>
                <w:sz w:val="24"/>
                <w:highlight w:val="none"/>
                <w:lang w:val="en-US" w:eastAsia="zh-CN"/>
              </w:rPr>
              <w:t>648m</w:t>
            </w:r>
            <w:r>
              <w:rPr>
                <w:rFonts w:hint="eastAsia" w:cs="Times New Roman"/>
                <w:sz w:val="24"/>
                <w:highlight w:val="none"/>
                <w:vertAlign w:val="superscript"/>
                <w:lang w:val="en-US" w:eastAsia="zh-CN"/>
              </w:rPr>
              <w:t>3</w:t>
            </w:r>
            <w:r>
              <w:rPr>
                <w:rFonts w:hint="eastAsia" w:ascii="Times New Roman" w:hAnsi="Times New Roman" w:eastAsia="宋体" w:cs="Times New Roman"/>
                <w:sz w:val="24"/>
                <w:highlight w:val="none"/>
              </w:rPr>
              <w:t>/a</w:t>
            </w:r>
            <w:r>
              <w:rPr>
                <w:rFonts w:hint="eastAsia" w:ascii="Times New Roman" w:hAnsi="Times New Roman" w:cs="Times New Roman"/>
                <w:sz w:val="24"/>
                <w:highlight w:val="none"/>
                <w:lang w:eastAsia="zh-CN"/>
              </w:rPr>
              <w:t>）</w:t>
            </w:r>
            <w:r>
              <w:rPr>
                <w:rFonts w:hint="eastAsia" w:ascii="Times New Roman" w:hAnsi="Times New Roman" w:eastAsia="宋体" w:cs="Times New Roman"/>
                <w:sz w:val="24"/>
                <w:highlight w:val="none"/>
              </w:rPr>
              <w:t>。</w:t>
            </w:r>
          </w:p>
          <w:p w14:paraId="0A6BBEBF">
            <w:pPr>
              <w:spacing w:line="360" w:lineRule="auto"/>
              <w:ind w:firstLine="480"/>
              <w:rPr>
                <w:rFonts w:hint="eastAsia" w:ascii="Times New Roman" w:hAnsi="Times New Roman" w:eastAsia="宋体" w:cs="Times New Roman"/>
                <w:sz w:val="24"/>
                <w:highlight w:val="none"/>
                <w:lang w:eastAsia="zh-CN"/>
              </w:rPr>
            </w:pPr>
            <w:r>
              <w:rPr>
                <w:rFonts w:hint="default" w:ascii="Times New Roman" w:hAnsi="Times New Roman" w:eastAsia="宋体" w:cs="Times New Roman"/>
                <w:sz w:val="24"/>
                <w:highlight w:val="none"/>
              </w:rPr>
              <w:t>②</w:t>
            </w:r>
            <w:r>
              <w:rPr>
                <w:rFonts w:hint="eastAsia"/>
                <w:sz w:val="24"/>
                <w:highlight w:val="none"/>
                <w:lang w:val="en-US" w:eastAsia="zh-CN"/>
              </w:rPr>
              <w:t>离子树脂反冲洗用水：</w:t>
            </w:r>
            <w:r>
              <w:rPr>
                <w:rFonts w:hint="default" w:ascii="Times New Roman" w:hAnsi="Times New Roman" w:eastAsia="宋体" w:cs="Times New Roman"/>
                <w:sz w:val="24"/>
                <w:highlight w:val="none"/>
              </w:rPr>
              <w:t>本项目软水制备</w:t>
            </w:r>
            <w:r>
              <w:rPr>
                <w:rFonts w:hint="eastAsia" w:ascii="Times New Roman" w:hAnsi="Times New Roman" w:eastAsia="宋体" w:cs="Times New Roman"/>
                <w:sz w:val="24"/>
                <w:highlight w:val="none"/>
                <w:lang w:val="en-US" w:eastAsia="zh-CN"/>
              </w:rPr>
              <w:t>采用离子交换树脂，制备软化水时不产生浓水，但</w:t>
            </w:r>
            <w:r>
              <w:rPr>
                <w:rFonts w:hint="eastAsia" w:ascii="Times New Roman" w:hAnsi="Times New Roman" w:eastAsia="宋体" w:cs="Times New Roman"/>
                <w:sz w:val="24"/>
                <w:highlight w:val="none"/>
              </w:rPr>
              <w:t>离子交换树脂需定期进行反冲洗，反冲洗水量为0.0</w:t>
            </w:r>
            <w:r>
              <w:rPr>
                <w:rFonts w:hint="eastAsia" w:ascii="Times New Roman" w:hAnsi="Times New Roman" w:eastAsia="宋体" w:cs="Times New Roman"/>
                <w:sz w:val="24"/>
                <w:highlight w:val="none"/>
                <w:lang w:val="en-US" w:eastAsia="zh-CN"/>
              </w:rPr>
              <w:t>26</w:t>
            </w:r>
            <w:r>
              <w:rPr>
                <w:rFonts w:hint="eastAsia" w:cs="Times New Roman"/>
                <w:sz w:val="24"/>
                <w:highlight w:val="none"/>
                <w:lang w:val="en-US" w:eastAsia="zh-CN"/>
              </w:rPr>
              <w:t>m</w:t>
            </w:r>
            <w:r>
              <w:rPr>
                <w:rFonts w:hint="eastAsia" w:cs="Times New Roman"/>
                <w:sz w:val="24"/>
                <w:highlight w:val="none"/>
                <w:vertAlign w:val="superscript"/>
                <w:lang w:val="en-US" w:eastAsia="zh-CN"/>
              </w:rPr>
              <w:t>3</w:t>
            </w:r>
            <w:r>
              <w:rPr>
                <w:rFonts w:hint="eastAsia" w:ascii="Times New Roman" w:hAnsi="Times New Roman" w:eastAsia="宋体" w:cs="Times New Roman"/>
                <w:sz w:val="24"/>
                <w:highlight w:val="none"/>
              </w:rPr>
              <w:t>/d（</w:t>
            </w:r>
            <w:r>
              <w:rPr>
                <w:rFonts w:hint="eastAsia" w:ascii="Times New Roman" w:hAnsi="Times New Roman" w:eastAsia="宋体" w:cs="Times New Roman"/>
                <w:sz w:val="24"/>
                <w:highlight w:val="none"/>
                <w:lang w:val="en-US" w:eastAsia="zh-CN"/>
              </w:rPr>
              <w:t>2.38</w:t>
            </w:r>
            <w:r>
              <w:rPr>
                <w:rFonts w:hint="eastAsia" w:cs="Times New Roman"/>
                <w:sz w:val="24"/>
                <w:highlight w:val="none"/>
                <w:lang w:val="en-US" w:eastAsia="zh-CN"/>
              </w:rPr>
              <w:t>m</w:t>
            </w:r>
            <w:r>
              <w:rPr>
                <w:rFonts w:hint="eastAsia" w:cs="Times New Roman"/>
                <w:sz w:val="24"/>
                <w:highlight w:val="none"/>
                <w:vertAlign w:val="superscript"/>
                <w:lang w:val="en-US" w:eastAsia="zh-CN"/>
              </w:rPr>
              <w:t>3</w:t>
            </w:r>
            <w:r>
              <w:rPr>
                <w:rFonts w:hint="eastAsia" w:ascii="Times New Roman" w:hAnsi="Times New Roman" w:eastAsia="宋体" w:cs="Times New Roman"/>
                <w:sz w:val="24"/>
                <w:highlight w:val="none"/>
              </w:rPr>
              <w:t>/a）</w:t>
            </w:r>
            <w:r>
              <w:rPr>
                <w:rFonts w:hint="eastAsia" w:ascii="Times New Roman" w:hAnsi="Times New Roman" w:eastAsia="宋体" w:cs="Times New Roman"/>
                <w:sz w:val="24"/>
                <w:highlight w:val="none"/>
                <w:lang w:eastAsia="zh-CN"/>
              </w:rPr>
              <w:t>。</w:t>
            </w:r>
          </w:p>
          <w:p w14:paraId="4A4A7101">
            <w:pPr>
              <w:spacing w:line="360" w:lineRule="auto"/>
              <w:ind w:firstLine="480"/>
              <w:rPr>
                <w:rFonts w:hint="eastAsia" w:eastAsia="宋体"/>
                <w:sz w:val="24"/>
                <w:highlight w:val="none"/>
                <w:lang w:val="en-US" w:eastAsia="zh-CN"/>
              </w:rPr>
            </w:pPr>
            <w:r>
              <w:rPr>
                <w:rFonts w:hint="eastAsia"/>
                <w:sz w:val="24"/>
                <w:highlight w:val="none"/>
                <w:lang w:val="en-US" w:eastAsia="zh-CN"/>
              </w:rPr>
              <w:t>综上，项目新鲜水用量为7.226</w:t>
            </w:r>
            <w:r>
              <w:rPr>
                <w:sz w:val="24"/>
                <w:highlight w:val="none"/>
              </w:rPr>
              <w:t>m</w:t>
            </w:r>
            <w:r>
              <w:rPr>
                <w:sz w:val="24"/>
                <w:highlight w:val="none"/>
                <w:vertAlign w:val="superscript"/>
              </w:rPr>
              <w:t>3</w:t>
            </w:r>
            <w:r>
              <w:rPr>
                <w:sz w:val="24"/>
                <w:highlight w:val="none"/>
              </w:rPr>
              <w:t>/d</w:t>
            </w:r>
            <w:r>
              <w:rPr>
                <w:rFonts w:hint="eastAsia"/>
                <w:sz w:val="24"/>
                <w:highlight w:val="none"/>
              </w:rPr>
              <w:t>（</w:t>
            </w:r>
            <w:r>
              <w:rPr>
                <w:rFonts w:hint="eastAsia"/>
                <w:sz w:val="24"/>
                <w:highlight w:val="none"/>
                <w:lang w:val="en-US" w:eastAsia="zh-CN"/>
              </w:rPr>
              <w:t>650.38</w:t>
            </w:r>
            <w:r>
              <w:rPr>
                <w:rFonts w:hint="eastAsia" w:cs="Times New Roman"/>
                <w:sz w:val="24"/>
                <w:highlight w:val="none"/>
                <w:lang w:val="en-US" w:eastAsia="zh-CN"/>
              </w:rPr>
              <w:t>m</w:t>
            </w:r>
            <w:r>
              <w:rPr>
                <w:rFonts w:hint="eastAsia" w:cs="Times New Roman"/>
                <w:sz w:val="24"/>
                <w:highlight w:val="none"/>
                <w:vertAlign w:val="superscript"/>
                <w:lang w:val="en-US" w:eastAsia="zh-CN"/>
              </w:rPr>
              <w:t>3</w:t>
            </w:r>
            <w:r>
              <w:rPr>
                <w:sz w:val="24"/>
                <w:highlight w:val="none"/>
              </w:rPr>
              <w:t>/a</w:t>
            </w:r>
            <w:r>
              <w:rPr>
                <w:rFonts w:hint="eastAsia"/>
                <w:sz w:val="24"/>
                <w:highlight w:val="none"/>
              </w:rPr>
              <w:t>）</w:t>
            </w:r>
            <w:r>
              <w:rPr>
                <w:rFonts w:hint="eastAsia"/>
                <w:sz w:val="24"/>
                <w:highlight w:val="none"/>
                <w:lang w:eastAsia="zh-CN"/>
              </w:rPr>
              <w:t>。</w:t>
            </w:r>
          </w:p>
          <w:p w14:paraId="2E18E0C3">
            <w:pPr>
              <w:spacing w:line="360" w:lineRule="auto"/>
              <w:ind w:firstLine="480"/>
              <w:rPr>
                <w:sz w:val="24"/>
                <w:highlight w:val="none"/>
              </w:rPr>
            </w:pPr>
            <w:r>
              <w:rPr>
                <w:rFonts w:hint="eastAsia"/>
                <w:sz w:val="24"/>
                <w:highlight w:val="none"/>
              </w:rPr>
              <w:t>（</w:t>
            </w:r>
            <w:r>
              <w:rPr>
                <w:sz w:val="24"/>
                <w:highlight w:val="none"/>
              </w:rPr>
              <w:t>2</w:t>
            </w:r>
            <w:r>
              <w:rPr>
                <w:rFonts w:hint="eastAsia"/>
                <w:sz w:val="24"/>
                <w:highlight w:val="none"/>
              </w:rPr>
              <w:t>）排水</w:t>
            </w:r>
          </w:p>
          <w:p w14:paraId="0B735323">
            <w:pPr>
              <w:spacing w:line="360" w:lineRule="auto"/>
              <w:ind w:firstLine="480"/>
              <w:rPr>
                <w:sz w:val="24"/>
                <w:highlight w:val="none"/>
              </w:rPr>
            </w:pPr>
            <w:r>
              <w:rPr>
                <w:rFonts w:hint="eastAsia"/>
                <w:sz w:val="24"/>
                <w:highlight w:val="none"/>
              </w:rPr>
              <w:t>项目废水主要为</w:t>
            </w:r>
            <w:r>
              <w:rPr>
                <w:rFonts w:hint="eastAsia"/>
                <w:sz w:val="24"/>
                <w:highlight w:val="none"/>
                <w:lang w:val="en-US" w:eastAsia="zh-CN"/>
              </w:rPr>
              <w:t>锅炉废水和离子交换树脂反冲洗废水</w:t>
            </w:r>
            <w:r>
              <w:rPr>
                <w:rFonts w:hint="eastAsia"/>
                <w:sz w:val="24"/>
                <w:highlight w:val="none"/>
              </w:rPr>
              <w:t>。</w:t>
            </w:r>
          </w:p>
          <w:p w14:paraId="17BEC4A7">
            <w:pPr>
              <w:spacing w:line="360" w:lineRule="auto"/>
              <w:ind w:firstLine="480"/>
              <w:rPr>
                <w:highlight w:val="none"/>
              </w:rPr>
            </w:pPr>
            <w:r>
              <w:rPr>
                <w:rFonts w:hint="eastAsia"/>
                <w:sz w:val="24"/>
                <w:highlight w:val="none"/>
                <w:lang w:val="en-US" w:eastAsia="zh-CN"/>
              </w:rPr>
              <w:t>根据给水计算可知，</w:t>
            </w:r>
            <w:r>
              <w:rPr>
                <w:rFonts w:hint="eastAsia" w:ascii="Times New Roman" w:hAnsi="Times New Roman" w:eastAsia="宋体" w:cs="Times New Roman"/>
                <w:sz w:val="24"/>
                <w:highlight w:val="none"/>
              </w:rPr>
              <w:t>锅炉</w:t>
            </w:r>
            <w:r>
              <w:rPr>
                <w:rFonts w:hint="eastAsia" w:cs="Times New Roman"/>
                <w:sz w:val="24"/>
                <w:highlight w:val="none"/>
                <w:lang w:val="en-US" w:eastAsia="zh-CN"/>
              </w:rPr>
              <w:t>废水</w:t>
            </w:r>
            <w:r>
              <w:rPr>
                <w:rFonts w:hint="eastAsia" w:ascii="Times New Roman" w:hAnsi="Times New Roman" w:eastAsia="宋体" w:cs="Times New Roman"/>
                <w:sz w:val="24"/>
                <w:highlight w:val="none"/>
              </w:rPr>
              <w:t>量为</w:t>
            </w:r>
            <w:bookmarkStart w:id="9" w:name="OLE_LINK4"/>
            <w:r>
              <w:rPr>
                <w:rFonts w:hint="eastAsia" w:cs="Times New Roman"/>
                <w:sz w:val="24"/>
                <w:highlight w:val="none"/>
                <w:lang w:val="en-US" w:eastAsia="zh-CN"/>
              </w:rPr>
              <w:t>2.4m</w:t>
            </w:r>
            <w:r>
              <w:rPr>
                <w:rFonts w:hint="eastAsia" w:cs="Times New Roman"/>
                <w:sz w:val="24"/>
                <w:highlight w:val="none"/>
                <w:vertAlign w:val="superscript"/>
                <w:lang w:val="en-US" w:eastAsia="zh-CN"/>
              </w:rPr>
              <w:t>3</w:t>
            </w:r>
            <w:r>
              <w:rPr>
                <w:rFonts w:hint="eastAsia" w:ascii="Times New Roman" w:hAnsi="Times New Roman" w:eastAsia="宋体" w:cs="Times New Roman"/>
                <w:sz w:val="24"/>
                <w:highlight w:val="none"/>
              </w:rPr>
              <w:t>/d（</w:t>
            </w:r>
            <w:r>
              <w:rPr>
                <w:rFonts w:hint="eastAsia" w:ascii="Times New Roman" w:hAnsi="Times New Roman" w:eastAsia="宋体" w:cs="Times New Roman"/>
                <w:sz w:val="24"/>
                <w:highlight w:val="none"/>
                <w:lang w:val="en-US" w:eastAsia="zh-CN"/>
              </w:rPr>
              <w:t>216</w:t>
            </w:r>
            <w:r>
              <w:rPr>
                <w:rFonts w:hint="eastAsia" w:cs="Times New Roman"/>
                <w:sz w:val="24"/>
                <w:highlight w:val="none"/>
                <w:lang w:val="en-US" w:eastAsia="zh-CN"/>
              </w:rPr>
              <w:t>m</w:t>
            </w:r>
            <w:r>
              <w:rPr>
                <w:rFonts w:hint="eastAsia" w:cs="Times New Roman"/>
                <w:sz w:val="24"/>
                <w:highlight w:val="none"/>
                <w:vertAlign w:val="superscript"/>
                <w:lang w:val="en-US" w:eastAsia="zh-CN"/>
              </w:rPr>
              <w:t>3</w:t>
            </w:r>
            <w:r>
              <w:rPr>
                <w:rFonts w:hint="eastAsia" w:ascii="Times New Roman" w:hAnsi="Times New Roman" w:eastAsia="宋体" w:cs="Times New Roman"/>
                <w:sz w:val="24"/>
                <w:highlight w:val="none"/>
              </w:rPr>
              <w:t>/a）</w:t>
            </w:r>
            <w:bookmarkEnd w:id="9"/>
            <w:r>
              <w:rPr>
                <w:rFonts w:hint="eastAsia" w:ascii="Times New Roman" w:hAnsi="Times New Roman" w:eastAsia="宋体" w:cs="Times New Roman"/>
                <w:sz w:val="24"/>
                <w:highlight w:val="none"/>
                <w:lang w:eastAsia="zh-CN"/>
              </w:rPr>
              <w:t>，</w:t>
            </w:r>
            <w:r>
              <w:rPr>
                <w:rFonts w:hint="eastAsia" w:ascii="Times New Roman" w:hAnsi="Times New Roman" w:eastAsia="宋体" w:cs="Times New Roman"/>
                <w:sz w:val="24"/>
                <w:highlight w:val="none"/>
                <w:lang w:val="en-US" w:eastAsia="zh-CN"/>
              </w:rPr>
              <w:t>离子交换树脂反冲洗废水量为</w:t>
            </w:r>
            <w:r>
              <w:rPr>
                <w:rFonts w:hint="eastAsia" w:ascii="Times New Roman" w:hAnsi="Times New Roman" w:eastAsia="宋体" w:cs="Times New Roman"/>
                <w:sz w:val="24"/>
                <w:highlight w:val="none"/>
              </w:rPr>
              <w:t>0.0</w:t>
            </w:r>
            <w:r>
              <w:rPr>
                <w:rFonts w:hint="eastAsia" w:ascii="Times New Roman" w:hAnsi="Times New Roman" w:eastAsia="宋体" w:cs="Times New Roman"/>
                <w:sz w:val="24"/>
                <w:highlight w:val="none"/>
                <w:lang w:val="en-US" w:eastAsia="zh-CN"/>
              </w:rPr>
              <w:t>26</w:t>
            </w:r>
            <w:r>
              <w:rPr>
                <w:rFonts w:hint="eastAsia" w:cs="Times New Roman"/>
                <w:sz w:val="24"/>
                <w:highlight w:val="none"/>
                <w:lang w:val="en-US" w:eastAsia="zh-CN"/>
              </w:rPr>
              <w:t>m</w:t>
            </w:r>
            <w:r>
              <w:rPr>
                <w:rFonts w:hint="eastAsia" w:cs="Times New Roman"/>
                <w:sz w:val="24"/>
                <w:highlight w:val="none"/>
                <w:vertAlign w:val="superscript"/>
                <w:lang w:val="en-US" w:eastAsia="zh-CN"/>
              </w:rPr>
              <w:t>3</w:t>
            </w:r>
            <w:r>
              <w:rPr>
                <w:rFonts w:hint="eastAsia" w:ascii="Times New Roman" w:hAnsi="Times New Roman" w:eastAsia="宋体" w:cs="Times New Roman"/>
                <w:sz w:val="24"/>
                <w:highlight w:val="none"/>
              </w:rPr>
              <w:t>/d（</w:t>
            </w:r>
            <w:r>
              <w:rPr>
                <w:rFonts w:hint="eastAsia" w:ascii="Times New Roman" w:hAnsi="Times New Roman" w:eastAsia="宋体" w:cs="Times New Roman"/>
                <w:sz w:val="24"/>
                <w:highlight w:val="none"/>
                <w:lang w:val="en-US" w:eastAsia="zh-CN"/>
              </w:rPr>
              <w:t>2.38</w:t>
            </w:r>
            <w:r>
              <w:rPr>
                <w:rFonts w:hint="eastAsia" w:cs="Times New Roman"/>
                <w:sz w:val="24"/>
                <w:highlight w:val="none"/>
                <w:lang w:val="en-US" w:eastAsia="zh-CN"/>
              </w:rPr>
              <w:t>m</w:t>
            </w:r>
            <w:r>
              <w:rPr>
                <w:rFonts w:hint="eastAsia" w:cs="Times New Roman"/>
                <w:sz w:val="24"/>
                <w:highlight w:val="none"/>
                <w:vertAlign w:val="superscript"/>
                <w:lang w:val="en-US" w:eastAsia="zh-CN"/>
              </w:rPr>
              <w:t>3</w:t>
            </w:r>
            <w:r>
              <w:rPr>
                <w:rFonts w:hint="eastAsia" w:ascii="Times New Roman" w:hAnsi="Times New Roman" w:eastAsia="宋体" w:cs="Times New Roman"/>
                <w:sz w:val="24"/>
                <w:highlight w:val="none"/>
              </w:rPr>
              <w:t>/a）</w:t>
            </w:r>
            <w:r>
              <w:rPr>
                <w:rFonts w:hint="eastAsia"/>
                <w:sz w:val="24"/>
                <w:highlight w:val="none"/>
              </w:rPr>
              <w:t>。</w:t>
            </w:r>
          </w:p>
          <w:p w14:paraId="32773158">
            <w:pPr>
              <w:spacing w:line="360" w:lineRule="auto"/>
              <w:ind w:firstLine="480"/>
              <w:rPr>
                <w:rFonts w:hint="default" w:eastAsia="宋体"/>
                <w:sz w:val="24"/>
                <w:highlight w:val="none"/>
                <w:lang w:val="en-US" w:eastAsia="zh-CN"/>
              </w:rPr>
            </w:pPr>
            <w:r>
              <w:rPr>
                <w:rFonts w:hint="eastAsia"/>
                <w:sz w:val="24"/>
                <w:highlight w:val="none"/>
              </w:rPr>
              <w:t>综上，项目废水总</w:t>
            </w:r>
            <w:r>
              <w:rPr>
                <w:rFonts w:hint="eastAsia"/>
                <w:sz w:val="24"/>
                <w:highlight w:val="none"/>
                <w:lang w:val="en-US" w:eastAsia="zh-CN"/>
              </w:rPr>
              <w:t>计</w:t>
            </w:r>
            <w:r>
              <w:rPr>
                <w:rFonts w:hint="eastAsia"/>
                <w:sz w:val="24"/>
                <w:highlight w:val="none"/>
              </w:rPr>
              <w:t>为</w:t>
            </w:r>
            <w:bookmarkStart w:id="10" w:name="OLE_LINK14"/>
            <w:r>
              <w:rPr>
                <w:rFonts w:hint="eastAsia"/>
                <w:sz w:val="24"/>
                <w:highlight w:val="none"/>
                <w:lang w:val="en-US" w:eastAsia="zh-CN"/>
              </w:rPr>
              <w:t>2.426</w:t>
            </w:r>
            <w:r>
              <w:rPr>
                <w:sz w:val="24"/>
                <w:highlight w:val="none"/>
              </w:rPr>
              <w:t>m</w:t>
            </w:r>
            <w:r>
              <w:rPr>
                <w:sz w:val="24"/>
                <w:highlight w:val="none"/>
                <w:vertAlign w:val="superscript"/>
              </w:rPr>
              <w:t>3</w:t>
            </w:r>
            <w:r>
              <w:rPr>
                <w:sz w:val="24"/>
                <w:highlight w:val="none"/>
              </w:rPr>
              <w:t>/d</w:t>
            </w:r>
            <w:r>
              <w:rPr>
                <w:rFonts w:hint="eastAsia"/>
                <w:sz w:val="24"/>
                <w:highlight w:val="none"/>
              </w:rPr>
              <w:t>（</w:t>
            </w:r>
            <w:r>
              <w:rPr>
                <w:rFonts w:hint="eastAsia"/>
                <w:sz w:val="24"/>
                <w:highlight w:val="none"/>
                <w:lang w:val="en-US" w:eastAsia="zh-CN"/>
              </w:rPr>
              <w:t>218.38</w:t>
            </w:r>
            <w:r>
              <w:rPr>
                <w:rFonts w:hint="eastAsia" w:cs="Times New Roman"/>
                <w:sz w:val="24"/>
                <w:highlight w:val="none"/>
                <w:lang w:val="en-US" w:eastAsia="zh-CN"/>
              </w:rPr>
              <w:t>m</w:t>
            </w:r>
            <w:r>
              <w:rPr>
                <w:rFonts w:hint="eastAsia" w:cs="Times New Roman"/>
                <w:sz w:val="24"/>
                <w:highlight w:val="none"/>
                <w:vertAlign w:val="superscript"/>
                <w:lang w:val="en-US" w:eastAsia="zh-CN"/>
              </w:rPr>
              <w:t>3</w:t>
            </w:r>
            <w:r>
              <w:rPr>
                <w:sz w:val="24"/>
                <w:highlight w:val="none"/>
              </w:rPr>
              <w:t>/a</w:t>
            </w:r>
            <w:r>
              <w:rPr>
                <w:rFonts w:hint="eastAsia"/>
                <w:sz w:val="24"/>
                <w:highlight w:val="none"/>
              </w:rPr>
              <w:t>）</w:t>
            </w:r>
            <w:bookmarkEnd w:id="10"/>
            <w:r>
              <w:rPr>
                <w:rFonts w:hint="eastAsia"/>
                <w:sz w:val="24"/>
                <w:highlight w:val="none"/>
                <w:lang w:eastAsia="zh-CN"/>
              </w:rPr>
              <w:t>；</w:t>
            </w:r>
            <w:r>
              <w:rPr>
                <w:rFonts w:hint="eastAsia"/>
                <w:sz w:val="24"/>
                <w:highlight w:val="none"/>
                <w:lang w:val="en-US" w:eastAsia="zh-CN"/>
              </w:rPr>
              <w:t>排入承德泓辉双合淀粉有限公司污水处理站处理满足</w:t>
            </w:r>
            <w:r>
              <w:rPr>
                <w:rFonts w:hint="eastAsia"/>
                <w:kern w:val="0"/>
                <w:sz w:val="24"/>
                <w:highlight w:val="none"/>
                <w:lang w:val="en-US" w:eastAsia="zh-CN"/>
              </w:rPr>
              <w:t>《城镇污水处理厂污染物排放标准》（GB18918-2002）表1中一级A标准后</w:t>
            </w:r>
            <w:r>
              <w:rPr>
                <w:rFonts w:hint="eastAsia"/>
                <w:sz w:val="24"/>
                <w:highlight w:val="none"/>
                <w:lang w:val="en-US" w:eastAsia="zh-CN"/>
              </w:rPr>
              <w:t>排入</w:t>
            </w:r>
            <w:r>
              <w:rPr>
                <w:rFonts w:hint="eastAsia"/>
                <w:kern w:val="0"/>
                <w:sz w:val="24"/>
                <w:highlight w:val="none"/>
                <w:lang w:val="en-US" w:eastAsia="zh-CN"/>
              </w:rPr>
              <w:t>蚁蚂吐河。</w:t>
            </w:r>
          </w:p>
          <w:p w14:paraId="76DD8E5F">
            <w:pPr>
              <w:spacing w:before="120" w:beforeLines="50" w:line="360" w:lineRule="auto"/>
              <w:ind w:firstLine="482"/>
              <w:rPr>
                <w:rFonts w:hint="eastAsia"/>
                <w:sz w:val="24"/>
                <w:highlight w:val="none"/>
              </w:rPr>
            </w:pPr>
            <w:r>
              <w:rPr>
                <w:rFonts w:hint="eastAsia"/>
                <w:sz w:val="24"/>
                <w:highlight w:val="none"/>
              </w:rPr>
              <w:t>绘制项目水平衡情况如</w:t>
            </w:r>
            <w:r>
              <w:rPr>
                <w:rFonts w:hint="eastAsia"/>
                <w:sz w:val="24"/>
                <w:highlight w:val="none"/>
                <w:lang w:val="en-US" w:eastAsia="zh-CN"/>
              </w:rPr>
              <w:t>下表</w:t>
            </w:r>
            <w:r>
              <w:rPr>
                <w:rFonts w:hint="eastAsia"/>
                <w:sz w:val="24"/>
                <w:highlight w:val="none"/>
              </w:rPr>
              <w:t>下图所示：</w:t>
            </w:r>
          </w:p>
          <w:p w14:paraId="7EBE1582">
            <w:pPr>
              <w:pStyle w:val="50"/>
              <w:numPr>
                <w:ilvl w:val="0"/>
                <w:numId w:val="6"/>
              </w:numPr>
              <w:spacing w:line="360" w:lineRule="auto"/>
              <w:ind w:left="0" w:firstLine="0" w:firstLineChars="0"/>
              <w:jc w:val="center"/>
              <w:rPr>
                <w:rFonts w:ascii="宋体" w:hAnsi="宋体" w:eastAsia="宋体"/>
                <w:b/>
                <w:sz w:val="21"/>
                <w:highlight w:val="none"/>
              </w:rPr>
            </w:pPr>
            <w:r>
              <w:rPr>
                <w:rFonts w:hint="eastAsia" w:ascii="宋体" w:hAnsi="宋体" w:eastAsia="宋体"/>
                <w:b/>
                <w:sz w:val="21"/>
                <w:highlight w:val="none"/>
                <w:lang w:val="en-US" w:eastAsia="zh-CN"/>
              </w:rPr>
              <w:t>水平衡</w:t>
            </w:r>
            <w:r>
              <w:rPr>
                <w:rFonts w:hint="eastAsia" w:ascii="宋体" w:hAnsi="宋体" w:eastAsia="宋体"/>
                <w:b/>
                <w:sz w:val="21"/>
                <w:highlight w:val="none"/>
              </w:rPr>
              <w:t>一览表</w:t>
            </w:r>
            <w:r>
              <w:rPr>
                <w:rFonts w:hint="eastAsia" w:ascii="宋体" w:hAnsi="宋体" w:eastAsia="宋体"/>
                <w:b/>
                <w:sz w:val="21"/>
                <w:highlight w:val="none"/>
                <w:lang w:val="en-US" w:eastAsia="zh-CN"/>
              </w:rPr>
              <w:t xml:space="preserve">  单位：</w:t>
            </w:r>
            <w:r>
              <w:rPr>
                <w:rFonts w:hint="default" w:ascii="Times New Roman" w:hAnsi="Times New Roman" w:eastAsia="Yu Gothic Medium" w:cs="Times New Roman"/>
                <w:b/>
                <w:w w:val="100"/>
                <w:sz w:val="21"/>
                <w:highlight w:val="none"/>
              </w:rPr>
              <w:t>m</w:t>
            </w:r>
            <w:r>
              <w:rPr>
                <w:rFonts w:hint="default" w:ascii="Times New Roman" w:hAnsi="Times New Roman" w:eastAsia="Yu Gothic Medium" w:cs="Times New Roman"/>
                <w:b/>
                <w:w w:val="100"/>
                <w:sz w:val="21"/>
                <w:highlight w:val="none"/>
                <w:vertAlign w:val="superscript"/>
              </w:rPr>
              <w:t>3</w:t>
            </w:r>
            <w:r>
              <w:rPr>
                <w:rFonts w:hint="default" w:ascii="Times New Roman" w:hAnsi="Times New Roman" w:eastAsia="Yu Gothic Medium" w:cs="Times New Roman"/>
                <w:b/>
                <w:w w:val="100"/>
                <w:sz w:val="21"/>
                <w:highlight w:val="none"/>
              </w:rPr>
              <w:t>/d</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78"/>
              <w:gridCol w:w="1670"/>
              <w:gridCol w:w="1924"/>
              <w:gridCol w:w="1764"/>
              <w:gridCol w:w="1596"/>
            </w:tblGrid>
            <w:tr w14:paraId="0C858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6" w:type="pct"/>
                  <w:tcBorders>
                    <w:top w:val="single" w:color="auto" w:sz="4" w:space="0"/>
                    <w:left w:val="single" w:color="auto" w:sz="4" w:space="0"/>
                    <w:bottom w:val="single" w:color="auto" w:sz="4" w:space="0"/>
                    <w:right w:val="single" w:color="auto" w:sz="4" w:space="0"/>
                  </w:tcBorders>
                  <w:vAlign w:val="center"/>
                </w:tcPr>
                <w:p w14:paraId="11F7246D">
                  <w:pPr>
                    <w:adjustRightInd w:val="0"/>
                    <w:snapToGrid w:val="0"/>
                    <w:jc w:val="center"/>
                    <w:rPr>
                      <w:b/>
                      <w:szCs w:val="21"/>
                      <w:highlight w:val="none"/>
                    </w:rPr>
                  </w:pPr>
                  <w:r>
                    <w:rPr>
                      <w:rFonts w:hint="eastAsia"/>
                      <w:b/>
                      <w:szCs w:val="21"/>
                      <w:highlight w:val="none"/>
                    </w:rPr>
                    <w:t>序号</w:t>
                  </w:r>
                </w:p>
              </w:tc>
              <w:tc>
                <w:tcPr>
                  <w:tcW w:w="1052" w:type="pct"/>
                  <w:tcBorders>
                    <w:top w:val="single" w:color="auto" w:sz="4" w:space="0"/>
                    <w:left w:val="single" w:color="auto" w:sz="4" w:space="0"/>
                    <w:bottom w:val="single" w:color="auto" w:sz="4" w:space="0"/>
                    <w:right w:val="single" w:color="auto" w:sz="4" w:space="0"/>
                  </w:tcBorders>
                  <w:vAlign w:val="center"/>
                </w:tcPr>
                <w:p w14:paraId="513D3640">
                  <w:pPr>
                    <w:adjustRightInd w:val="0"/>
                    <w:snapToGrid w:val="0"/>
                    <w:jc w:val="center"/>
                    <w:rPr>
                      <w:b/>
                      <w:szCs w:val="21"/>
                      <w:highlight w:val="none"/>
                    </w:rPr>
                  </w:pPr>
                  <w:r>
                    <w:rPr>
                      <w:rFonts w:hint="eastAsia"/>
                      <w:b/>
                      <w:szCs w:val="21"/>
                      <w:highlight w:val="none"/>
                    </w:rPr>
                    <w:t>项目</w:t>
                  </w:r>
                </w:p>
              </w:tc>
              <w:tc>
                <w:tcPr>
                  <w:tcW w:w="1212" w:type="pct"/>
                  <w:tcBorders>
                    <w:top w:val="single" w:color="auto" w:sz="4" w:space="0"/>
                    <w:left w:val="single" w:color="auto" w:sz="4" w:space="0"/>
                    <w:bottom w:val="single" w:color="auto" w:sz="4" w:space="0"/>
                    <w:right w:val="single" w:color="auto" w:sz="4" w:space="0"/>
                  </w:tcBorders>
                  <w:vAlign w:val="center"/>
                </w:tcPr>
                <w:p w14:paraId="09DF630F">
                  <w:pPr>
                    <w:adjustRightInd w:val="0"/>
                    <w:snapToGrid w:val="0"/>
                    <w:jc w:val="center"/>
                    <w:rPr>
                      <w:b/>
                      <w:szCs w:val="21"/>
                      <w:highlight w:val="none"/>
                    </w:rPr>
                  </w:pPr>
                  <w:r>
                    <w:rPr>
                      <w:rFonts w:hint="eastAsia"/>
                      <w:b/>
                      <w:szCs w:val="21"/>
                      <w:highlight w:val="none"/>
                    </w:rPr>
                    <w:t>新鲜水用量</w:t>
                  </w:r>
                </w:p>
              </w:tc>
              <w:tc>
                <w:tcPr>
                  <w:tcW w:w="1111" w:type="pct"/>
                  <w:tcBorders>
                    <w:top w:val="single" w:color="auto" w:sz="4" w:space="0"/>
                    <w:left w:val="single" w:color="auto" w:sz="4" w:space="0"/>
                    <w:bottom w:val="single" w:color="auto" w:sz="4" w:space="0"/>
                    <w:right w:val="single" w:color="auto" w:sz="4" w:space="0"/>
                  </w:tcBorders>
                  <w:vAlign w:val="center"/>
                </w:tcPr>
                <w:p w14:paraId="59E7E919">
                  <w:pPr>
                    <w:widowControl/>
                    <w:jc w:val="center"/>
                    <w:rPr>
                      <w:rFonts w:eastAsiaTheme="minorEastAsia"/>
                      <w:b/>
                      <w:szCs w:val="21"/>
                      <w:highlight w:val="none"/>
                    </w:rPr>
                  </w:pPr>
                  <w:r>
                    <w:rPr>
                      <w:rFonts w:hint="eastAsia"/>
                      <w:b/>
                      <w:bCs/>
                      <w:kern w:val="0"/>
                      <w:szCs w:val="21"/>
                      <w:highlight w:val="none"/>
                    </w:rPr>
                    <w:t>消耗量</w:t>
                  </w:r>
                </w:p>
              </w:tc>
              <w:tc>
                <w:tcPr>
                  <w:tcW w:w="1005" w:type="pct"/>
                  <w:tcBorders>
                    <w:top w:val="single" w:color="auto" w:sz="4" w:space="0"/>
                    <w:left w:val="single" w:color="auto" w:sz="4" w:space="0"/>
                    <w:bottom w:val="single" w:color="auto" w:sz="4" w:space="0"/>
                    <w:right w:val="single" w:color="auto" w:sz="4" w:space="0"/>
                  </w:tcBorders>
                  <w:vAlign w:val="center"/>
                </w:tcPr>
                <w:p w14:paraId="106BA429">
                  <w:pPr>
                    <w:widowControl/>
                    <w:jc w:val="center"/>
                    <w:rPr>
                      <w:b/>
                      <w:szCs w:val="21"/>
                      <w:highlight w:val="none"/>
                    </w:rPr>
                  </w:pPr>
                  <w:r>
                    <w:rPr>
                      <w:rFonts w:hint="eastAsia"/>
                      <w:b/>
                      <w:bCs/>
                      <w:kern w:val="0"/>
                      <w:szCs w:val="21"/>
                      <w:highlight w:val="none"/>
                    </w:rPr>
                    <w:t>排水量</w:t>
                  </w:r>
                </w:p>
              </w:tc>
            </w:tr>
            <w:tr w14:paraId="0D9BF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6" w:type="pct"/>
                  <w:tcBorders>
                    <w:top w:val="single" w:color="auto" w:sz="4" w:space="0"/>
                    <w:left w:val="single" w:color="auto" w:sz="4" w:space="0"/>
                    <w:bottom w:val="single" w:color="auto" w:sz="4" w:space="0"/>
                    <w:right w:val="single" w:color="auto" w:sz="4" w:space="0"/>
                  </w:tcBorders>
                  <w:vAlign w:val="center"/>
                </w:tcPr>
                <w:p w14:paraId="78FF6320">
                  <w:pPr>
                    <w:adjustRightInd w:val="0"/>
                    <w:snapToGrid w:val="0"/>
                    <w:jc w:val="center"/>
                    <w:rPr>
                      <w:bCs/>
                      <w:szCs w:val="21"/>
                      <w:highlight w:val="none"/>
                    </w:rPr>
                  </w:pPr>
                  <w:r>
                    <w:rPr>
                      <w:bCs/>
                      <w:szCs w:val="21"/>
                      <w:highlight w:val="none"/>
                    </w:rPr>
                    <w:t>1</w:t>
                  </w:r>
                </w:p>
              </w:tc>
              <w:tc>
                <w:tcPr>
                  <w:tcW w:w="1052" w:type="pct"/>
                  <w:tcBorders>
                    <w:top w:val="single" w:color="auto" w:sz="4" w:space="0"/>
                    <w:left w:val="single" w:color="auto" w:sz="4" w:space="0"/>
                    <w:bottom w:val="single" w:color="auto" w:sz="4" w:space="0"/>
                    <w:right w:val="single" w:color="auto" w:sz="4" w:space="0"/>
                  </w:tcBorders>
                  <w:vAlign w:val="center"/>
                </w:tcPr>
                <w:p w14:paraId="788AB171">
                  <w:pPr>
                    <w:jc w:val="center"/>
                    <w:rPr>
                      <w:rFonts w:eastAsiaTheme="minorEastAsia"/>
                      <w:szCs w:val="16"/>
                      <w:highlight w:val="none"/>
                    </w:rPr>
                  </w:pPr>
                  <w:r>
                    <w:rPr>
                      <w:rFonts w:hint="eastAsia"/>
                      <w:szCs w:val="16"/>
                      <w:highlight w:val="none"/>
                    </w:rPr>
                    <w:t>锅炉补水</w:t>
                  </w:r>
                </w:p>
              </w:tc>
              <w:tc>
                <w:tcPr>
                  <w:tcW w:w="1212" w:type="pct"/>
                  <w:tcBorders>
                    <w:top w:val="single" w:color="auto" w:sz="4" w:space="0"/>
                    <w:left w:val="single" w:color="auto" w:sz="4" w:space="0"/>
                    <w:bottom w:val="single" w:color="auto" w:sz="4" w:space="0"/>
                    <w:right w:val="single" w:color="auto" w:sz="4" w:space="0"/>
                  </w:tcBorders>
                  <w:vAlign w:val="center"/>
                </w:tcPr>
                <w:p w14:paraId="7CFCF2A3">
                  <w:pPr>
                    <w:widowControl/>
                    <w:jc w:val="center"/>
                    <w:textAlignment w:val="center"/>
                    <w:rPr>
                      <w:rFonts w:hint="default" w:eastAsia="宋体"/>
                      <w:szCs w:val="16"/>
                      <w:highlight w:val="none"/>
                      <w:lang w:val="en-US" w:eastAsia="zh-CN"/>
                    </w:rPr>
                  </w:pPr>
                  <w:r>
                    <w:rPr>
                      <w:rFonts w:hint="eastAsia"/>
                      <w:szCs w:val="16"/>
                      <w:highlight w:val="none"/>
                      <w:lang w:val="en-US" w:eastAsia="zh-CN"/>
                    </w:rPr>
                    <w:t>7.2</w:t>
                  </w:r>
                </w:p>
              </w:tc>
              <w:tc>
                <w:tcPr>
                  <w:tcW w:w="1111" w:type="pct"/>
                  <w:tcBorders>
                    <w:top w:val="single" w:color="auto" w:sz="4" w:space="0"/>
                    <w:left w:val="single" w:color="auto" w:sz="4" w:space="0"/>
                    <w:bottom w:val="single" w:color="auto" w:sz="4" w:space="0"/>
                    <w:right w:val="single" w:color="auto" w:sz="4" w:space="0"/>
                  </w:tcBorders>
                  <w:vAlign w:val="center"/>
                </w:tcPr>
                <w:p w14:paraId="0EF5448A">
                  <w:pPr>
                    <w:widowControl/>
                    <w:jc w:val="center"/>
                    <w:textAlignment w:val="center"/>
                    <w:rPr>
                      <w:rFonts w:hint="default" w:eastAsia="宋体"/>
                      <w:szCs w:val="16"/>
                      <w:highlight w:val="none"/>
                      <w:lang w:val="en-US" w:eastAsia="zh-CN"/>
                    </w:rPr>
                  </w:pPr>
                  <w:r>
                    <w:rPr>
                      <w:rFonts w:hint="eastAsia"/>
                      <w:szCs w:val="16"/>
                      <w:highlight w:val="none"/>
                      <w:lang w:val="en-US" w:eastAsia="zh-CN"/>
                    </w:rPr>
                    <w:t>4.8</w:t>
                  </w:r>
                </w:p>
              </w:tc>
              <w:tc>
                <w:tcPr>
                  <w:tcW w:w="1005" w:type="pct"/>
                  <w:tcBorders>
                    <w:top w:val="single" w:color="auto" w:sz="4" w:space="0"/>
                    <w:left w:val="single" w:color="auto" w:sz="4" w:space="0"/>
                    <w:bottom w:val="single" w:color="auto" w:sz="4" w:space="0"/>
                    <w:right w:val="single" w:color="auto" w:sz="4" w:space="0"/>
                  </w:tcBorders>
                  <w:vAlign w:val="center"/>
                </w:tcPr>
                <w:p w14:paraId="7887D24E">
                  <w:pPr>
                    <w:widowControl/>
                    <w:jc w:val="center"/>
                    <w:textAlignment w:val="center"/>
                    <w:rPr>
                      <w:rFonts w:hint="default" w:eastAsia="宋体"/>
                      <w:szCs w:val="16"/>
                      <w:highlight w:val="none"/>
                      <w:lang w:val="en-US" w:eastAsia="zh-CN"/>
                    </w:rPr>
                  </w:pPr>
                  <w:r>
                    <w:rPr>
                      <w:rFonts w:hint="eastAsia"/>
                      <w:szCs w:val="16"/>
                      <w:highlight w:val="none"/>
                      <w:lang w:val="en-US" w:eastAsia="zh-CN"/>
                    </w:rPr>
                    <w:t>2.4</w:t>
                  </w:r>
                </w:p>
              </w:tc>
            </w:tr>
            <w:tr w14:paraId="03773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6" w:type="pct"/>
                  <w:tcBorders>
                    <w:top w:val="single" w:color="auto" w:sz="4" w:space="0"/>
                    <w:left w:val="single" w:color="auto" w:sz="4" w:space="0"/>
                    <w:bottom w:val="single" w:color="auto" w:sz="4" w:space="0"/>
                    <w:right w:val="single" w:color="auto" w:sz="4" w:space="0"/>
                  </w:tcBorders>
                  <w:vAlign w:val="center"/>
                </w:tcPr>
                <w:p w14:paraId="7436D02E">
                  <w:pPr>
                    <w:adjustRightInd w:val="0"/>
                    <w:snapToGrid w:val="0"/>
                    <w:jc w:val="center"/>
                    <w:rPr>
                      <w:rFonts w:hint="eastAsia" w:eastAsia="宋体"/>
                      <w:bCs/>
                      <w:szCs w:val="21"/>
                      <w:highlight w:val="none"/>
                      <w:lang w:val="en-US" w:eastAsia="zh-CN"/>
                    </w:rPr>
                  </w:pPr>
                  <w:r>
                    <w:rPr>
                      <w:rFonts w:hint="eastAsia"/>
                      <w:bCs/>
                      <w:szCs w:val="21"/>
                      <w:highlight w:val="none"/>
                      <w:lang w:val="en-US" w:eastAsia="zh-CN"/>
                    </w:rPr>
                    <w:t>2</w:t>
                  </w:r>
                </w:p>
              </w:tc>
              <w:tc>
                <w:tcPr>
                  <w:tcW w:w="1052" w:type="pct"/>
                  <w:tcBorders>
                    <w:top w:val="single" w:color="auto" w:sz="4" w:space="0"/>
                    <w:left w:val="single" w:color="auto" w:sz="4" w:space="0"/>
                    <w:bottom w:val="single" w:color="auto" w:sz="4" w:space="0"/>
                    <w:right w:val="single" w:color="auto" w:sz="4" w:space="0"/>
                  </w:tcBorders>
                  <w:vAlign w:val="center"/>
                </w:tcPr>
                <w:p w14:paraId="75DD7C54">
                  <w:pPr>
                    <w:jc w:val="center"/>
                    <w:rPr>
                      <w:rFonts w:hint="eastAsia" w:ascii="宋体" w:hAnsi="宋体" w:eastAsia="宋体" w:cs="宋体"/>
                      <w:szCs w:val="16"/>
                      <w:highlight w:val="none"/>
                      <w:lang w:val="en-US"/>
                    </w:rPr>
                  </w:pPr>
                  <w:r>
                    <w:rPr>
                      <w:rFonts w:hint="eastAsia" w:ascii="宋体" w:hAnsi="宋体" w:eastAsia="宋体" w:cs="宋体"/>
                      <w:szCs w:val="16"/>
                      <w:highlight w:val="none"/>
                      <w:lang w:val="en-US" w:eastAsia="zh-CN"/>
                    </w:rPr>
                    <w:t>软水制备用水</w:t>
                  </w:r>
                </w:p>
              </w:tc>
              <w:tc>
                <w:tcPr>
                  <w:tcW w:w="1212" w:type="pct"/>
                  <w:tcBorders>
                    <w:top w:val="single" w:color="auto" w:sz="4" w:space="0"/>
                    <w:left w:val="single" w:color="auto" w:sz="4" w:space="0"/>
                    <w:bottom w:val="single" w:color="auto" w:sz="4" w:space="0"/>
                    <w:right w:val="single" w:color="auto" w:sz="4" w:space="0"/>
                  </w:tcBorders>
                  <w:vAlign w:val="center"/>
                </w:tcPr>
                <w:p w14:paraId="51DCCD97">
                  <w:pPr>
                    <w:widowControl/>
                    <w:jc w:val="center"/>
                    <w:textAlignment w:val="center"/>
                    <w:rPr>
                      <w:rFonts w:hint="default" w:eastAsia="宋体"/>
                      <w:szCs w:val="16"/>
                      <w:highlight w:val="none"/>
                      <w:lang w:val="en-US" w:eastAsia="zh-CN"/>
                    </w:rPr>
                  </w:pPr>
                  <w:r>
                    <w:rPr>
                      <w:rFonts w:hint="eastAsia" w:eastAsia="宋体"/>
                      <w:szCs w:val="16"/>
                      <w:highlight w:val="none"/>
                      <w:lang w:val="en-US" w:eastAsia="zh-CN"/>
                    </w:rPr>
                    <w:t>0.026</w:t>
                  </w:r>
                </w:p>
              </w:tc>
              <w:tc>
                <w:tcPr>
                  <w:tcW w:w="1111" w:type="pct"/>
                  <w:tcBorders>
                    <w:top w:val="single" w:color="auto" w:sz="4" w:space="0"/>
                    <w:left w:val="single" w:color="auto" w:sz="4" w:space="0"/>
                    <w:bottom w:val="single" w:color="auto" w:sz="4" w:space="0"/>
                    <w:right w:val="single" w:color="auto" w:sz="4" w:space="0"/>
                  </w:tcBorders>
                  <w:vAlign w:val="center"/>
                </w:tcPr>
                <w:p w14:paraId="1EC80BE6">
                  <w:pPr>
                    <w:widowControl/>
                    <w:jc w:val="center"/>
                    <w:textAlignment w:val="center"/>
                    <w:rPr>
                      <w:rFonts w:hint="eastAsia" w:eastAsia="宋体"/>
                      <w:szCs w:val="16"/>
                      <w:highlight w:val="none"/>
                      <w:lang w:val="en-US" w:eastAsia="zh-CN"/>
                    </w:rPr>
                  </w:pPr>
                  <w:r>
                    <w:rPr>
                      <w:rFonts w:hint="eastAsia" w:eastAsia="宋体"/>
                      <w:szCs w:val="16"/>
                      <w:highlight w:val="none"/>
                      <w:lang w:val="en-US" w:eastAsia="zh-CN"/>
                    </w:rPr>
                    <w:t>0</w:t>
                  </w:r>
                </w:p>
              </w:tc>
              <w:tc>
                <w:tcPr>
                  <w:tcW w:w="1005" w:type="pct"/>
                  <w:tcBorders>
                    <w:top w:val="single" w:color="auto" w:sz="4" w:space="0"/>
                    <w:left w:val="single" w:color="auto" w:sz="4" w:space="0"/>
                    <w:bottom w:val="single" w:color="auto" w:sz="4" w:space="0"/>
                    <w:right w:val="single" w:color="auto" w:sz="4" w:space="0"/>
                  </w:tcBorders>
                  <w:vAlign w:val="center"/>
                </w:tcPr>
                <w:p w14:paraId="0E62E852">
                  <w:pPr>
                    <w:widowControl/>
                    <w:jc w:val="center"/>
                    <w:textAlignment w:val="center"/>
                    <w:rPr>
                      <w:rFonts w:hint="default" w:eastAsia="宋体"/>
                      <w:szCs w:val="16"/>
                      <w:highlight w:val="none"/>
                      <w:lang w:val="en-US" w:eastAsia="zh-CN"/>
                    </w:rPr>
                  </w:pPr>
                  <w:r>
                    <w:rPr>
                      <w:rFonts w:hint="eastAsia" w:eastAsia="宋体"/>
                      <w:szCs w:val="16"/>
                      <w:highlight w:val="none"/>
                      <w:lang w:val="en-US" w:eastAsia="zh-CN"/>
                    </w:rPr>
                    <w:t>0.026</w:t>
                  </w:r>
                </w:p>
              </w:tc>
            </w:tr>
            <w:tr w14:paraId="538E7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6" w:type="pct"/>
                  <w:tcBorders>
                    <w:top w:val="single" w:color="auto" w:sz="4" w:space="0"/>
                    <w:left w:val="single" w:color="auto" w:sz="4" w:space="0"/>
                    <w:bottom w:val="single" w:color="auto" w:sz="4" w:space="0"/>
                    <w:right w:val="single" w:color="auto" w:sz="4" w:space="0"/>
                  </w:tcBorders>
                  <w:vAlign w:val="center"/>
                </w:tcPr>
                <w:p w14:paraId="10CE9D35">
                  <w:pPr>
                    <w:adjustRightInd w:val="0"/>
                    <w:snapToGrid w:val="0"/>
                    <w:jc w:val="center"/>
                    <w:rPr>
                      <w:rFonts w:hint="eastAsia" w:eastAsia="宋体"/>
                      <w:bCs/>
                      <w:szCs w:val="21"/>
                      <w:highlight w:val="none"/>
                      <w:lang w:val="en-US" w:eastAsia="zh-CN"/>
                    </w:rPr>
                  </w:pPr>
                  <w:r>
                    <w:rPr>
                      <w:rFonts w:hint="eastAsia"/>
                      <w:bCs/>
                      <w:szCs w:val="21"/>
                      <w:highlight w:val="none"/>
                      <w:lang w:val="en-US" w:eastAsia="zh-CN"/>
                    </w:rPr>
                    <w:t>3</w:t>
                  </w:r>
                </w:p>
              </w:tc>
              <w:tc>
                <w:tcPr>
                  <w:tcW w:w="1052" w:type="pct"/>
                  <w:tcBorders>
                    <w:top w:val="single" w:color="auto" w:sz="4" w:space="0"/>
                    <w:left w:val="single" w:color="auto" w:sz="4" w:space="0"/>
                    <w:bottom w:val="single" w:color="auto" w:sz="4" w:space="0"/>
                    <w:right w:val="single" w:color="auto" w:sz="4" w:space="0"/>
                  </w:tcBorders>
                  <w:vAlign w:val="center"/>
                </w:tcPr>
                <w:p w14:paraId="6171B393">
                  <w:pPr>
                    <w:jc w:val="center"/>
                    <w:rPr>
                      <w:rFonts w:hint="eastAsia" w:ascii="宋体" w:hAnsi="宋体" w:eastAsia="宋体" w:cs="宋体"/>
                      <w:szCs w:val="16"/>
                      <w:highlight w:val="none"/>
                    </w:rPr>
                  </w:pPr>
                  <w:r>
                    <w:rPr>
                      <w:rFonts w:hint="eastAsia" w:ascii="宋体" w:hAnsi="宋体" w:eastAsia="宋体" w:cs="宋体"/>
                      <w:szCs w:val="16"/>
                      <w:highlight w:val="none"/>
                    </w:rPr>
                    <w:t>合计</w:t>
                  </w:r>
                </w:p>
              </w:tc>
              <w:tc>
                <w:tcPr>
                  <w:tcW w:w="1212" w:type="pct"/>
                  <w:tcBorders>
                    <w:top w:val="single" w:color="auto" w:sz="4" w:space="0"/>
                    <w:left w:val="single" w:color="auto" w:sz="4" w:space="0"/>
                    <w:bottom w:val="single" w:color="auto" w:sz="4" w:space="0"/>
                    <w:right w:val="single" w:color="auto" w:sz="4" w:space="0"/>
                  </w:tcBorders>
                  <w:vAlign w:val="center"/>
                </w:tcPr>
                <w:p w14:paraId="2452472C">
                  <w:pPr>
                    <w:widowControl/>
                    <w:jc w:val="center"/>
                    <w:textAlignment w:val="center"/>
                    <w:rPr>
                      <w:rFonts w:hint="default" w:eastAsia="宋体"/>
                      <w:szCs w:val="16"/>
                      <w:highlight w:val="none"/>
                      <w:lang w:val="en-US" w:eastAsia="zh-CN"/>
                    </w:rPr>
                  </w:pPr>
                  <w:r>
                    <w:rPr>
                      <w:rFonts w:hint="eastAsia" w:eastAsia="宋体"/>
                      <w:szCs w:val="16"/>
                      <w:highlight w:val="none"/>
                      <w:lang w:val="en-US" w:eastAsia="zh-CN"/>
                    </w:rPr>
                    <w:t>7.226</w:t>
                  </w:r>
                </w:p>
              </w:tc>
              <w:tc>
                <w:tcPr>
                  <w:tcW w:w="1111" w:type="pct"/>
                  <w:tcBorders>
                    <w:top w:val="single" w:color="auto" w:sz="4" w:space="0"/>
                    <w:left w:val="single" w:color="auto" w:sz="4" w:space="0"/>
                    <w:bottom w:val="single" w:color="auto" w:sz="4" w:space="0"/>
                    <w:right w:val="single" w:color="auto" w:sz="4" w:space="0"/>
                  </w:tcBorders>
                  <w:vAlign w:val="center"/>
                </w:tcPr>
                <w:p w14:paraId="03812813">
                  <w:pPr>
                    <w:widowControl/>
                    <w:jc w:val="center"/>
                    <w:textAlignment w:val="center"/>
                    <w:rPr>
                      <w:rFonts w:hint="default" w:eastAsia="宋体"/>
                      <w:szCs w:val="16"/>
                      <w:highlight w:val="none"/>
                      <w:lang w:val="en-US" w:eastAsia="zh-CN"/>
                    </w:rPr>
                  </w:pPr>
                  <w:r>
                    <w:rPr>
                      <w:rFonts w:hint="eastAsia" w:eastAsia="宋体"/>
                      <w:szCs w:val="16"/>
                      <w:highlight w:val="none"/>
                      <w:lang w:val="en-US" w:eastAsia="zh-CN"/>
                    </w:rPr>
                    <w:t>4.8</w:t>
                  </w:r>
                </w:p>
              </w:tc>
              <w:tc>
                <w:tcPr>
                  <w:tcW w:w="1005" w:type="pct"/>
                  <w:tcBorders>
                    <w:top w:val="single" w:color="auto" w:sz="4" w:space="0"/>
                    <w:left w:val="single" w:color="auto" w:sz="4" w:space="0"/>
                    <w:bottom w:val="single" w:color="auto" w:sz="4" w:space="0"/>
                    <w:right w:val="single" w:color="auto" w:sz="4" w:space="0"/>
                  </w:tcBorders>
                  <w:vAlign w:val="center"/>
                </w:tcPr>
                <w:p w14:paraId="2E7181D4">
                  <w:pPr>
                    <w:widowControl/>
                    <w:jc w:val="center"/>
                    <w:textAlignment w:val="center"/>
                    <w:rPr>
                      <w:rFonts w:hint="default" w:eastAsia="宋体"/>
                      <w:szCs w:val="16"/>
                      <w:highlight w:val="none"/>
                      <w:lang w:val="en-US" w:eastAsia="zh-CN"/>
                    </w:rPr>
                  </w:pPr>
                  <w:r>
                    <w:rPr>
                      <w:rFonts w:hint="eastAsia" w:eastAsia="宋体"/>
                      <w:szCs w:val="16"/>
                      <w:highlight w:val="none"/>
                      <w:lang w:val="en-US" w:eastAsia="zh-CN"/>
                    </w:rPr>
                    <w:t>2.426</w:t>
                  </w:r>
                </w:p>
              </w:tc>
            </w:tr>
          </w:tbl>
          <w:p w14:paraId="08DCCDAB">
            <w:pPr>
              <w:spacing w:before="120" w:beforeLines="50" w:line="360" w:lineRule="auto"/>
              <w:jc w:val="center"/>
              <w:rPr>
                <w:rFonts w:hint="eastAsia" w:eastAsia="宋体"/>
                <w:sz w:val="24"/>
                <w:highlight w:val="none"/>
                <w:lang w:eastAsia="zh-CN"/>
              </w:rPr>
            </w:pPr>
            <w:r>
              <w:rPr>
                <w:rFonts w:hint="eastAsia" w:eastAsia="宋体"/>
                <w:sz w:val="24"/>
                <w:highlight w:val="none"/>
                <w:lang w:eastAsia="zh-CN"/>
              </w:rPr>
              <w:drawing>
                <wp:inline distT="0" distB="0" distL="114300" distR="114300">
                  <wp:extent cx="5318760" cy="2106930"/>
                  <wp:effectExtent l="0" t="0" r="0" b="0"/>
                  <wp:docPr id="25" name="ECB019B1-382A-4266-B25C-5B523AA43C14-1"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CB019B1-382A-4266-B25C-5B523AA43C14-1" descr="wps"/>
                          <pic:cNvPicPr>
                            <a:picLocks noChangeAspect="1"/>
                          </pic:cNvPicPr>
                        </pic:nvPicPr>
                        <pic:blipFill>
                          <a:blip r:embed="rId15"/>
                          <a:stretch>
                            <a:fillRect/>
                          </a:stretch>
                        </pic:blipFill>
                        <pic:spPr>
                          <a:xfrm>
                            <a:off x="0" y="0"/>
                            <a:ext cx="5318760" cy="2106930"/>
                          </a:xfrm>
                          <a:prstGeom prst="rect">
                            <a:avLst/>
                          </a:prstGeom>
                        </pic:spPr>
                      </pic:pic>
                    </a:graphicData>
                  </a:graphic>
                </wp:inline>
              </w:drawing>
            </w:r>
          </w:p>
          <w:p w14:paraId="25218770">
            <w:pPr>
              <w:pStyle w:val="2"/>
              <w:numPr>
                <w:ilvl w:val="0"/>
                <w:numId w:val="7"/>
              </w:numPr>
              <w:ind w:left="0" w:leftChars="0" w:firstLine="0"/>
              <w:rPr>
                <w:b/>
                <w:w w:val="100"/>
                <w:sz w:val="21"/>
                <w:highlight w:val="none"/>
              </w:rPr>
            </w:pPr>
            <w:r>
              <w:rPr>
                <w:rFonts w:hint="eastAsia"/>
                <w:b/>
                <w:w w:val="100"/>
                <w:sz w:val="21"/>
                <w:highlight w:val="none"/>
              </w:rPr>
              <w:t>项目水平衡情况示意图（单位：m</w:t>
            </w:r>
            <w:r>
              <w:rPr>
                <w:b/>
                <w:w w:val="100"/>
                <w:sz w:val="21"/>
                <w:highlight w:val="none"/>
                <w:vertAlign w:val="superscript"/>
              </w:rPr>
              <w:t>3</w:t>
            </w:r>
            <w:r>
              <w:rPr>
                <w:b/>
                <w:w w:val="100"/>
                <w:sz w:val="21"/>
                <w:highlight w:val="none"/>
              </w:rPr>
              <w:t>/d</w:t>
            </w:r>
            <w:r>
              <w:rPr>
                <w:rFonts w:hint="eastAsia"/>
                <w:b/>
                <w:w w:val="100"/>
                <w:sz w:val="21"/>
                <w:highlight w:val="none"/>
              </w:rPr>
              <w:t>）</w:t>
            </w:r>
          </w:p>
        </w:tc>
      </w:tr>
      <w:tr w14:paraId="098965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vAlign w:val="center"/>
          </w:tcPr>
          <w:p w14:paraId="79DB1DA3">
            <w:pPr>
              <w:adjustRightInd w:val="0"/>
              <w:snapToGrid w:val="0"/>
              <w:jc w:val="center"/>
              <w:rPr>
                <w:rFonts w:ascii="宋体" w:hAnsi="宋体" w:cs="宋体"/>
                <w:kern w:val="0"/>
                <w:sz w:val="24"/>
                <w:highlight w:val="none"/>
              </w:rPr>
            </w:pPr>
            <w:r>
              <w:rPr>
                <w:rFonts w:hint="eastAsia" w:ascii="宋体" w:hAnsi="宋体" w:cs="宋体"/>
                <w:kern w:val="0"/>
                <w:sz w:val="24"/>
                <w:highlight w:val="none"/>
              </w:rPr>
              <w:t>工艺流程和产排污环节</w:t>
            </w:r>
          </w:p>
        </w:tc>
        <w:tc>
          <w:tcPr>
            <w:tcW w:w="8161" w:type="dxa"/>
          </w:tcPr>
          <w:p w14:paraId="660CF118">
            <w:pPr>
              <w:spacing w:before="120" w:beforeLines="50" w:line="360" w:lineRule="auto"/>
              <w:ind w:firstLine="482" w:firstLineChars="200"/>
              <w:rPr>
                <w:b/>
                <w:sz w:val="24"/>
                <w:highlight w:val="none"/>
              </w:rPr>
            </w:pPr>
            <w:r>
              <w:rPr>
                <w:b/>
                <w:sz w:val="24"/>
                <w:highlight w:val="none"/>
              </w:rPr>
              <w:t>1．</w:t>
            </w:r>
            <w:r>
              <w:rPr>
                <w:rFonts w:hint="eastAsia"/>
                <w:b/>
                <w:sz w:val="24"/>
                <w:highlight w:val="none"/>
              </w:rPr>
              <w:t>施工期工艺流程</w:t>
            </w:r>
          </w:p>
          <w:p w14:paraId="501ABD40">
            <w:pPr>
              <w:spacing w:line="360" w:lineRule="auto"/>
              <w:ind w:firstLine="480" w:firstLineChars="200"/>
              <w:rPr>
                <w:bCs/>
                <w:sz w:val="24"/>
                <w:highlight w:val="none"/>
              </w:rPr>
            </w:pPr>
            <w:r>
              <w:rPr>
                <w:rFonts w:hint="eastAsia"/>
                <w:bCs/>
                <w:sz w:val="24"/>
                <w:highlight w:val="none"/>
              </w:rPr>
              <w:t>项目施工期主要为场地清理、生产车间建设、设备安装等工程，产污环节主要为车间建设等过程中产生的施工扬尘、施工设备噪声、固体废物等污染物。</w:t>
            </w:r>
          </w:p>
          <w:p w14:paraId="59324CF3">
            <w:pPr>
              <w:spacing w:line="360" w:lineRule="auto"/>
              <w:ind w:firstLine="480" w:firstLineChars="200"/>
              <w:rPr>
                <w:bCs/>
                <w:sz w:val="24"/>
                <w:highlight w:val="none"/>
              </w:rPr>
            </w:pPr>
            <w:r>
              <w:rPr>
                <w:rFonts w:hint="eastAsia"/>
                <w:bCs/>
                <w:sz w:val="24"/>
                <w:highlight w:val="none"/>
              </w:rPr>
              <w:t>施工期</w:t>
            </w:r>
            <w:r>
              <w:rPr>
                <w:bCs/>
                <w:sz w:val="24"/>
                <w:highlight w:val="none"/>
              </w:rPr>
              <w:t>工艺流程及产排污节点示意图如下图所示：</w:t>
            </w:r>
          </w:p>
          <w:p w14:paraId="79BEDEB1">
            <w:pPr>
              <w:pStyle w:val="2"/>
              <w:ind w:left="0" w:leftChars="0"/>
              <w:rPr>
                <w:highlight w:val="none"/>
              </w:rPr>
            </w:pPr>
            <w:r>
              <w:rPr>
                <w:highlight w:val="none"/>
              </w:rPr>
              <w:drawing>
                <wp:inline distT="0" distB="0" distL="0" distR="0">
                  <wp:extent cx="4801235" cy="1805305"/>
                  <wp:effectExtent l="0" t="0" r="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6"/>
                          <a:stretch>
                            <a:fillRect/>
                          </a:stretch>
                        </pic:blipFill>
                        <pic:spPr>
                          <a:xfrm>
                            <a:off x="0" y="0"/>
                            <a:ext cx="4807522" cy="1808040"/>
                          </a:xfrm>
                          <a:prstGeom prst="rect">
                            <a:avLst/>
                          </a:prstGeom>
                        </pic:spPr>
                      </pic:pic>
                    </a:graphicData>
                  </a:graphic>
                </wp:inline>
              </w:drawing>
            </w:r>
          </w:p>
          <w:p w14:paraId="3DC8B364">
            <w:pPr>
              <w:pStyle w:val="2"/>
              <w:numPr>
                <w:ilvl w:val="0"/>
                <w:numId w:val="7"/>
              </w:numPr>
              <w:ind w:left="0" w:leftChars="0" w:firstLine="0"/>
              <w:rPr>
                <w:b/>
                <w:w w:val="100"/>
                <w:sz w:val="21"/>
                <w:highlight w:val="none"/>
              </w:rPr>
            </w:pPr>
            <w:r>
              <w:rPr>
                <w:rFonts w:hint="eastAsia"/>
                <w:b/>
                <w:w w:val="100"/>
                <w:sz w:val="21"/>
                <w:highlight w:val="none"/>
              </w:rPr>
              <w:t>项目施工期工艺流程及产排污节点示意图</w:t>
            </w:r>
          </w:p>
          <w:p w14:paraId="5796DFA3">
            <w:pPr>
              <w:spacing w:line="360" w:lineRule="auto"/>
              <w:ind w:firstLine="482" w:firstLineChars="200"/>
              <w:rPr>
                <w:b/>
                <w:sz w:val="24"/>
                <w:highlight w:val="none"/>
              </w:rPr>
            </w:pPr>
            <w:r>
              <w:rPr>
                <w:b/>
                <w:sz w:val="24"/>
                <w:highlight w:val="none"/>
              </w:rPr>
              <w:t>2．</w:t>
            </w:r>
            <w:r>
              <w:rPr>
                <w:rFonts w:hint="eastAsia"/>
                <w:b/>
                <w:sz w:val="24"/>
                <w:highlight w:val="none"/>
              </w:rPr>
              <w:t>运营期工艺流程</w:t>
            </w:r>
          </w:p>
          <w:p w14:paraId="2B00D83A">
            <w:pPr>
              <w:spacing w:line="360" w:lineRule="auto"/>
              <w:ind w:firstLine="480"/>
              <w:rPr>
                <w:rFonts w:hint="eastAsia" w:ascii="Times New Roman" w:hAnsi="Times New Roman" w:eastAsia="宋体" w:cs="Times New Roman"/>
                <w:sz w:val="24"/>
                <w:highlight w:val="none"/>
                <w:lang w:eastAsia="zh-CN"/>
              </w:rPr>
            </w:pPr>
            <w:r>
              <w:rPr>
                <w:rFonts w:hint="eastAsia" w:ascii="Times New Roman" w:hAnsi="Times New Roman" w:eastAsia="宋体" w:cs="Times New Roman"/>
                <w:sz w:val="24"/>
                <w:highlight w:val="none"/>
              </w:rPr>
              <w:t>项目新建</w:t>
            </w:r>
            <w:r>
              <w:rPr>
                <w:rFonts w:hint="eastAsia" w:ascii="Times New Roman" w:hAnsi="Times New Roman" w:eastAsia="宋体" w:cs="Times New Roman"/>
                <w:sz w:val="24"/>
                <w:highlight w:val="none"/>
                <w:lang w:val="en-US" w:eastAsia="zh-CN"/>
              </w:rPr>
              <w:t>2</w:t>
            </w:r>
            <w:r>
              <w:rPr>
                <w:rFonts w:hint="eastAsia" w:ascii="Times New Roman" w:hAnsi="Times New Roman" w:eastAsia="宋体" w:cs="Times New Roman"/>
                <w:sz w:val="24"/>
                <w:highlight w:val="none"/>
              </w:rPr>
              <w:t>t/h</w:t>
            </w:r>
            <w:r>
              <w:rPr>
                <w:rFonts w:hint="eastAsia" w:ascii="Times New Roman" w:hAnsi="Times New Roman" w:eastAsia="宋体" w:cs="Times New Roman"/>
                <w:sz w:val="24"/>
                <w:highlight w:val="none"/>
                <w:lang w:val="en-US" w:eastAsia="zh-CN"/>
              </w:rPr>
              <w:t>沼气</w:t>
            </w:r>
            <w:r>
              <w:rPr>
                <w:rFonts w:hint="eastAsia" w:ascii="Times New Roman" w:hAnsi="Times New Roman" w:eastAsia="宋体" w:cs="Times New Roman"/>
                <w:sz w:val="24"/>
                <w:highlight w:val="none"/>
              </w:rPr>
              <w:t>锅炉一台，配套建设软化水制备设备一套，软化水制备设备为离子交换树脂罐。软水水制备设备所用新鲜水来着厂区自备水井。新鲜水由水泵从厂区自备水井抽出，通过管道送至软化水制备设备，新鲜水由软化水制备设备处理后变为软化水，软化水排入锅炉</w:t>
            </w:r>
            <w:r>
              <w:rPr>
                <w:rFonts w:hint="eastAsia" w:ascii="Times New Roman" w:hAnsi="Times New Roman" w:eastAsia="宋体" w:cs="Times New Roman"/>
                <w:sz w:val="24"/>
                <w:highlight w:val="none"/>
                <w:lang w:eastAsia="zh-CN"/>
              </w:rPr>
              <w:t>；</w:t>
            </w:r>
            <w:r>
              <w:rPr>
                <w:rFonts w:hint="eastAsia" w:ascii="Times New Roman" w:hAnsi="Times New Roman" w:eastAsia="宋体" w:cs="Times New Roman"/>
                <w:sz w:val="24"/>
                <w:highlight w:val="none"/>
                <w:lang w:val="en-US" w:eastAsia="zh-CN"/>
              </w:rPr>
              <w:t>锅炉所用沼气由</w:t>
            </w:r>
            <w:r>
              <w:rPr>
                <w:rFonts w:hint="eastAsia" w:cs="Times New Roman"/>
                <w:bCs/>
                <w:color w:val="000000"/>
                <w:sz w:val="24"/>
                <w:highlight w:val="none"/>
                <w:lang w:val="en-US" w:eastAsia="zh-CN"/>
              </w:rPr>
              <w:t>承德泓辉双合淀粉有限公司污水处理站</w:t>
            </w:r>
            <w:r>
              <w:rPr>
                <w:rFonts w:hint="eastAsia" w:ascii="Times New Roman" w:hAnsi="Times New Roman" w:eastAsia="宋体" w:cs="Times New Roman"/>
                <w:bCs/>
                <w:color w:val="000000"/>
                <w:sz w:val="24"/>
                <w:highlight w:val="none"/>
                <w:lang w:val="en-US" w:eastAsia="zh-CN"/>
              </w:rPr>
              <w:t>PEIC厌氧反应器中厌氧微生物的分解</w:t>
            </w:r>
            <w:r>
              <w:rPr>
                <w:rFonts w:hint="eastAsia" w:cs="Times New Roman"/>
                <w:bCs/>
                <w:color w:val="000000"/>
                <w:sz w:val="24"/>
                <w:highlight w:val="none"/>
                <w:lang w:val="en-US" w:eastAsia="zh-CN"/>
              </w:rPr>
              <w:t>产生，经沼气储罐进行存储，经鼓风机加压后进入脱硫罐进行干法脱硫，脱硫剂为氧化铁；脱硫后进入脱水装置进行脱水，脱水后气体进入锅炉进行燃烧</w:t>
            </w:r>
            <w:r>
              <w:rPr>
                <w:rFonts w:hint="eastAsia" w:ascii="Times New Roman" w:hAnsi="Times New Roman" w:eastAsia="宋体" w:cs="Times New Roman"/>
                <w:sz w:val="24"/>
                <w:highlight w:val="none"/>
              </w:rPr>
              <w:t>。</w:t>
            </w:r>
            <w:r>
              <w:rPr>
                <w:rFonts w:hint="eastAsia" w:ascii="Times New Roman" w:hAnsi="Times New Roman" w:eastAsia="宋体" w:cs="Times New Roman"/>
                <w:sz w:val="24"/>
                <w:highlight w:val="none"/>
                <w:lang w:val="en-US" w:eastAsia="zh-CN"/>
              </w:rPr>
              <w:t>燃烧产生的水蒸汽用于</w:t>
            </w:r>
            <w:r>
              <w:rPr>
                <w:rFonts w:hint="eastAsia" w:cs="Times New Roman"/>
                <w:sz w:val="24"/>
                <w:highlight w:val="none"/>
                <w:lang w:val="en-US" w:eastAsia="zh-CN"/>
              </w:rPr>
              <w:t>蛋白回收工艺、污水处理站和生活热源</w:t>
            </w:r>
            <w:r>
              <w:rPr>
                <w:rFonts w:hint="eastAsia" w:ascii="Times New Roman" w:hAnsi="Times New Roman" w:eastAsia="宋体" w:cs="Times New Roman"/>
                <w:sz w:val="24"/>
                <w:highlight w:val="none"/>
                <w:lang w:eastAsia="zh-CN"/>
              </w:rPr>
              <w:t>。</w:t>
            </w:r>
          </w:p>
          <w:p w14:paraId="44FCB98F">
            <w:pPr>
              <w:spacing w:line="360" w:lineRule="auto"/>
              <w:ind w:firstLine="480"/>
              <w:rPr>
                <w:sz w:val="24"/>
                <w:highlight w:val="none"/>
              </w:rPr>
            </w:pPr>
            <w:r>
              <w:rPr>
                <w:rFonts w:hint="eastAsia"/>
                <w:sz w:val="24"/>
                <w:highlight w:val="none"/>
              </w:rPr>
              <w:t>上述工艺过程的工艺流程图如下：</w:t>
            </w:r>
          </w:p>
          <w:p w14:paraId="3B4FD791">
            <w:pPr>
              <w:spacing w:line="360" w:lineRule="auto"/>
              <w:jc w:val="center"/>
              <w:rPr>
                <w:sz w:val="24"/>
                <w:highlight w:val="none"/>
                <w:lang w:bidi="zh-CN"/>
              </w:rPr>
            </w:pPr>
            <w:r>
              <w:rPr>
                <w:sz w:val="24"/>
                <w:highlight w:val="none"/>
                <w:lang w:bidi="zh-CN"/>
              </w:rPr>
              <w:drawing>
                <wp:inline distT="0" distB="0" distL="114300" distR="114300">
                  <wp:extent cx="5038725" cy="2334260"/>
                  <wp:effectExtent l="0" t="0" r="0" b="0"/>
                  <wp:docPr id="31" name="ECB019B1-382A-4266-B25C-5B523AA43C14-2"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CB019B1-382A-4266-B25C-5B523AA43C14-2" descr="wps"/>
                          <pic:cNvPicPr>
                            <a:picLocks noChangeAspect="1"/>
                          </pic:cNvPicPr>
                        </pic:nvPicPr>
                        <pic:blipFill>
                          <a:blip r:embed="rId17"/>
                          <a:stretch>
                            <a:fillRect/>
                          </a:stretch>
                        </pic:blipFill>
                        <pic:spPr>
                          <a:xfrm>
                            <a:off x="0" y="0"/>
                            <a:ext cx="5038725" cy="2334260"/>
                          </a:xfrm>
                          <a:prstGeom prst="rect">
                            <a:avLst/>
                          </a:prstGeom>
                        </pic:spPr>
                      </pic:pic>
                    </a:graphicData>
                  </a:graphic>
                </wp:inline>
              </w:drawing>
            </w:r>
          </w:p>
          <w:p w14:paraId="2BD94B0B">
            <w:pPr>
              <w:spacing w:line="360" w:lineRule="auto"/>
              <w:jc w:val="center"/>
              <w:rPr>
                <w:b/>
                <w:highlight w:val="none"/>
              </w:rPr>
            </w:pPr>
            <w:r>
              <w:rPr>
                <w:rFonts w:hint="eastAsia"/>
                <w:b/>
                <w:highlight w:val="none"/>
              </w:rPr>
              <w:t>（注：G废气、W废水、</w:t>
            </w:r>
            <w:r>
              <w:rPr>
                <w:b/>
                <w:highlight w:val="none"/>
              </w:rPr>
              <w:t>N</w:t>
            </w:r>
            <w:r>
              <w:rPr>
                <w:rFonts w:hint="eastAsia"/>
                <w:b/>
                <w:highlight w:val="none"/>
              </w:rPr>
              <w:t>噪声、S固废）</w:t>
            </w:r>
          </w:p>
          <w:p w14:paraId="4A20AF66">
            <w:pPr>
              <w:pStyle w:val="2"/>
              <w:numPr>
                <w:ilvl w:val="0"/>
                <w:numId w:val="7"/>
              </w:numPr>
              <w:ind w:leftChars="0"/>
              <w:rPr>
                <w:b/>
                <w:w w:val="100"/>
                <w:sz w:val="21"/>
                <w:highlight w:val="none"/>
              </w:rPr>
            </w:pPr>
            <w:r>
              <w:rPr>
                <w:rFonts w:hint="eastAsia"/>
                <w:b/>
                <w:w w:val="100"/>
                <w:sz w:val="21"/>
                <w:highlight w:val="none"/>
              </w:rPr>
              <w:t>工艺流程及产排污节点示意图</w:t>
            </w:r>
          </w:p>
          <w:p w14:paraId="0CF39C4D">
            <w:pPr>
              <w:spacing w:before="120" w:beforeLines="50" w:line="360" w:lineRule="auto"/>
              <w:ind w:firstLine="482" w:firstLineChars="200"/>
              <w:rPr>
                <w:b/>
                <w:sz w:val="24"/>
                <w:highlight w:val="none"/>
              </w:rPr>
            </w:pPr>
            <w:r>
              <w:rPr>
                <w:b/>
                <w:sz w:val="24"/>
                <w:highlight w:val="none"/>
              </w:rPr>
              <w:t>3．</w:t>
            </w:r>
            <w:r>
              <w:rPr>
                <w:rFonts w:hint="eastAsia"/>
                <w:b/>
                <w:sz w:val="24"/>
                <w:highlight w:val="none"/>
              </w:rPr>
              <w:t>产排污节点</w:t>
            </w:r>
          </w:p>
          <w:p w14:paraId="5F36D865">
            <w:pPr>
              <w:spacing w:line="360" w:lineRule="auto"/>
              <w:ind w:firstLine="482"/>
              <w:rPr>
                <w:sz w:val="24"/>
                <w:highlight w:val="none"/>
                <w:lang w:bidi="zh-CN"/>
              </w:rPr>
            </w:pPr>
            <w:r>
              <w:rPr>
                <w:rFonts w:hint="eastAsia"/>
                <w:sz w:val="24"/>
                <w:highlight w:val="none"/>
                <w:lang w:bidi="zh-CN"/>
              </w:rPr>
              <w:t>现将上述生产工艺过程的产排污环节汇总如下：</w:t>
            </w:r>
          </w:p>
          <w:p w14:paraId="5618932D">
            <w:pPr>
              <w:pStyle w:val="50"/>
              <w:numPr>
                <w:ilvl w:val="0"/>
                <w:numId w:val="6"/>
              </w:numPr>
              <w:spacing w:line="360" w:lineRule="auto"/>
              <w:ind w:left="0" w:firstLine="0" w:firstLineChars="0"/>
              <w:jc w:val="center"/>
              <w:rPr>
                <w:rFonts w:ascii="宋体" w:hAnsi="宋体" w:eastAsia="宋体"/>
                <w:b/>
                <w:sz w:val="21"/>
                <w:highlight w:val="none"/>
              </w:rPr>
            </w:pPr>
            <w:r>
              <w:rPr>
                <w:rFonts w:hint="eastAsia" w:ascii="宋体" w:hAnsi="宋体" w:eastAsia="宋体"/>
                <w:b/>
                <w:sz w:val="21"/>
                <w:highlight w:val="none"/>
              </w:rPr>
              <w:t>生产过程产排污环节一览表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1"/>
              <w:gridCol w:w="786"/>
              <w:gridCol w:w="962"/>
              <w:gridCol w:w="1013"/>
              <w:gridCol w:w="1219"/>
              <w:gridCol w:w="640"/>
              <w:gridCol w:w="2894"/>
            </w:tblGrid>
            <w:tr w14:paraId="41F63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5" w:type="pct"/>
                  <w:tcBorders>
                    <w:top w:val="single" w:color="auto" w:sz="4" w:space="0"/>
                    <w:left w:val="single" w:color="auto" w:sz="4" w:space="0"/>
                    <w:bottom w:val="single" w:color="auto" w:sz="4" w:space="0"/>
                    <w:right w:val="single" w:color="auto" w:sz="4" w:space="0"/>
                  </w:tcBorders>
                  <w:vAlign w:val="center"/>
                </w:tcPr>
                <w:p w14:paraId="1A10F690">
                  <w:pPr>
                    <w:jc w:val="center"/>
                    <w:rPr>
                      <w:b/>
                      <w:bCs/>
                      <w:szCs w:val="21"/>
                      <w:highlight w:val="none"/>
                    </w:rPr>
                  </w:pPr>
                  <w:r>
                    <w:rPr>
                      <w:rFonts w:hint="eastAsia"/>
                      <w:b/>
                      <w:bCs/>
                      <w:szCs w:val="21"/>
                      <w:highlight w:val="none"/>
                    </w:rPr>
                    <w:t>类别</w:t>
                  </w:r>
                </w:p>
              </w:tc>
              <w:tc>
                <w:tcPr>
                  <w:tcW w:w="495" w:type="pct"/>
                  <w:tcBorders>
                    <w:top w:val="single" w:color="auto" w:sz="4" w:space="0"/>
                    <w:left w:val="single" w:color="auto" w:sz="4" w:space="0"/>
                    <w:bottom w:val="single" w:color="auto" w:sz="4" w:space="0"/>
                    <w:right w:val="single" w:color="auto" w:sz="4" w:space="0"/>
                  </w:tcBorders>
                  <w:vAlign w:val="center"/>
                </w:tcPr>
                <w:p w14:paraId="17CFB78D">
                  <w:pPr>
                    <w:jc w:val="center"/>
                    <w:rPr>
                      <w:b/>
                      <w:bCs/>
                      <w:szCs w:val="21"/>
                      <w:highlight w:val="none"/>
                    </w:rPr>
                  </w:pPr>
                  <w:r>
                    <w:rPr>
                      <w:rFonts w:hint="eastAsia"/>
                      <w:b/>
                      <w:bCs/>
                      <w:szCs w:val="21"/>
                      <w:highlight w:val="none"/>
                    </w:rPr>
                    <w:t>序号</w:t>
                  </w:r>
                </w:p>
              </w:tc>
              <w:tc>
                <w:tcPr>
                  <w:tcW w:w="606" w:type="pct"/>
                  <w:tcBorders>
                    <w:top w:val="single" w:color="auto" w:sz="4" w:space="0"/>
                    <w:left w:val="single" w:color="auto" w:sz="4" w:space="0"/>
                    <w:bottom w:val="single" w:color="auto" w:sz="4" w:space="0"/>
                    <w:right w:val="single" w:color="auto" w:sz="4" w:space="0"/>
                  </w:tcBorders>
                  <w:vAlign w:val="center"/>
                </w:tcPr>
                <w:p w14:paraId="16C14968">
                  <w:pPr>
                    <w:jc w:val="center"/>
                    <w:rPr>
                      <w:b/>
                      <w:bCs/>
                      <w:szCs w:val="21"/>
                      <w:highlight w:val="none"/>
                    </w:rPr>
                  </w:pPr>
                  <w:r>
                    <w:rPr>
                      <w:rFonts w:hint="eastAsia"/>
                      <w:b/>
                      <w:bCs/>
                      <w:szCs w:val="21"/>
                      <w:highlight w:val="none"/>
                    </w:rPr>
                    <w:t>排污节点</w:t>
                  </w:r>
                </w:p>
              </w:tc>
              <w:tc>
                <w:tcPr>
                  <w:tcW w:w="638" w:type="pct"/>
                  <w:tcBorders>
                    <w:top w:val="single" w:color="auto" w:sz="4" w:space="0"/>
                    <w:left w:val="single" w:color="auto" w:sz="4" w:space="0"/>
                    <w:bottom w:val="single" w:color="auto" w:sz="4" w:space="0"/>
                    <w:right w:val="single" w:color="auto" w:sz="4" w:space="0"/>
                  </w:tcBorders>
                  <w:vAlign w:val="center"/>
                </w:tcPr>
                <w:p w14:paraId="1029E291">
                  <w:pPr>
                    <w:jc w:val="center"/>
                    <w:rPr>
                      <w:b/>
                      <w:bCs/>
                      <w:szCs w:val="21"/>
                      <w:highlight w:val="none"/>
                    </w:rPr>
                  </w:pPr>
                  <w:r>
                    <w:rPr>
                      <w:rFonts w:hint="eastAsia"/>
                      <w:b/>
                      <w:bCs/>
                      <w:szCs w:val="21"/>
                      <w:highlight w:val="none"/>
                    </w:rPr>
                    <w:t>污染物</w:t>
                  </w:r>
                </w:p>
              </w:tc>
              <w:tc>
                <w:tcPr>
                  <w:tcW w:w="768" w:type="pct"/>
                  <w:tcBorders>
                    <w:top w:val="single" w:color="auto" w:sz="4" w:space="0"/>
                    <w:left w:val="single" w:color="auto" w:sz="4" w:space="0"/>
                    <w:bottom w:val="single" w:color="auto" w:sz="4" w:space="0"/>
                    <w:right w:val="single" w:color="auto" w:sz="4" w:space="0"/>
                  </w:tcBorders>
                  <w:vAlign w:val="center"/>
                </w:tcPr>
                <w:p w14:paraId="31E5889A">
                  <w:pPr>
                    <w:jc w:val="center"/>
                    <w:rPr>
                      <w:rFonts w:eastAsiaTheme="minorEastAsia"/>
                      <w:b/>
                      <w:bCs/>
                      <w:szCs w:val="21"/>
                      <w:highlight w:val="none"/>
                    </w:rPr>
                  </w:pPr>
                  <w:r>
                    <w:rPr>
                      <w:rFonts w:hint="eastAsia"/>
                      <w:b/>
                      <w:bCs/>
                      <w:szCs w:val="21"/>
                      <w:highlight w:val="none"/>
                    </w:rPr>
                    <w:t>污染因子</w:t>
                  </w:r>
                </w:p>
              </w:tc>
              <w:tc>
                <w:tcPr>
                  <w:tcW w:w="403" w:type="pct"/>
                  <w:tcBorders>
                    <w:top w:val="single" w:color="auto" w:sz="4" w:space="0"/>
                    <w:left w:val="single" w:color="auto" w:sz="4" w:space="0"/>
                    <w:bottom w:val="single" w:color="auto" w:sz="4" w:space="0"/>
                    <w:right w:val="single" w:color="auto" w:sz="4" w:space="0"/>
                  </w:tcBorders>
                  <w:vAlign w:val="center"/>
                </w:tcPr>
                <w:p w14:paraId="4DB65110">
                  <w:pPr>
                    <w:jc w:val="center"/>
                    <w:rPr>
                      <w:b/>
                      <w:bCs/>
                      <w:szCs w:val="21"/>
                      <w:highlight w:val="none"/>
                    </w:rPr>
                  </w:pPr>
                  <w:r>
                    <w:rPr>
                      <w:rFonts w:hint="eastAsia"/>
                      <w:b/>
                      <w:bCs/>
                      <w:szCs w:val="21"/>
                      <w:highlight w:val="none"/>
                    </w:rPr>
                    <w:t>产生特征</w:t>
                  </w:r>
                </w:p>
              </w:tc>
              <w:tc>
                <w:tcPr>
                  <w:tcW w:w="1823" w:type="pct"/>
                  <w:tcBorders>
                    <w:top w:val="single" w:color="auto" w:sz="4" w:space="0"/>
                    <w:left w:val="single" w:color="auto" w:sz="4" w:space="0"/>
                    <w:bottom w:val="single" w:color="auto" w:sz="4" w:space="0"/>
                    <w:right w:val="single" w:color="auto" w:sz="4" w:space="0"/>
                  </w:tcBorders>
                  <w:vAlign w:val="center"/>
                </w:tcPr>
                <w:p w14:paraId="6650B9D6">
                  <w:pPr>
                    <w:jc w:val="center"/>
                    <w:rPr>
                      <w:b/>
                      <w:bCs/>
                      <w:szCs w:val="21"/>
                      <w:highlight w:val="none"/>
                    </w:rPr>
                  </w:pPr>
                  <w:r>
                    <w:rPr>
                      <w:rFonts w:hint="eastAsia"/>
                      <w:b/>
                      <w:bCs/>
                      <w:szCs w:val="21"/>
                      <w:highlight w:val="none"/>
                    </w:rPr>
                    <w:t>保护措施</w:t>
                  </w:r>
                </w:p>
              </w:tc>
            </w:tr>
            <w:tr w14:paraId="3F11D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jc w:val="center"/>
              </w:trPr>
              <w:tc>
                <w:tcPr>
                  <w:tcW w:w="265" w:type="pct"/>
                  <w:tcBorders>
                    <w:top w:val="single" w:color="auto" w:sz="4" w:space="0"/>
                    <w:left w:val="single" w:color="auto" w:sz="4" w:space="0"/>
                    <w:bottom w:val="single" w:color="auto" w:sz="4" w:space="0"/>
                    <w:right w:val="single" w:color="auto" w:sz="4" w:space="0"/>
                  </w:tcBorders>
                  <w:vAlign w:val="center"/>
                </w:tcPr>
                <w:p w14:paraId="1EA533C1">
                  <w:pPr>
                    <w:jc w:val="center"/>
                    <w:rPr>
                      <w:szCs w:val="21"/>
                      <w:highlight w:val="none"/>
                    </w:rPr>
                  </w:pPr>
                  <w:r>
                    <w:rPr>
                      <w:rFonts w:hint="eastAsia"/>
                      <w:szCs w:val="21"/>
                      <w:highlight w:val="none"/>
                    </w:rPr>
                    <w:t>废气</w:t>
                  </w:r>
                </w:p>
              </w:tc>
              <w:tc>
                <w:tcPr>
                  <w:tcW w:w="495" w:type="pct"/>
                  <w:tcBorders>
                    <w:top w:val="single" w:color="auto" w:sz="4" w:space="0"/>
                    <w:left w:val="single" w:color="auto" w:sz="4" w:space="0"/>
                    <w:bottom w:val="single" w:color="auto" w:sz="4" w:space="0"/>
                    <w:right w:val="single" w:color="auto" w:sz="4" w:space="0"/>
                  </w:tcBorders>
                  <w:vAlign w:val="center"/>
                </w:tcPr>
                <w:p w14:paraId="42BF368D">
                  <w:pPr>
                    <w:jc w:val="center"/>
                    <w:rPr>
                      <w:szCs w:val="21"/>
                      <w:highlight w:val="none"/>
                    </w:rPr>
                  </w:pPr>
                  <w:r>
                    <w:rPr>
                      <w:szCs w:val="21"/>
                      <w:highlight w:val="none"/>
                    </w:rPr>
                    <w:t>G1</w:t>
                  </w:r>
                </w:p>
              </w:tc>
              <w:tc>
                <w:tcPr>
                  <w:tcW w:w="606" w:type="pct"/>
                  <w:tcBorders>
                    <w:top w:val="single" w:color="auto" w:sz="4" w:space="0"/>
                    <w:left w:val="single" w:color="auto" w:sz="4" w:space="0"/>
                    <w:bottom w:val="single" w:color="auto" w:sz="4" w:space="0"/>
                    <w:right w:val="single" w:color="auto" w:sz="4" w:space="0"/>
                  </w:tcBorders>
                  <w:vAlign w:val="center"/>
                </w:tcPr>
                <w:p w14:paraId="3C9C84FB">
                  <w:pPr>
                    <w:jc w:val="center"/>
                    <w:rPr>
                      <w:rFonts w:hint="default" w:eastAsia="宋体"/>
                      <w:szCs w:val="21"/>
                      <w:highlight w:val="none"/>
                      <w:lang w:val="en-US" w:eastAsia="zh-CN"/>
                    </w:rPr>
                  </w:pPr>
                  <w:r>
                    <w:rPr>
                      <w:rFonts w:hint="eastAsia"/>
                      <w:szCs w:val="21"/>
                      <w:highlight w:val="none"/>
                      <w:lang w:val="en-US" w:eastAsia="zh-CN"/>
                    </w:rPr>
                    <w:t>沼气锅炉</w:t>
                  </w:r>
                </w:p>
              </w:tc>
              <w:tc>
                <w:tcPr>
                  <w:tcW w:w="638" w:type="pct"/>
                  <w:tcBorders>
                    <w:top w:val="single" w:color="auto" w:sz="4" w:space="0"/>
                    <w:left w:val="single" w:color="auto" w:sz="4" w:space="0"/>
                    <w:bottom w:val="single" w:color="auto" w:sz="4" w:space="0"/>
                    <w:right w:val="single" w:color="auto" w:sz="4" w:space="0"/>
                  </w:tcBorders>
                  <w:vAlign w:val="center"/>
                </w:tcPr>
                <w:p w14:paraId="5BA66F24">
                  <w:pPr>
                    <w:jc w:val="center"/>
                    <w:rPr>
                      <w:rFonts w:hint="default" w:eastAsia="宋体"/>
                      <w:szCs w:val="21"/>
                      <w:highlight w:val="none"/>
                      <w:lang w:val="en-US" w:eastAsia="zh-CN"/>
                    </w:rPr>
                  </w:pPr>
                  <w:r>
                    <w:rPr>
                      <w:rFonts w:hint="eastAsia"/>
                      <w:szCs w:val="21"/>
                      <w:highlight w:val="none"/>
                      <w:lang w:val="en-US" w:eastAsia="zh-CN"/>
                    </w:rPr>
                    <w:t>锅炉废气</w:t>
                  </w:r>
                </w:p>
              </w:tc>
              <w:tc>
                <w:tcPr>
                  <w:tcW w:w="768" w:type="pct"/>
                  <w:tcBorders>
                    <w:top w:val="single" w:color="auto" w:sz="4" w:space="0"/>
                    <w:left w:val="single" w:color="auto" w:sz="4" w:space="0"/>
                    <w:bottom w:val="single" w:color="auto" w:sz="4" w:space="0"/>
                    <w:right w:val="single" w:color="auto" w:sz="4" w:space="0"/>
                  </w:tcBorders>
                  <w:vAlign w:val="center"/>
                </w:tcPr>
                <w:p w14:paraId="1B02AFBE">
                  <w:pPr>
                    <w:jc w:val="center"/>
                    <w:rPr>
                      <w:rFonts w:hint="default" w:eastAsia="宋体"/>
                      <w:szCs w:val="21"/>
                      <w:highlight w:val="none"/>
                      <w:lang w:val="en-US" w:eastAsia="zh-CN"/>
                    </w:rPr>
                  </w:pPr>
                  <w:r>
                    <w:rPr>
                      <w:rFonts w:hint="eastAsia"/>
                      <w:szCs w:val="21"/>
                      <w:highlight w:val="none"/>
                    </w:rPr>
                    <w:t>颗粒物</w:t>
                  </w:r>
                  <w:r>
                    <w:rPr>
                      <w:rFonts w:hint="eastAsia"/>
                      <w:szCs w:val="21"/>
                      <w:highlight w:val="none"/>
                      <w:lang w:eastAsia="zh-CN"/>
                    </w:rPr>
                    <w:t>、</w:t>
                  </w:r>
                  <w:r>
                    <w:rPr>
                      <w:rFonts w:hint="eastAsia"/>
                      <w:szCs w:val="21"/>
                      <w:highlight w:val="none"/>
                      <w:lang w:val="en-US" w:eastAsia="zh-CN"/>
                    </w:rPr>
                    <w:t>二氧化硫、氮氧化物、烟气黑度</w:t>
                  </w:r>
                </w:p>
              </w:tc>
              <w:tc>
                <w:tcPr>
                  <w:tcW w:w="403" w:type="pct"/>
                  <w:tcBorders>
                    <w:top w:val="single" w:color="auto" w:sz="4" w:space="0"/>
                    <w:left w:val="single" w:color="auto" w:sz="4" w:space="0"/>
                    <w:bottom w:val="single" w:color="auto" w:sz="4" w:space="0"/>
                    <w:right w:val="single" w:color="auto" w:sz="4" w:space="0"/>
                  </w:tcBorders>
                  <w:vAlign w:val="center"/>
                </w:tcPr>
                <w:p w14:paraId="511CC292">
                  <w:pPr>
                    <w:jc w:val="center"/>
                    <w:rPr>
                      <w:szCs w:val="21"/>
                      <w:highlight w:val="none"/>
                    </w:rPr>
                  </w:pPr>
                  <w:r>
                    <w:rPr>
                      <w:rFonts w:hint="eastAsia"/>
                      <w:szCs w:val="21"/>
                      <w:highlight w:val="none"/>
                    </w:rPr>
                    <w:t>间断</w:t>
                  </w:r>
                </w:p>
              </w:tc>
              <w:tc>
                <w:tcPr>
                  <w:tcW w:w="1823" w:type="pct"/>
                  <w:tcBorders>
                    <w:top w:val="single" w:color="auto" w:sz="4" w:space="0"/>
                    <w:left w:val="single" w:color="auto" w:sz="4" w:space="0"/>
                    <w:bottom w:val="single" w:color="auto" w:sz="4" w:space="0"/>
                    <w:right w:val="single" w:color="auto" w:sz="4" w:space="0"/>
                  </w:tcBorders>
                  <w:vAlign w:val="center"/>
                </w:tcPr>
                <w:p w14:paraId="488F5DE4">
                  <w:pPr>
                    <w:widowControl/>
                    <w:snapToGrid w:val="0"/>
                    <w:jc w:val="center"/>
                    <w:rPr>
                      <w:rFonts w:hint="default" w:eastAsia="宋体"/>
                      <w:szCs w:val="21"/>
                      <w:highlight w:val="none"/>
                      <w:lang w:val="en-US" w:eastAsia="zh-CN"/>
                    </w:rPr>
                  </w:pPr>
                  <w:r>
                    <w:rPr>
                      <w:rFonts w:hint="eastAsia" w:ascii="Times New Roman" w:hAnsi="Times New Roman" w:eastAsia="宋体" w:cs="Times New Roman"/>
                      <w:color w:val="auto"/>
                      <w:highlight w:val="none"/>
                      <w:lang w:val="en-US" w:eastAsia="zh-CN"/>
                    </w:rPr>
                    <w:t>经低氮燃烧器处理后由</w:t>
                  </w:r>
                  <w:r>
                    <w:rPr>
                      <w:rFonts w:ascii="Times New Roman" w:hAnsi="Times New Roman" w:eastAsia="宋体" w:cs="Times New Roman"/>
                      <w:color w:val="auto"/>
                      <w:highlight w:val="none"/>
                    </w:rPr>
                    <w:t>一根</w:t>
                  </w:r>
                  <w:r>
                    <w:rPr>
                      <w:rFonts w:hint="eastAsia" w:cs="Times New Roman"/>
                      <w:color w:val="auto"/>
                      <w:highlight w:val="none"/>
                      <w:lang w:val="en-US" w:eastAsia="zh-CN"/>
                    </w:rPr>
                    <w:t>15</w:t>
                  </w:r>
                  <w:r>
                    <w:rPr>
                      <w:rFonts w:ascii="Times New Roman" w:hAnsi="Times New Roman" w:eastAsia="宋体" w:cs="Times New Roman"/>
                      <w:color w:val="auto"/>
                      <w:highlight w:val="none"/>
                    </w:rPr>
                    <w:t>m高的烟筒（DA001）排</w:t>
                  </w:r>
                  <w:r>
                    <w:rPr>
                      <w:color w:val="auto"/>
                      <w:highlight w:val="none"/>
                    </w:rPr>
                    <w:t>放</w:t>
                  </w:r>
                </w:p>
              </w:tc>
            </w:tr>
            <w:tr w14:paraId="70C75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6" w:hRule="atLeast"/>
                <w:jc w:val="center"/>
              </w:trPr>
              <w:tc>
                <w:tcPr>
                  <w:tcW w:w="265" w:type="pct"/>
                  <w:vMerge w:val="restart"/>
                  <w:tcBorders>
                    <w:top w:val="single" w:color="auto" w:sz="4" w:space="0"/>
                    <w:left w:val="single" w:color="auto" w:sz="4" w:space="0"/>
                    <w:bottom w:val="single" w:color="auto" w:sz="4" w:space="0"/>
                    <w:right w:val="single" w:color="auto" w:sz="4" w:space="0"/>
                  </w:tcBorders>
                  <w:vAlign w:val="center"/>
                </w:tcPr>
                <w:p w14:paraId="448D59A0">
                  <w:pPr>
                    <w:jc w:val="center"/>
                    <w:rPr>
                      <w:szCs w:val="21"/>
                      <w:highlight w:val="none"/>
                    </w:rPr>
                  </w:pPr>
                  <w:r>
                    <w:rPr>
                      <w:rFonts w:hint="eastAsia"/>
                      <w:szCs w:val="21"/>
                      <w:highlight w:val="none"/>
                    </w:rPr>
                    <w:t>废水</w:t>
                  </w:r>
                </w:p>
              </w:tc>
              <w:tc>
                <w:tcPr>
                  <w:tcW w:w="495" w:type="pct"/>
                  <w:tcBorders>
                    <w:top w:val="single" w:color="auto" w:sz="4" w:space="0"/>
                    <w:left w:val="single" w:color="auto" w:sz="4" w:space="0"/>
                    <w:bottom w:val="single" w:color="auto" w:sz="4" w:space="0"/>
                    <w:right w:val="single" w:color="auto" w:sz="4" w:space="0"/>
                  </w:tcBorders>
                  <w:vAlign w:val="center"/>
                </w:tcPr>
                <w:p w14:paraId="7DB43699">
                  <w:pPr>
                    <w:jc w:val="center"/>
                    <w:rPr>
                      <w:szCs w:val="21"/>
                      <w:highlight w:val="none"/>
                    </w:rPr>
                  </w:pPr>
                  <w:r>
                    <w:rPr>
                      <w:szCs w:val="21"/>
                      <w:highlight w:val="none"/>
                    </w:rPr>
                    <w:t>W1</w:t>
                  </w:r>
                </w:p>
              </w:tc>
              <w:tc>
                <w:tcPr>
                  <w:tcW w:w="606" w:type="pct"/>
                  <w:tcBorders>
                    <w:top w:val="single" w:color="auto" w:sz="4" w:space="0"/>
                    <w:left w:val="single" w:color="auto" w:sz="4" w:space="0"/>
                    <w:bottom w:val="single" w:color="auto" w:sz="4" w:space="0"/>
                    <w:right w:val="single" w:color="auto" w:sz="4" w:space="0"/>
                  </w:tcBorders>
                  <w:shd w:val="clear" w:color="auto" w:fill="auto"/>
                  <w:vAlign w:val="center"/>
                </w:tcPr>
                <w:p w14:paraId="059F85DE">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锅炉</w:t>
                  </w:r>
                </w:p>
              </w:tc>
              <w:tc>
                <w:tcPr>
                  <w:tcW w:w="638" w:type="pct"/>
                  <w:tcBorders>
                    <w:top w:val="single" w:color="auto" w:sz="4" w:space="0"/>
                    <w:left w:val="single" w:color="auto" w:sz="4" w:space="0"/>
                    <w:bottom w:val="single" w:color="auto" w:sz="4" w:space="0"/>
                    <w:right w:val="single" w:color="auto" w:sz="4" w:space="0"/>
                  </w:tcBorders>
                  <w:shd w:val="clear" w:color="auto" w:fill="auto"/>
                  <w:vAlign w:val="center"/>
                </w:tcPr>
                <w:p w14:paraId="53DF59E8">
                  <w:pPr>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锅炉排水</w:t>
                  </w:r>
                </w:p>
              </w:tc>
              <w:tc>
                <w:tcPr>
                  <w:tcW w:w="768" w:type="pct"/>
                  <w:tcBorders>
                    <w:top w:val="single" w:color="auto" w:sz="4" w:space="0"/>
                    <w:left w:val="single" w:color="auto" w:sz="4" w:space="0"/>
                    <w:bottom w:val="single" w:color="auto" w:sz="4" w:space="0"/>
                    <w:right w:val="single" w:color="auto" w:sz="4" w:space="0"/>
                  </w:tcBorders>
                  <w:shd w:val="clear" w:color="auto" w:fill="auto"/>
                  <w:vAlign w:val="center"/>
                </w:tcPr>
                <w:p w14:paraId="3A890554">
                  <w:pPr>
                    <w:jc w:val="center"/>
                    <w:rPr>
                      <w:rFonts w:ascii="Times New Roman" w:hAnsi="Times New Roman" w:eastAsia="宋体" w:cs="Times New Roman"/>
                      <w:kern w:val="2"/>
                      <w:sz w:val="21"/>
                      <w:szCs w:val="21"/>
                      <w:highlight w:val="none"/>
                      <w:lang w:val="en-US" w:eastAsia="zh-CN" w:bidi="ar-SA"/>
                    </w:rPr>
                  </w:pPr>
                  <w:r>
                    <w:rPr>
                      <w:rFonts w:hint="eastAsia"/>
                      <w:szCs w:val="21"/>
                      <w:highlight w:val="none"/>
                    </w:rPr>
                    <w:t>pH、COD、SS、过饱和的亚硫酸盐、硫酸盐</w:t>
                  </w:r>
                </w:p>
              </w:tc>
              <w:tc>
                <w:tcPr>
                  <w:tcW w:w="403" w:type="pct"/>
                  <w:tcBorders>
                    <w:top w:val="single" w:color="auto" w:sz="4" w:space="0"/>
                    <w:left w:val="single" w:color="auto" w:sz="4" w:space="0"/>
                    <w:bottom w:val="single" w:color="auto" w:sz="4" w:space="0"/>
                    <w:right w:val="single" w:color="auto" w:sz="4" w:space="0"/>
                  </w:tcBorders>
                  <w:shd w:val="clear" w:color="auto" w:fill="auto"/>
                  <w:vAlign w:val="center"/>
                </w:tcPr>
                <w:p w14:paraId="359E3E82">
                  <w:pPr>
                    <w:jc w:val="center"/>
                    <w:rPr>
                      <w:rFonts w:ascii="Times New Roman" w:hAnsi="Times New Roman" w:cs="Times New Roman" w:eastAsiaTheme="minorEastAsia"/>
                      <w:kern w:val="2"/>
                      <w:sz w:val="21"/>
                      <w:szCs w:val="21"/>
                      <w:highlight w:val="none"/>
                      <w:lang w:val="en-US" w:eastAsia="zh-CN" w:bidi="ar-SA"/>
                    </w:rPr>
                  </w:pPr>
                  <w:r>
                    <w:rPr>
                      <w:rFonts w:hint="eastAsia"/>
                      <w:szCs w:val="21"/>
                      <w:highlight w:val="none"/>
                    </w:rPr>
                    <w:t>间断</w:t>
                  </w:r>
                </w:p>
              </w:tc>
              <w:tc>
                <w:tcPr>
                  <w:tcW w:w="1823" w:type="pct"/>
                  <w:vMerge w:val="restart"/>
                  <w:tcBorders>
                    <w:top w:val="single" w:color="auto" w:sz="4" w:space="0"/>
                    <w:left w:val="single" w:color="auto" w:sz="4" w:space="0"/>
                    <w:right w:val="single" w:color="auto" w:sz="4" w:space="0"/>
                  </w:tcBorders>
                  <w:vAlign w:val="center"/>
                </w:tcPr>
                <w:p w14:paraId="12D0D6A6">
                  <w:pPr>
                    <w:widowControl/>
                    <w:snapToGrid w:val="0"/>
                    <w:jc w:val="center"/>
                    <w:rPr>
                      <w:rFonts w:hint="default" w:eastAsia="宋体"/>
                      <w:szCs w:val="21"/>
                      <w:highlight w:val="none"/>
                      <w:lang w:val="en-US" w:eastAsia="zh-CN"/>
                    </w:rPr>
                  </w:pPr>
                  <w:r>
                    <w:rPr>
                      <w:rFonts w:hint="eastAsia"/>
                      <w:szCs w:val="21"/>
                      <w:highlight w:val="none"/>
                      <w:lang w:val="en-US" w:eastAsia="zh-CN"/>
                    </w:rPr>
                    <w:t>排入承德泓辉双合淀粉有限公司污水处理站处理满足《城镇污水处理厂污染物排放标准》（GB18918-2002）表1中一级A标准后排入蚁蚂吐河</w:t>
                  </w:r>
                </w:p>
              </w:tc>
            </w:tr>
            <w:tr w14:paraId="3EA36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8" w:hRule="atLeast"/>
                <w:jc w:val="center"/>
              </w:trPr>
              <w:tc>
                <w:tcPr>
                  <w:tcW w:w="265" w:type="pct"/>
                  <w:vMerge w:val="continue"/>
                  <w:tcBorders>
                    <w:top w:val="single" w:color="auto" w:sz="4" w:space="0"/>
                    <w:left w:val="single" w:color="auto" w:sz="4" w:space="0"/>
                    <w:bottom w:val="single" w:color="auto" w:sz="4" w:space="0"/>
                    <w:right w:val="single" w:color="auto" w:sz="4" w:space="0"/>
                  </w:tcBorders>
                  <w:vAlign w:val="center"/>
                </w:tcPr>
                <w:p w14:paraId="2A00B2AD">
                  <w:pPr>
                    <w:jc w:val="center"/>
                    <w:rPr>
                      <w:rFonts w:eastAsiaTheme="minorEastAsia"/>
                      <w:szCs w:val="21"/>
                      <w:highlight w:val="none"/>
                    </w:rPr>
                  </w:pPr>
                </w:p>
              </w:tc>
              <w:tc>
                <w:tcPr>
                  <w:tcW w:w="495" w:type="pct"/>
                  <w:tcBorders>
                    <w:top w:val="single" w:color="auto" w:sz="4" w:space="0"/>
                    <w:left w:val="single" w:color="auto" w:sz="4" w:space="0"/>
                    <w:bottom w:val="single" w:color="auto" w:sz="4" w:space="0"/>
                    <w:right w:val="single" w:color="auto" w:sz="4" w:space="0"/>
                  </w:tcBorders>
                  <w:vAlign w:val="center"/>
                </w:tcPr>
                <w:p w14:paraId="77D34F1E">
                  <w:pPr>
                    <w:jc w:val="center"/>
                    <w:rPr>
                      <w:rFonts w:hint="default" w:eastAsia="宋体"/>
                      <w:szCs w:val="21"/>
                      <w:highlight w:val="none"/>
                      <w:lang w:val="en-US" w:eastAsia="zh-CN"/>
                    </w:rPr>
                  </w:pPr>
                  <w:r>
                    <w:rPr>
                      <w:rFonts w:hint="eastAsia"/>
                      <w:szCs w:val="21"/>
                      <w:highlight w:val="none"/>
                      <w:lang w:val="en-US" w:eastAsia="zh-CN"/>
                    </w:rPr>
                    <w:t>W2</w:t>
                  </w:r>
                </w:p>
              </w:tc>
              <w:tc>
                <w:tcPr>
                  <w:tcW w:w="606" w:type="pct"/>
                  <w:tcBorders>
                    <w:top w:val="single" w:color="auto" w:sz="4" w:space="0"/>
                    <w:left w:val="single" w:color="auto" w:sz="4" w:space="0"/>
                    <w:bottom w:val="single" w:color="auto" w:sz="4" w:space="0"/>
                    <w:right w:val="single" w:color="auto" w:sz="4" w:space="0"/>
                  </w:tcBorders>
                  <w:shd w:val="clear" w:color="auto" w:fill="auto"/>
                  <w:vAlign w:val="center"/>
                </w:tcPr>
                <w:p w14:paraId="008F1B8D">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rPr>
                    <w:t>软化水制备</w:t>
                  </w:r>
                </w:p>
              </w:tc>
              <w:tc>
                <w:tcPr>
                  <w:tcW w:w="638" w:type="pct"/>
                  <w:tcBorders>
                    <w:top w:val="single" w:color="auto" w:sz="4" w:space="0"/>
                    <w:left w:val="single" w:color="auto" w:sz="4" w:space="0"/>
                    <w:bottom w:val="single" w:color="auto" w:sz="4" w:space="0"/>
                    <w:right w:val="single" w:color="auto" w:sz="4" w:space="0"/>
                  </w:tcBorders>
                  <w:shd w:val="clear" w:color="auto" w:fill="auto"/>
                  <w:vAlign w:val="center"/>
                </w:tcPr>
                <w:p w14:paraId="0D20A833">
                  <w:pPr>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rPr>
                    <w:t>软化水制备</w:t>
                  </w:r>
                </w:p>
              </w:tc>
              <w:tc>
                <w:tcPr>
                  <w:tcW w:w="768" w:type="pct"/>
                  <w:tcBorders>
                    <w:top w:val="single" w:color="auto" w:sz="4" w:space="0"/>
                    <w:left w:val="single" w:color="auto" w:sz="4" w:space="0"/>
                    <w:bottom w:val="single" w:color="auto" w:sz="4" w:space="0"/>
                    <w:right w:val="single" w:color="auto" w:sz="4" w:space="0"/>
                  </w:tcBorders>
                  <w:shd w:val="clear" w:color="auto" w:fill="auto"/>
                  <w:vAlign w:val="center"/>
                </w:tcPr>
                <w:p w14:paraId="38E153F1">
                  <w:pPr>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rPr>
                    <w:t>pH、COD、SS、总硬度</w:t>
                  </w:r>
                </w:p>
              </w:tc>
              <w:tc>
                <w:tcPr>
                  <w:tcW w:w="403" w:type="pct"/>
                  <w:tcBorders>
                    <w:top w:val="single" w:color="auto" w:sz="4" w:space="0"/>
                    <w:left w:val="single" w:color="auto" w:sz="4" w:space="0"/>
                    <w:bottom w:val="single" w:color="auto" w:sz="4" w:space="0"/>
                    <w:right w:val="single" w:color="auto" w:sz="4" w:space="0"/>
                  </w:tcBorders>
                  <w:shd w:val="clear" w:color="auto" w:fill="auto"/>
                  <w:vAlign w:val="center"/>
                </w:tcPr>
                <w:p w14:paraId="375E185C">
                  <w:pPr>
                    <w:jc w:val="center"/>
                    <w:rPr>
                      <w:rFonts w:ascii="Times New Roman" w:hAnsi="Times New Roman" w:cs="Times New Roman" w:eastAsiaTheme="minorEastAsia"/>
                      <w:kern w:val="2"/>
                      <w:sz w:val="21"/>
                      <w:szCs w:val="21"/>
                      <w:highlight w:val="none"/>
                      <w:lang w:val="en-US" w:eastAsia="zh-CN" w:bidi="ar-SA"/>
                    </w:rPr>
                  </w:pPr>
                  <w:r>
                    <w:rPr>
                      <w:rFonts w:hint="eastAsia"/>
                      <w:szCs w:val="21"/>
                      <w:highlight w:val="none"/>
                    </w:rPr>
                    <w:t>间断</w:t>
                  </w:r>
                </w:p>
              </w:tc>
              <w:tc>
                <w:tcPr>
                  <w:tcW w:w="1823" w:type="pct"/>
                  <w:vMerge w:val="continue"/>
                  <w:tcBorders>
                    <w:left w:val="single" w:color="auto" w:sz="4" w:space="0"/>
                    <w:right w:val="single" w:color="auto" w:sz="4" w:space="0"/>
                  </w:tcBorders>
                  <w:vAlign w:val="center"/>
                </w:tcPr>
                <w:p w14:paraId="2FD94E73">
                  <w:pPr>
                    <w:widowControl/>
                    <w:snapToGrid w:val="0"/>
                    <w:jc w:val="center"/>
                    <w:rPr>
                      <w:szCs w:val="21"/>
                      <w:highlight w:val="none"/>
                    </w:rPr>
                  </w:pPr>
                </w:p>
              </w:tc>
            </w:tr>
            <w:tr w14:paraId="376FC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5" w:type="pct"/>
                  <w:tcBorders>
                    <w:top w:val="single" w:color="auto" w:sz="4" w:space="0"/>
                    <w:left w:val="single" w:color="auto" w:sz="4" w:space="0"/>
                    <w:bottom w:val="single" w:color="auto" w:sz="4" w:space="0"/>
                    <w:right w:val="single" w:color="auto" w:sz="4" w:space="0"/>
                  </w:tcBorders>
                  <w:vAlign w:val="center"/>
                </w:tcPr>
                <w:p w14:paraId="3A7E7EBF">
                  <w:pPr>
                    <w:jc w:val="center"/>
                    <w:rPr>
                      <w:szCs w:val="21"/>
                      <w:highlight w:val="none"/>
                    </w:rPr>
                  </w:pPr>
                  <w:r>
                    <w:rPr>
                      <w:rFonts w:hint="eastAsia"/>
                      <w:szCs w:val="21"/>
                      <w:highlight w:val="none"/>
                    </w:rPr>
                    <w:t>噪声</w:t>
                  </w:r>
                </w:p>
              </w:tc>
              <w:tc>
                <w:tcPr>
                  <w:tcW w:w="495" w:type="pct"/>
                  <w:tcBorders>
                    <w:top w:val="single" w:color="auto" w:sz="4" w:space="0"/>
                    <w:left w:val="single" w:color="auto" w:sz="4" w:space="0"/>
                    <w:bottom w:val="single" w:color="auto" w:sz="4" w:space="0"/>
                    <w:right w:val="single" w:color="auto" w:sz="4" w:space="0"/>
                  </w:tcBorders>
                  <w:vAlign w:val="center"/>
                </w:tcPr>
                <w:p w14:paraId="21D14A64">
                  <w:pPr>
                    <w:jc w:val="center"/>
                    <w:rPr>
                      <w:rFonts w:hint="eastAsia" w:eastAsia="宋体"/>
                      <w:szCs w:val="21"/>
                      <w:highlight w:val="none"/>
                      <w:lang w:val="en-US" w:eastAsia="zh-CN"/>
                    </w:rPr>
                  </w:pPr>
                  <w:r>
                    <w:rPr>
                      <w:szCs w:val="21"/>
                      <w:highlight w:val="none"/>
                    </w:rPr>
                    <w:t>N1-N</w:t>
                  </w:r>
                  <w:r>
                    <w:rPr>
                      <w:rFonts w:hint="eastAsia"/>
                      <w:szCs w:val="21"/>
                      <w:highlight w:val="none"/>
                      <w:lang w:val="en-US" w:eastAsia="zh-CN"/>
                    </w:rPr>
                    <w:t>3</w:t>
                  </w:r>
                </w:p>
              </w:tc>
              <w:tc>
                <w:tcPr>
                  <w:tcW w:w="606" w:type="pct"/>
                  <w:tcBorders>
                    <w:top w:val="single" w:color="auto" w:sz="4" w:space="0"/>
                    <w:left w:val="single" w:color="auto" w:sz="4" w:space="0"/>
                    <w:bottom w:val="single" w:color="auto" w:sz="4" w:space="0"/>
                    <w:right w:val="single" w:color="auto" w:sz="4" w:space="0"/>
                  </w:tcBorders>
                  <w:vAlign w:val="center"/>
                </w:tcPr>
                <w:p w14:paraId="751FB278">
                  <w:pPr>
                    <w:jc w:val="center"/>
                    <w:rPr>
                      <w:szCs w:val="21"/>
                      <w:highlight w:val="none"/>
                    </w:rPr>
                  </w:pPr>
                  <w:r>
                    <w:rPr>
                      <w:rFonts w:hint="eastAsia"/>
                      <w:szCs w:val="21"/>
                      <w:highlight w:val="none"/>
                    </w:rPr>
                    <w:t>生产设备</w:t>
                  </w:r>
                </w:p>
              </w:tc>
              <w:tc>
                <w:tcPr>
                  <w:tcW w:w="638" w:type="pct"/>
                  <w:tcBorders>
                    <w:top w:val="single" w:color="auto" w:sz="4" w:space="0"/>
                    <w:left w:val="single" w:color="auto" w:sz="4" w:space="0"/>
                    <w:bottom w:val="single" w:color="auto" w:sz="4" w:space="0"/>
                    <w:right w:val="single" w:color="auto" w:sz="4" w:space="0"/>
                  </w:tcBorders>
                  <w:vAlign w:val="center"/>
                </w:tcPr>
                <w:p w14:paraId="5C0EA51F">
                  <w:pPr>
                    <w:jc w:val="center"/>
                    <w:rPr>
                      <w:szCs w:val="21"/>
                      <w:highlight w:val="none"/>
                    </w:rPr>
                  </w:pPr>
                  <w:r>
                    <w:rPr>
                      <w:rFonts w:hint="eastAsia"/>
                      <w:szCs w:val="21"/>
                      <w:highlight w:val="none"/>
                    </w:rPr>
                    <w:t>噪声</w:t>
                  </w:r>
                </w:p>
              </w:tc>
              <w:tc>
                <w:tcPr>
                  <w:tcW w:w="768" w:type="pct"/>
                  <w:tcBorders>
                    <w:top w:val="single" w:color="auto" w:sz="4" w:space="0"/>
                    <w:left w:val="single" w:color="auto" w:sz="4" w:space="0"/>
                    <w:bottom w:val="single" w:color="auto" w:sz="4" w:space="0"/>
                    <w:right w:val="single" w:color="auto" w:sz="4" w:space="0"/>
                  </w:tcBorders>
                  <w:vAlign w:val="center"/>
                </w:tcPr>
                <w:p w14:paraId="38E17619">
                  <w:pPr>
                    <w:jc w:val="center"/>
                    <w:rPr>
                      <w:szCs w:val="21"/>
                      <w:highlight w:val="none"/>
                    </w:rPr>
                  </w:pPr>
                  <w:r>
                    <w:rPr>
                      <w:rFonts w:hint="eastAsia"/>
                      <w:szCs w:val="21"/>
                      <w:highlight w:val="none"/>
                    </w:rPr>
                    <w:t>噪声</w:t>
                  </w:r>
                </w:p>
              </w:tc>
              <w:tc>
                <w:tcPr>
                  <w:tcW w:w="403" w:type="pct"/>
                  <w:tcBorders>
                    <w:top w:val="single" w:color="auto" w:sz="4" w:space="0"/>
                    <w:left w:val="single" w:color="auto" w:sz="4" w:space="0"/>
                    <w:bottom w:val="single" w:color="auto" w:sz="4" w:space="0"/>
                    <w:right w:val="single" w:color="auto" w:sz="4" w:space="0"/>
                  </w:tcBorders>
                  <w:vAlign w:val="center"/>
                </w:tcPr>
                <w:p w14:paraId="3C7C5CC6">
                  <w:pPr>
                    <w:jc w:val="center"/>
                    <w:rPr>
                      <w:rFonts w:eastAsiaTheme="minorEastAsia"/>
                      <w:szCs w:val="21"/>
                      <w:highlight w:val="none"/>
                    </w:rPr>
                  </w:pPr>
                  <w:r>
                    <w:rPr>
                      <w:rFonts w:hint="eastAsia"/>
                      <w:szCs w:val="21"/>
                      <w:highlight w:val="none"/>
                    </w:rPr>
                    <w:t>间断</w:t>
                  </w:r>
                </w:p>
              </w:tc>
              <w:tc>
                <w:tcPr>
                  <w:tcW w:w="1823" w:type="pct"/>
                  <w:tcBorders>
                    <w:top w:val="single" w:color="auto" w:sz="4" w:space="0"/>
                    <w:left w:val="single" w:color="auto" w:sz="4" w:space="0"/>
                    <w:bottom w:val="single" w:color="auto" w:sz="4" w:space="0"/>
                    <w:right w:val="single" w:color="auto" w:sz="4" w:space="0"/>
                  </w:tcBorders>
                  <w:vAlign w:val="center"/>
                </w:tcPr>
                <w:p w14:paraId="09FFDA8B">
                  <w:pPr>
                    <w:jc w:val="center"/>
                    <w:rPr>
                      <w:szCs w:val="21"/>
                      <w:highlight w:val="none"/>
                    </w:rPr>
                  </w:pPr>
                  <w:r>
                    <w:rPr>
                      <w:rFonts w:hint="eastAsia"/>
                      <w:snapToGrid w:val="0"/>
                      <w:kern w:val="0"/>
                      <w:szCs w:val="21"/>
                      <w:highlight w:val="none"/>
                    </w:rPr>
                    <w:t>车间封闭，选用低噪声设备，基础减振。</w:t>
                  </w:r>
                </w:p>
              </w:tc>
            </w:tr>
            <w:tr w14:paraId="2CE85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5" w:type="pct"/>
                  <w:vMerge w:val="restart"/>
                  <w:tcBorders>
                    <w:top w:val="single" w:color="auto" w:sz="4" w:space="0"/>
                    <w:left w:val="single" w:color="auto" w:sz="4" w:space="0"/>
                    <w:right w:val="single" w:color="auto" w:sz="4" w:space="0"/>
                  </w:tcBorders>
                  <w:vAlign w:val="center"/>
                </w:tcPr>
                <w:p w14:paraId="23B7715B">
                  <w:pPr>
                    <w:jc w:val="center"/>
                    <w:rPr>
                      <w:rFonts w:hint="eastAsia" w:eastAsia="宋体"/>
                      <w:szCs w:val="21"/>
                      <w:highlight w:val="none"/>
                      <w:lang w:val="en-US" w:eastAsia="zh-CN"/>
                    </w:rPr>
                  </w:pPr>
                  <w:r>
                    <w:rPr>
                      <w:rFonts w:hint="eastAsia" w:ascii="Times New Roman" w:hAnsi="Times New Roman" w:eastAsia="宋体" w:cs="Times New Roman"/>
                      <w:szCs w:val="21"/>
                      <w:highlight w:val="none"/>
                      <w:lang w:val="en-US" w:eastAsia="zh-CN"/>
                    </w:rPr>
                    <w:t>固废</w:t>
                  </w:r>
                </w:p>
              </w:tc>
              <w:tc>
                <w:tcPr>
                  <w:tcW w:w="495" w:type="pct"/>
                  <w:tcBorders>
                    <w:top w:val="single" w:color="auto" w:sz="4" w:space="0"/>
                    <w:left w:val="single" w:color="auto" w:sz="4" w:space="0"/>
                    <w:bottom w:val="single" w:color="auto" w:sz="4" w:space="0"/>
                    <w:right w:val="single" w:color="auto" w:sz="4" w:space="0"/>
                  </w:tcBorders>
                  <w:vAlign w:val="center"/>
                </w:tcPr>
                <w:p w14:paraId="4F846841">
                  <w:pPr>
                    <w:jc w:val="center"/>
                    <w:rPr>
                      <w:szCs w:val="21"/>
                      <w:highlight w:val="none"/>
                    </w:rPr>
                  </w:pPr>
                  <w:r>
                    <w:rPr>
                      <w:szCs w:val="21"/>
                      <w:highlight w:val="none"/>
                    </w:rPr>
                    <w:t>/</w:t>
                  </w:r>
                </w:p>
              </w:tc>
              <w:tc>
                <w:tcPr>
                  <w:tcW w:w="606" w:type="pct"/>
                  <w:tcBorders>
                    <w:top w:val="single" w:color="auto" w:sz="4" w:space="0"/>
                    <w:left w:val="single" w:color="auto" w:sz="4" w:space="0"/>
                    <w:bottom w:val="single" w:color="auto" w:sz="4" w:space="0"/>
                    <w:right w:val="single" w:color="auto" w:sz="4" w:space="0"/>
                  </w:tcBorders>
                  <w:shd w:val="clear" w:color="auto" w:fill="auto"/>
                  <w:vAlign w:val="center"/>
                </w:tcPr>
                <w:p w14:paraId="25A0684C">
                  <w:pPr>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rPr>
                    <w:t>软化水制备</w:t>
                  </w:r>
                </w:p>
              </w:tc>
              <w:tc>
                <w:tcPr>
                  <w:tcW w:w="638" w:type="pct"/>
                  <w:tcBorders>
                    <w:top w:val="single" w:color="auto" w:sz="4" w:space="0"/>
                    <w:left w:val="single" w:color="auto" w:sz="4" w:space="0"/>
                    <w:bottom w:val="single" w:color="auto" w:sz="4" w:space="0"/>
                    <w:right w:val="single" w:color="auto" w:sz="4" w:space="0"/>
                  </w:tcBorders>
                  <w:shd w:val="clear" w:color="auto" w:fill="auto"/>
                  <w:vAlign w:val="center"/>
                </w:tcPr>
                <w:p w14:paraId="15CDE78E">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rPr>
                    <w:t>废</w:t>
                  </w:r>
                  <w:r>
                    <w:rPr>
                      <w:rFonts w:hint="eastAsia"/>
                      <w:szCs w:val="21"/>
                      <w:highlight w:val="none"/>
                      <w:lang w:val="en-US" w:eastAsia="zh-CN"/>
                    </w:rPr>
                    <w:t>离子交换树脂</w:t>
                  </w:r>
                </w:p>
              </w:tc>
              <w:tc>
                <w:tcPr>
                  <w:tcW w:w="768" w:type="pct"/>
                  <w:tcBorders>
                    <w:top w:val="single" w:color="auto" w:sz="4" w:space="0"/>
                    <w:left w:val="single" w:color="auto" w:sz="4" w:space="0"/>
                    <w:bottom w:val="single" w:color="auto" w:sz="4" w:space="0"/>
                    <w:right w:val="single" w:color="auto" w:sz="4" w:space="0"/>
                  </w:tcBorders>
                  <w:shd w:val="clear" w:color="auto" w:fill="auto"/>
                  <w:vAlign w:val="center"/>
                </w:tcPr>
                <w:p w14:paraId="1738F20E">
                  <w:pPr>
                    <w:jc w:val="center"/>
                    <w:rPr>
                      <w:rFonts w:ascii="Times New Roman" w:hAnsi="Times New Roman" w:eastAsia="宋体" w:cs="Times New Roman"/>
                      <w:kern w:val="2"/>
                      <w:sz w:val="21"/>
                      <w:szCs w:val="21"/>
                      <w:highlight w:val="none"/>
                      <w:lang w:val="en-US" w:eastAsia="zh-CN" w:bidi="ar-SA"/>
                    </w:rPr>
                  </w:pPr>
                  <w:r>
                    <w:rPr>
                      <w:rFonts w:hint="eastAsia"/>
                      <w:szCs w:val="21"/>
                      <w:highlight w:val="none"/>
                    </w:rPr>
                    <w:t>废</w:t>
                  </w:r>
                  <w:r>
                    <w:rPr>
                      <w:rFonts w:hint="eastAsia"/>
                      <w:szCs w:val="21"/>
                      <w:highlight w:val="none"/>
                      <w:lang w:val="en-US" w:eastAsia="zh-CN"/>
                    </w:rPr>
                    <w:t>离子交换树脂</w:t>
                  </w:r>
                </w:p>
              </w:tc>
              <w:tc>
                <w:tcPr>
                  <w:tcW w:w="403" w:type="pct"/>
                  <w:tcBorders>
                    <w:top w:val="single" w:color="auto" w:sz="4" w:space="0"/>
                    <w:left w:val="single" w:color="auto" w:sz="4" w:space="0"/>
                    <w:bottom w:val="single" w:color="auto" w:sz="4" w:space="0"/>
                    <w:right w:val="single" w:color="auto" w:sz="4" w:space="0"/>
                  </w:tcBorders>
                  <w:shd w:val="clear" w:color="auto" w:fill="auto"/>
                  <w:vAlign w:val="center"/>
                </w:tcPr>
                <w:p w14:paraId="7EAAB0CA">
                  <w:pPr>
                    <w:jc w:val="center"/>
                    <w:rPr>
                      <w:rFonts w:ascii="Times New Roman" w:hAnsi="Times New Roman" w:eastAsia="宋体" w:cs="Times New Roman"/>
                      <w:kern w:val="2"/>
                      <w:sz w:val="21"/>
                      <w:szCs w:val="21"/>
                      <w:highlight w:val="none"/>
                      <w:lang w:val="en-US" w:eastAsia="zh-CN" w:bidi="ar-SA"/>
                    </w:rPr>
                  </w:pPr>
                  <w:r>
                    <w:rPr>
                      <w:rFonts w:hint="eastAsia"/>
                      <w:szCs w:val="21"/>
                      <w:highlight w:val="none"/>
                    </w:rPr>
                    <w:t>间断</w:t>
                  </w:r>
                </w:p>
              </w:tc>
              <w:tc>
                <w:tcPr>
                  <w:tcW w:w="1823" w:type="pct"/>
                  <w:tcBorders>
                    <w:top w:val="single" w:color="auto" w:sz="4" w:space="0"/>
                    <w:left w:val="single" w:color="auto" w:sz="4" w:space="0"/>
                    <w:bottom w:val="single" w:color="auto" w:sz="4" w:space="0"/>
                    <w:right w:val="single" w:color="auto" w:sz="4" w:space="0"/>
                  </w:tcBorders>
                  <w:shd w:val="clear" w:color="auto" w:fill="auto"/>
                  <w:vAlign w:val="center"/>
                </w:tcPr>
                <w:p w14:paraId="754D2DF1">
                  <w:pPr>
                    <w:jc w:val="center"/>
                    <w:rPr>
                      <w:rFonts w:ascii="Times New Roman" w:hAnsi="Times New Roman" w:eastAsia="宋体" w:cs="Times New Roman"/>
                      <w:kern w:val="2"/>
                      <w:sz w:val="21"/>
                      <w:szCs w:val="21"/>
                      <w:highlight w:val="none"/>
                      <w:lang w:val="en-US" w:eastAsia="zh-CN" w:bidi="ar-SA"/>
                    </w:rPr>
                  </w:pPr>
                  <w:r>
                    <w:rPr>
                      <w:rFonts w:hint="eastAsia"/>
                      <w:bCs/>
                      <w:spacing w:val="9"/>
                      <w:szCs w:val="21"/>
                      <w:highlight w:val="none"/>
                    </w:rPr>
                    <w:t>废</w:t>
                  </w:r>
                  <w:r>
                    <w:rPr>
                      <w:rFonts w:hint="eastAsia"/>
                      <w:bCs/>
                      <w:spacing w:val="9"/>
                      <w:szCs w:val="21"/>
                      <w:highlight w:val="none"/>
                      <w:lang w:val="en-US" w:eastAsia="zh-CN"/>
                    </w:rPr>
                    <w:t>离子交换树脂</w:t>
                  </w:r>
                  <w:r>
                    <w:rPr>
                      <w:rFonts w:hint="eastAsia"/>
                      <w:bCs/>
                      <w:spacing w:val="9"/>
                      <w:szCs w:val="21"/>
                      <w:highlight w:val="none"/>
                    </w:rPr>
                    <w:t>由厂家回收。</w:t>
                  </w:r>
                </w:p>
              </w:tc>
            </w:tr>
            <w:tr w14:paraId="4E424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5" w:type="pct"/>
                  <w:vMerge w:val="continue"/>
                  <w:tcBorders>
                    <w:left w:val="single" w:color="auto" w:sz="4" w:space="0"/>
                    <w:right w:val="single" w:color="auto" w:sz="4" w:space="0"/>
                  </w:tcBorders>
                  <w:vAlign w:val="center"/>
                </w:tcPr>
                <w:p w14:paraId="5892C7C0">
                  <w:pPr>
                    <w:jc w:val="center"/>
                    <w:rPr>
                      <w:rFonts w:hint="eastAsia" w:ascii="Times New Roman" w:hAnsi="Times New Roman" w:eastAsia="宋体" w:cs="Times New Roman"/>
                      <w:szCs w:val="21"/>
                      <w:highlight w:val="none"/>
                      <w:lang w:val="en-US" w:eastAsia="zh-CN"/>
                    </w:rPr>
                  </w:pPr>
                </w:p>
              </w:tc>
              <w:tc>
                <w:tcPr>
                  <w:tcW w:w="495" w:type="pct"/>
                  <w:tcBorders>
                    <w:top w:val="single" w:color="auto" w:sz="4" w:space="0"/>
                    <w:left w:val="single" w:color="auto" w:sz="4" w:space="0"/>
                    <w:bottom w:val="single" w:color="auto" w:sz="4" w:space="0"/>
                    <w:right w:val="single" w:color="auto" w:sz="4" w:space="0"/>
                  </w:tcBorders>
                  <w:vAlign w:val="center"/>
                </w:tcPr>
                <w:p w14:paraId="67CB2677">
                  <w:pPr>
                    <w:jc w:val="center"/>
                    <w:rPr>
                      <w:rFonts w:hint="eastAsia" w:eastAsia="宋体"/>
                      <w:szCs w:val="21"/>
                      <w:highlight w:val="none"/>
                      <w:lang w:val="en-US" w:eastAsia="zh-CN"/>
                    </w:rPr>
                  </w:pPr>
                  <w:r>
                    <w:rPr>
                      <w:rFonts w:hint="eastAsia"/>
                      <w:szCs w:val="21"/>
                      <w:highlight w:val="none"/>
                      <w:lang w:val="en-US" w:eastAsia="zh-CN"/>
                    </w:rPr>
                    <w:t>/</w:t>
                  </w:r>
                </w:p>
              </w:tc>
              <w:tc>
                <w:tcPr>
                  <w:tcW w:w="606" w:type="pct"/>
                  <w:vMerge w:val="restart"/>
                  <w:tcBorders>
                    <w:top w:val="single" w:color="auto" w:sz="4" w:space="0"/>
                    <w:left w:val="single" w:color="auto" w:sz="4" w:space="0"/>
                    <w:right w:val="single" w:color="auto" w:sz="4" w:space="0"/>
                  </w:tcBorders>
                  <w:shd w:val="clear" w:color="auto" w:fill="auto"/>
                  <w:vAlign w:val="center"/>
                </w:tcPr>
                <w:p w14:paraId="5848A0F0">
                  <w:pPr>
                    <w:jc w:val="center"/>
                    <w:rPr>
                      <w:rFonts w:hint="default" w:eastAsia="宋体"/>
                      <w:szCs w:val="21"/>
                      <w:highlight w:val="none"/>
                      <w:lang w:val="en-US" w:eastAsia="zh-CN"/>
                    </w:rPr>
                  </w:pPr>
                  <w:r>
                    <w:rPr>
                      <w:rFonts w:hint="eastAsia"/>
                      <w:szCs w:val="21"/>
                      <w:highlight w:val="none"/>
                      <w:lang w:val="en-US" w:eastAsia="zh-CN"/>
                    </w:rPr>
                    <w:t>设备维修</w:t>
                  </w:r>
                </w:p>
              </w:tc>
              <w:tc>
                <w:tcPr>
                  <w:tcW w:w="638" w:type="pct"/>
                  <w:tcBorders>
                    <w:top w:val="single" w:color="auto" w:sz="4" w:space="0"/>
                    <w:left w:val="single" w:color="auto" w:sz="4" w:space="0"/>
                    <w:bottom w:val="single" w:color="auto" w:sz="4" w:space="0"/>
                    <w:right w:val="single" w:color="auto" w:sz="4" w:space="0"/>
                  </w:tcBorders>
                  <w:shd w:val="clear" w:color="auto" w:fill="auto"/>
                  <w:vAlign w:val="center"/>
                </w:tcPr>
                <w:p w14:paraId="4BCAB5C9">
                  <w:pPr>
                    <w:jc w:val="center"/>
                    <w:rPr>
                      <w:rFonts w:hint="default" w:eastAsia="宋体"/>
                      <w:szCs w:val="21"/>
                      <w:highlight w:val="none"/>
                      <w:lang w:val="en-US" w:eastAsia="zh-CN"/>
                    </w:rPr>
                  </w:pPr>
                  <w:r>
                    <w:rPr>
                      <w:rFonts w:hint="eastAsia"/>
                      <w:szCs w:val="21"/>
                      <w:highlight w:val="none"/>
                      <w:lang w:val="en-US" w:eastAsia="zh-CN"/>
                    </w:rPr>
                    <w:t>废润滑油</w:t>
                  </w:r>
                </w:p>
              </w:tc>
              <w:tc>
                <w:tcPr>
                  <w:tcW w:w="768" w:type="pct"/>
                  <w:tcBorders>
                    <w:top w:val="single" w:color="auto" w:sz="4" w:space="0"/>
                    <w:left w:val="single" w:color="auto" w:sz="4" w:space="0"/>
                    <w:bottom w:val="single" w:color="auto" w:sz="4" w:space="0"/>
                    <w:right w:val="single" w:color="auto" w:sz="4" w:space="0"/>
                  </w:tcBorders>
                  <w:shd w:val="clear" w:color="auto" w:fill="auto"/>
                  <w:vAlign w:val="center"/>
                </w:tcPr>
                <w:p w14:paraId="74BF01CD">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废润滑油</w:t>
                  </w:r>
                </w:p>
              </w:tc>
              <w:tc>
                <w:tcPr>
                  <w:tcW w:w="403" w:type="pct"/>
                  <w:tcBorders>
                    <w:top w:val="single" w:color="auto" w:sz="4" w:space="0"/>
                    <w:left w:val="single" w:color="auto" w:sz="4" w:space="0"/>
                    <w:bottom w:val="single" w:color="auto" w:sz="4" w:space="0"/>
                    <w:right w:val="single" w:color="auto" w:sz="4" w:space="0"/>
                  </w:tcBorders>
                  <w:shd w:val="clear" w:color="auto" w:fill="auto"/>
                  <w:vAlign w:val="center"/>
                </w:tcPr>
                <w:p w14:paraId="035F826C">
                  <w:pPr>
                    <w:jc w:val="center"/>
                    <w:rPr>
                      <w:rFonts w:hint="eastAsia"/>
                      <w:szCs w:val="21"/>
                      <w:highlight w:val="none"/>
                    </w:rPr>
                  </w:pPr>
                  <w:r>
                    <w:rPr>
                      <w:rFonts w:hint="eastAsia"/>
                      <w:szCs w:val="21"/>
                      <w:highlight w:val="none"/>
                    </w:rPr>
                    <w:t>间断</w:t>
                  </w:r>
                </w:p>
              </w:tc>
              <w:tc>
                <w:tcPr>
                  <w:tcW w:w="1823" w:type="pct"/>
                  <w:vMerge w:val="restart"/>
                  <w:tcBorders>
                    <w:top w:val="single" w:color="auto" w:sz="4" w:space="0"/>
                    <w:left w:val="single" w:color="auto" w:sz="4" w:space="0"/>
                    <w:right w:val="single" w:color="auto" w:sz="4" w:space="0"/>
                  </w:tcBorders>
                  <w:shd w:val="clear" w:color="auto" w:fill="auto"/>
                  <w:vAlign w:val="center"/>
                </w:tcPr>
                <w:p w14:paraId="1EDD3DE4">
                  <w:pPr>
                    <w:jc w:val="center"/>
                    <w:rPr>
                      <w:rFonts w:hint="eastAsia"/>
                      <w:bCs/>
                      <w:spacing w:val="9"/>
                      <w:szCs w:val="21"/>
                      <w:highlight w:val="none"/>
                    </w:rPr>
                  </w:pPr>
                  <w:r>
                    <w:rPr>
                      <w:rFonts w:hint="eastAsia"/>
                      <w:bCs/>
                      <w:spacing w:val="9"/>
                      <w:szCs w:val="21"/>
                      <w:highlight w:val="none"/>
                    </w:rPr>
                    <w:t>临时贮存于危废间内，定期交由承德双然环保科技有限公司运输处置</w:t>
                  </w:r>
                </w:p>
              </w:tc>
            </w:tr>
            <w:tr w14:paraId="5279A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5" w:type="pct"/>
                  <w:vMerge w:val="continue"/>
                  <w:tcBorders>
                    <w:left w:val="single" w:color="auto" w:sz="4" w:space="0"/>
                    <w:right w:val="single" w:color="auto" w:sz="4" w:space="0"/>
                  </w:tcBorders>
                  <w:vAlign w:val="center"/>
                </w:tcPr>
                <w:p w14:paraId="5050C7CB">
                  <w:pPr>
                    <w:jc w:val="center"/>
                    <w:rPr>
                      <w:rFonts w:hint="eastAsia" w:ascii="Times New Roman" w:hAnsi="Times New Roman" w:eastAsia="宋体" w:cs="Times New Roman"/>
                      <w:szCs w:val="21"/>
                      <w:highlight w:val="none"/>
                      <w:lang w:val="en-US" w:eastAsia="zh-CN"/>
                    </w:rPr>
                  </w:pPr>
                </w:p>
              </w:tc>
              <w:tc>
                <w:tcPr>
                  <w:tcW w:w="495" w:type="pct"/>
                  <w:tcBorders>
                    <w:top w:val="single" w:color="auto" w:sz="4" w:space="0"/>
                    <w:left w:val="single" w:color="auto" w:sz="4" w:space="0"/>
                    <w:bottom w:val="single" w:color="auto" w:sz="4" w:space="0"/>
                    <w:right w:val="single" w:color="auto" w:sz="4" w:space="0"/>
                  </w:tcBorders>
                  <w:vAlign w:val="center"/>
                </w:tcPr>
                <w:p w14:paraId="29FD2A59">
                  <w:pPr>
                    <w:jc w:val="center"/>
                    <w:rPr>
                      <w:rFonts w:hint="eastAsia" w:eastAsia="宋体"/>
                      <w:szCs w:val="21"/>
                      <w:highlight w:val="none"/>
                      <w:lang w:val="en-US" w:eastAsia="zh-CN"/>
                    </w:rPr>
                  </w:pPr>
                  <w:r>
                    <w:rPr>
                      <w:rFonts w:hint="eastAsia"/>
                      <w:szCs w:val="21"/>
                      <w:highlight w:val="none"/>
                      <w:lang w:val="en-US" w:eastAsia="zh-CN"/>
                    </w:rPr>
                    <w:t>/</w:t>
                  </w:r>
                </w:p>
              </w:tc>
              <w:tc>
                <w:tcPr>
                  <w:tcW w:w="606" w:type="pct"/>
                  <w:vMerge w:val="continue"/>
                  <w:tcBorders>
                    <w:left w:val="single" w:color="auto" w:sz="4" w:space="0"/>
                    <w:bottom w:val="single" w:color="auto" w:sz="4" w:space="0"/>
                    <w:right w:val="single" w:color="auto" w:sz="4" w:space="0"/>
                  </w:tcBorders>
                  <w:shd w:val="clear" w:color="auto" w:fill="auto"/>
                  <w:vAlign w:val="center"/>
                </w:tcPr>
                <w:p w14:paraId="5DD89F9B">
                  <w:pPr>
                    <w:jc w:val="center"/>
                    <w:rPr>
                      <w:rFonts w:hint="eastAsia"/>
                      <w:szCs w:val="21"/>
                      <w:highlight w:val="none"/>
                    </w:rPr>
                  </w:pPr>
                </w:p>
              </w:tc>
              <w:tc>
                <w:tcPr>
                  <w:tcW w:w="638" w:type="pct"/>
                  <w:tcBorders>
                    <w:top w:val="single" w:color="auto" w:sz="4" w:space="0"/>
                    <w:left w:val="single" w:color="auto" w:sz="4" w:space="0"/>
                    <w:bottom w:val="single" w:color="auto" w:sz="4" w:space="0"/>
                    <w:right w:val="single" w:color="auto" w:sz="4" w:space="0"/>
                  </w:tcBorders>
                  <w:shd w:val="clear" w:color="auto" w:fill="auto"/>
                  <w:vAlign w:val="center"/>
                </w:tcPr>
                <w:p w14:paraId="0D3DF35F">
                  <w:pPr>
                    <w:jc w:val="center"/>
                    <w:rPr>
                      <w:rFonts w:hint="default"/>
                      <w:szCs w:val="21"/>
                      <w:highlight w:val="none"/>
                      <w:lang w:val="en-US"/>
                    </w:rPr>
                  </w:pPr>
                  <w:r>
                    <w:rPr>
                      <w:rFonts w:hint="eastAsia"/>
                      <w:szCs w:val="21"/>
                      <w:highlight w:val="none"/>
                      <w:lang w:val="en-US" w:eastAsia="zh-CN"/>
                    </w:rPr>
                    <w:t>废润滑油桶</w:t>
                  </w:r>
                </w:p>
              </w:tc>
              <w:tc>
                <w:tcPr>
                  <w:tcW w:w="768" w:type="pct"/>
                  <w:tcBorders>
                    <w:top w:val="single" w:color="auto" w:sz="4" w:space="0"/>
                    <w:left w:val="single" w:color="auto" w:sz="4" w:space="0"/>
                    <w:bottom w:val="single" w:color="auto" w:sz="4" w:space="0"/>
                    <w:right w:val="single" w:color="auto" w:sz="4" w:space="0"/>
                  </w:tcBorders>
                  <w:shd w:val="clear" w:color="auto" w:fill="auto"/>
                  <w:vAlign w:val="center"/>
                </w:tcPr>
                <w:p w14:paraId="4263EF1C">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废润滑油桶</w:t>
                  </w:r>
                </w:p>
              </w:tc>
              <w:tc>
                <w:tcPr>
                  <w:tcW w:w="403" w:type="pct"/>
                  <w:tcBorders>
                    <w:top w:val="single" w:color="auto" w:sz="4" w:space="0"/>
                    <w:left w:val="single" w:color="auto" w:sz="4" w:space="0"/>
                    <w:bottom w:val="single" w:color="auto" w:sz="4" w:space="0"/>
                    <w:right w:val="single" w:color="auto" w:sz="4" w:space="0"/>
                  </w:tcBorders>
                  <w:shd w:val="clear" w:color="auto" w:fill="auto"/>
                  <w:vAlign w:val="center"/>
                </w:tcPr>
                <w:p w14:paraId="5C25E0B3">
                  <w:pPr>
                    <w:jc w:val="center"/>
                    <w:rPr>
                      <w:rFonts w:hint="eastAsia"/>
                      <w:szCs w:val="21"/>
                      <w:highlight w:val="none"/>
                    </w:rPr>
                  </w:pPr>
                  <w:r>
                    <w:rPr>
                      <w:rFonts w:hint="eastAsia"/>
                      <w:szCs w:val="21"/>
                      <w:highlight w:val="none"/>
                    </w:rPr>
                    <w:t>间断</w:t>
                  </w:r>
                </w:p>
              </w:tc>
              <w:tc>
                <w:tcPr>
                  <w:tcW w:w="1823" w:type="pct"/>
                  <w:vMerge w:val="continue"/>
                  <w:tcBorders>
                    <w:left w:val="single" w:color="auto" w:sz="4" w:space="0"/>
                    <w:bottom w:val="single" w:color="auto" w:sz="4" w:space="0"/>
                    <w:right w:val="single" w:color="auto" w:sz="4" w:space="0"/>
                  </w:tcBorders>
                  <w:shd w:val="clear" w:color="auto" w:fill="auto"/>
                  <w:vAlign w:val="center"/>
                </w:tcPr>
                <w:p w14:paraId="601031EB">
                  <w:pPr>
                    <w:jc w:val="center"/>
                    <w:rPr>
                      <w:rFonts w:hint="eastAsia"/>
                      <w:bCs/>
                      <w:spacing w:val="9"/>
                      <w:szCs w:val="21"/>
                      <w:highlight w:val="none"/>
                    </w:rPr>
                  </w:pPr>
                </w:p>
              </w:tc>
            </w:tr>
          </w:tbl>
          <w:p w14:paraId="758D4502">
            <w:pPr>
              <w:pStyle w:val="2"/>
              <w:ind w:left="0" w:leftChars="0" w:firstLine="0" w:firstLineChars="0"/>
              <w:jc w:val="both"/>
              <w:rPr>
                <w:highlight w:val="none"/>
              </w:rPr>
            </w:pPr>
          </w:p>
        </w:tc>
      </w:tr>
      <w:tr w14:paraId="7249BD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33" w:hRule="atLeast"/>
          <w:jc w:val="center"/>
        </w:trPr>
        <w:tc>
          <w:tcPr>
            <w:tcW w:w="823" w:type="dxa"/>
            <w:vAlign w:val="center"/>
          </w:tcPr>
          <w:p w14:paraId="0C5C1244">
            <w:pPr>
              <w:adjustRightInd w:val="0"/>
              <w:snapToGrid w:val="0"/>
              <w:jc w:val="center"/>
              <w:rPr>
                <w:rFonts w:ascii="宋体" w:hAnsi="宋体" w:cs="宋体"/>
                <w:kern w:val="0"/>
                <w:sz w:val="24"/>
                <w:highlight w:val="none"/>
              </w:rPr>
            </w:pPr>
            <w:r>
              <w:rPr>
                <w:rFonts w:hint="eastAsia" w:ascii="宋体" w:hAnsi="宋体" w:cs="宋体"/>
                <w:kern w:val="0"/>
                <w:sz w:val="24"/>
                <w:highlight w:val="none"/>
              </w:rPr>
              <w:t>与项目有关的原有环境污染问题</w:t>
            </w:r>
          </w:p>
        </w:tc>
        <w:tc>
          <w:tcPr>
            <w:tcW w:w="8161" w:type="dxa"/>
            <w:vAlign w:val="center"/>
          </w:tcPr>
          <w:p w14:paraId="433563FD">
            <w:pPr>
              <w:numPr>
                <w:ilvl w:val="0"/>
                <w:numId w:val="8"/>
              </w:numPr>
              <w:spacing w:before="120" w:beforeLines="50" w:line="360" w:lineRule="auto"/>
              <w:rPr>
                <w:rFonts w:hint="eastAsia"/>
                <w:b/>
                <w:bCs/>
                <w:sz w:val="24"/>
                <w:highlight w:val="none"/>
                <w:lang w:val="en-US" w:eastAsia="zh-CN"/>
              </w:rPr>
            </w:pPr>
            <w:r>
              <w:rPr>
                <w:rFonts w:hint="eastAsia"/>
                <w:b/>
                <w:bCs/>
                <w:sz w:val="24"/>
                <w:highlight w:val="none"/>
                <w:lang w:val="en-US" w:eastAsia="zh-CN"/>
              </w:rPr>
              <w:t>现有工程环保手续</w:t>
            </w:r>
          </w:p>
          <w:p w14:paraId="66F8B5B2">
            <w:pPr>
              <w:spacing w:line="360" w:lineRule="auto"/>
              <w:ind w:firstLine="480"/>
              <w:rPr>
                <w:rFonts w:hint="default"/>
                <w:sz w:val="24"/>
                <w:highlight w:val="none"/>
                <w:lang w:val="en-US" w:eastAsia="zh-CN"/>
              </w:rPr>
            </w:pPr>
            <w:r>
              <w:rPr>
                <w:rFonts w:hint="eastAsia"/>
                <w:sz w:val="24"/>
                <w:highlight w:val="none"/>
                <w:lang w:val="en-US" w:eastAsia="zh-CN"/>
              </w:rPr>
              <w:t>2009年企业委托编制《马铃薯淀粉加工项目环境影响报告书》并于2019年9月9日取得的批复，批复文号：围环评〔2009〕36号，该项目于2013年通过验收，验收文号：围环验〔2013〕001号；生产规模为年生产马铃薯淀粉1万吨，生产淀粉制品0.12万吨。</w:t>
            </w:r>
          </w:p>
          <w:p w14:paraId="618FDAAB">
            <w:pPr>
              <w:spacing w:line="360" w:lineRule="auto"/>
              <w:ind w:firstLine="480"/>
              <w:rPr>
                <w:rFonts w:hint="default"/>
                <w:sz w:val="24"/>
                <w:highlight w:val="none"/>
                <w:lang w:val="en-US" w:eastAsia="zh-CN"/>
              </w:rPr>
            </w:pPr>
            <w:r>
              <w:rPr>
                <w:rFonts w:hint="eastAsia"/>
                <w:sz w:val="24"/>
                <w:highlight w:val="none"/>
                <w:lang w:val="en-US" w:eastAsia="zh-CN"/>
              </w:rPr>
              <w:t>2013年企业委托编制《400万公斤马铃薯系列产品加工扩建项目环境影响报告表》并于2014年1月21日取得批复，批复文号：围环评〔2014〕12号；生产规模为年产马铃薯薯渣饲料400万公斤；该项目未建设，未验收。</w:t>
            </w:r>
          </w:p>
          <w:p w14:paraId="1BE82C4C">
            <w:pPr>
              <w:spacing w:line="360" w:lineRule="auto"/>
              <w:ind w:firstLine="480"/>
              <w:rPr>
                <w:rFonts w:hint="default" w:eastAsia="宋体"/>
                <w:sz w:val="24"/>
                <w:highlight w:val="none"/>
                <w:lang w:val="en-US" w:eastAsia="zh-CN"/>
              </w:rPr>
            </w:pPr>
            <w:r>
              <w:rPr>
                <w:rFonts w:hint="eastAsia"/>
                <w:sz w:val="24"/>
                <w:highlight w:val="none"/>
                <w:lang w:val="en-US" w:eastAsia="zh-CN"/>
              </w:rPr>
              <w:t>2015年企业委托编制《承德市围场县1000万公斤马铃薯淀粉加工技改扩建项目环境影响报告表》并于2016年1月18日取得批复，批复文号：围环评〔2016〕6号，2018年委托编制</w:t>
            </w:r>
            <w:r>
              <w:rPr>
                <w:rFonts w:hint="default"/>
                <w:sz w:val="24"/>
                <w:highlight w:val="none"/>
                <w:lang w:val="en-US" w:eastAsia="zh-CN"/>
              </w:rPr>
              <w:t>《承德泓辉双合淀粉有限公司环保污水处理工程提升扩建项目环境影响报告表》</w:t>
            </w:r>
            <w:r>
              <w:rPr>
                <w:rFonts w:hint="eastAsia"/>
                <w:sz w:val="24"/>
                <w:highlight w:val="none"/>
                <w:lang w:val="en-US" w:eastAsia="zh-CN"/>
              </w:rPr>
              <w:t>并于2018年</w:t>
            </w:r>
            <w:r>
              <w:rPr>
                <w:rFonts w:hint="default"/>
                <w:sz w:val="24"/>
                <w:highlight w:val="none"/>
                <w:lang w:val="en-US" w:eastAsia="zh-CN"/>
              </w:rPr>
              <w:t>的批复（围环评[2018]21号）</w:t>
            </w:r>
            <w:r>
              <w:rPr>
                <w:rFonts w:hint="eastAsia"/>
                <w:sz w:val="24"/>
                <w:highlight w:val="none"/>
                <w:lang w:val="en-US" w:eastAsia="zh-CN"/>
              </w:rPr>
              <w:t>，《承德市围场县1000万公斤马铃薯淀粉加工技改扩建项目环境影响报告表》与</w:t>
            </w:r>
            <w:r>
              <w:rPr>
                <w:rFonts w:hint="default"/>
                <w:sz w:val="24"/>
                <w:highlight w:val="none"/>
                <w:lang w:val="en-US" w:eastAsia="zh-CN"/>
              </w:rPr>
              <w:t>《承德泓辉双合淀粉有限公司环保污水处理工程提升扩建项目环境影响报告表》</w:t>
            </w:r>
            <w:r>
              <w:rPr>
                <w:rFonts w:hint="eastAsia"/>
                <w:sz w:val="24"/>
                <w:highlight w:val="none"/>
                <w:lang w:val="en-US" w:eastAsia="zh-CN"/>
              </w:rPr>
              <w:t>同时进行自主验收，并取得验收意见。企业生产规模为：年产马铃薯淀粉1000万吨、淀粉制品0.12万吨、马铃薯薯渣饲料400万公斤。</w:t>
            </w:r>
          </w:p>
          <w:p w14:paraId="6B4D0275">
            <w:pPr>
              <w:spacing w:line="360" w:lineRule="auto"/>
              <w:ind w:firstLine="480"/>
              <w:rPr>
                <w:rFonts w:hint="eastAsia"/>
                <w:sz w:val="24"/>
                <w:highlight w:val="none"/>
                <w:lang w:val="en-US" w:eastAsia="zh-CN"/>
              </w:rPr>
            </w:pPr>
            <w:r>
              <w:rPr>
                <w:rFonts w:hint="eastAsia"/>
                <w:sz w:val="24"/>
                <w:highlight w:val="none"/>
                <w:lang w:val="en-US" w:eastAsia="zh-CN"/>
              </w:rPr>
              <w:t>企业于2022年1月18日取得排污许可证，证书编号：91130828791389146X001U，有效期限：自2022年1月28日至2027年1月27日止。</w:t>
            </w:r>
          </w:p>
          <w:p w14:paraId="40BA7894">
            <w:pPr>
              <w:numPr>
                <w:ilvl w:val="0"/>
                <w:numId w:val="8"/>
              </w:numPr>
              <w:spacing w:line="360" w:lineRule="auto"/>
              <w:ind w:left="0" w:leftChars="0" w:firstLine="0" w:firstLineChars="0"/>
              <w:rPr>
                <w:rFonts w:ascii="Times New Roman" w:hAnsi="Times New Roman" w:cs="Times New Roman"/>
                <w:b/>
                <w:bCs/>
                <w:sz w:val="24"/>
                <w:szCs w:val="24"/>
                <w:highlight w:val="none"/>
              </w:rPr>
            </w:pPr>
            <w:r>
              <w:rPr>
                <w:rFonts w:ascii="Times New Roman" w:hAnsi="Times New Roman" w:cs="Times New Roman"/>
                <w:b/>
                <w:bCs/>
                <w:sz w:val="24"/>
                <w:szCs w:val="24"/>
                <w:highlight w:val="none"/>
              </w:rPr>
              <w:t>现有工程污染物产生与排放情况</w:t>
            </w:r>
          </w:p>
          <w:p w14:paraId="4243B604">
            <w:pPr>
              <w:numPr>
                <w:ilvl w:val="0"/>
                <w:numId w:val="0"/>
              </w:numPr>
              <w:spacing w:line="360" w:lineRule="auto"/>
              <w:rPr>
                <w:rFonts w:hint="eastAsia" w:ascii="Times New Roman" w:hAnsi="Times New Roman" w:cs="Times New Roman"/>
                <w:b w:val="0"/>
                <w:bCs w:val="0"/>
                <w:sz w:val="24"/>
                <w:szCs w:val="24"/>
                <w:highlight w:val="none"/>
                <w:lang w:val="en-US" w:eastAsia="zh-CN"/>
              </w:rPr>
            </w:pPr>
            <w:r>
              <w:rPr>
                <w:rFonts w:hint="eastAsia" w:ascii="Times New Roman" w:hAnsi="Times New Roman" w:cs="Times New Roman"/>
                <w:b w:val="0"/>
                <w:bCs w:val="0"/>
                <w:sz w:val="24"/>
                <w:szCs w:val="24"/>
                <w:highlight w:val="none"/>
                <w:lang w:val="en-US" w:eastAsia="zh-CN"/>
              </w:rPr>
              <w:t>（1）大气</w:t>
            </w:r>
          </w:p>
          <w:p w14:paraId="53EBE01C">
            <w:pPr>
              <w:spacing w:line="360" w:lineRule="auto"/>
              <w:ind w:firstLine="480"/>
              <w:rPr>
                <w:rFonts w:hint="eastAsia" w:ascii="Times New Roman" w:hAnsi="Times New Roman" w:eastAsia="宋体" w:cs="Times New Roman"/>
                <w:sz w:val="24"/>
                <w:highlight w:val="none"/>
                <w:lang w:val="en-US" w:eastAsia="zh-CN"/>
              </w:rPr>
            </w:pPr>
            <w:bookmarkStart w:id="11" w:name="OLE_LINK6"/>
            <w:r>
              <w:rPr>
                <w:rFonts w:hint="eastAsia" w:ascii="Times New Roman" w:hAnsi="Times New Roman" w:eastAsia="宋体" w:cs="Times New Roman"/>
                <w:sz w:val="24"/>
                <w:highlight w:val="none"/>
                <w:lang w:val="en-US" w:eastAsia="zh-CN"/>
              </w:rPr>
              <w:t>运营期大气污染物主要为</w:t>
            </w:r>
            <w:bookmarkEnd w:id="11"/>
            <w:r>
              <w:rPr>
                <w:rFonts w:hint="eastAsia" w:ascii="Times New Roman" w:hAnsi="Times New Roman" w:eastAsia="宋体" w:cs="Times New Roman"/>
                <w:sz w:val="24"/>
                <w:highlight w:val="none"/>
                <w:lang w:val="en-US" w:eastAsia="zh-CN"/>
              </w:rPr>
              <w:t>马铃薯装卸、堆存及转运；蛋白干燥废气；淀粉烘干废气；锅炉废气；污水处理站产生的废气及车辆运输扬尘。</w:t>
            </w:r>
          </w:p>
          <w:p w14:paraId="2453980A">
            <w:pPr>
              <w:spacing w:line="360" w:lineRule="auto"/>
              <w:ind w:firstLine="480"/>
              <w:rPr>
                <w:rFonts w:hint="eastAsia"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采取的治理措施：企业设4座原料池和1座冷鲜库，原料进入冷鲜库和原料池内堆存降低马铃薯堆存扬尘；原料马铃薯采用袋装进厂降低马铃薯装卸及转运扬尘；蛋白干燥废气经布袋除尘器处理后由15m高排气筒排放；淀粉烘干废气经布袋除尘器处理后由15m高排气筒排放；污水处理站各池体封闭</w:t>
            </w:r>
            <w:r>
              <w:rPr>
                <w:rFonts w:hint="eastAsia" w:cs="Times New Roman"/>
                <w:sz w:val="24"/>
                <w:highlight w:val="none"/>
                <w:lang w:val="en-US" w:eastAsia="zh-CN"/>
              </w:rPr>
              <w:t>；污水处理站PEIC厌氧反应器产生的沼气经干法脱硫和脱水后作为</w:t>
            </w:r>
            <w:r>
              <w:rPr>
                <w:rFonts w:hint="eastAsia" w:ascii="Times New Roman" w:hAnsi="Times New Roman" w:eastAsia="宋体" w:cs="Times New Roman"/>
                <w:sz w:val="24"/>
                <w:highlight w:val="none"/>
                <w:lang w:val="en-US" w:eastAsia="zh-CN"/>
              </w:rPr>
              <w:t>4t/h</w:t>
            </w:r>
            <w:r>
              <w:rPr>
                <w:rFonts w:hint="eastAsia" w:cs="Times New Roman"/>
                <w:sz w:val="24"/>
                <w:highlight w:val="none"/>
                <w:lang w:val="en-US" w:eastAsia="zh-CN"/>
              </w:rPr>
              <w:t>和</w:t>
            </w:r>
            <w:r>
              <w:rPr>
                <w:rFonts w:hint="eastAsia" w:ascii="Times New Roman" w:hAnsi="Times New Roman" w:eastAsia="宋体" w:cs="Times New Roman"/>
                <w:sz w:val="24"/>
                <w:highlight w:val="none"/>
                <w:lang w:val="en-US" w:eastAsia="zh-CN"/>
              </w:rPr>
              <w:t>11t/h</w:t>
            </w:r>
            <w:r>
              <w:rPr>
                <w:rFonts w:hint="eastAsia" w:cs="Times New Roman"/>
                <w:sz w:val="24"/>
                <w:highlight w:val="none"/>
                <w:lang w:val="en-US" w:eastAsia="zh-CN"/>
              </w:rPr>
              <w:t>生物质沼气锅炉两用锅炉燃料使用，</w:t>
            </w:r>
            <w:r>
              <w:rPr>
                <w:rFonts w:hint="eastAsia" w:ascii="Times New Roman" w:hAnsi="Times New Roman" w:eastAsia="宋体" w:cs="Times New Roman"/>
                <w:sz w:val="24"/>
                <w:highlight w:val="none"/>
                <w:lang w:val="en-US" w:eastAsia="zh-CN"/>
              </w:rPr>
              <w:t>4t/h锅炉废气</w:t>
            </w:r>
            <w:bookmarkStart w:id="12" w:name="OLE_LINK5"/>
            <w:r>
              <w:rPr>
                <w:rFonts w:hint="eastAsia" w:ascii="Times New Roman" w:hAnsi="Times New Roman" w:eastAsia="宋体" w:cs="Times New Roman"/>
                <w:sz w:val="24"/>
                <w:highlight w:val="none"/>
                <w:lang w:val="en-US" w:eastAsia="zh-CN"/>
              </w:rPr>
              <w:t>经布袋除尘器处理后由35m高排气筒排放</w:t>
            </w:r>
            <w:bookmarkEnd w:id="12"/>
            <w:r>
              <w:rPr>
                <w:rFonts w:hint="eastAsia" w:ascii="Times New Roman" w:hAnsi="Times New Roman" w:eastAsia="宋体" w:cs="Times New Roman"/>
                <w:sz w:val="24"/>
                <w:highlight w:val="none"/>
                <w:lang w:val="en-US" w:eastAsia="zh-CN"/>
              </w:rPr>
              <w:t>，11t/h锅炉废气经经布袋除尘器处理后由40m高排气筒排放；厂区道路硬化、绿化，定期洒水降尘。</w:t>
            </w:r>
          </w:p>
          <w:p w14:paraId="0010C524">
            <w:pPr>
              <w:spacing w:line="360" w:lineRule="auto"/>
              <w:ind w:firstLine="480"/>
              <w:rPr>
                <w:rFonts w:hint="eastAsia"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污染物达标排放情况：企业委托承德卓远环境监测有限公司于2023年4月5日对4t/h生物质锅炉和11t/h生物质锅炉进行了自行监测并出具监测报告：CDZY自行监测【2023】0219号和2024年9月11日对蛋白干燥废气、淀粉烘干废气、厂界无组织废气进行监测并出具监测报告：CDZY自行监测【2021】1102号；废气结果统计如下；</w:t>
            </w:r>
          </w:p>
          <w:p w14:paraId="181CAC71">
            <w:pPr>
              <w:pStyle w:val="50"/>
              <w:numPr>
                <w:ilvl w:val="0"/>
                <w:numId w:val="6"/>
              </w:numPr>
              <w:spacing w:line="360" w:lineRule="auto"/>
              <w:ind w:left="0" w:firstLine="0" w:firstLineChars="0"/>
              <w:jc w:val="center"/>
              <w:rPr>
                <w:rFonts w:ascii="宋体" w:hAnsi="宋体" w:eastAsia="宋体"/>
                <w:b/>
                <w:sz w:val="21"/>
                <w:highlight w:val="none"/>
              </w:rPr>
            </w:pPr>
            <w:r>
              <w:rPr>
                <w:rFonts w:hint="eastAsia" w:ascii="宋体" w:hAnsi="宋体" w:eastAsia="宋体"/>
                <w:b/>
                <w:sz w:val="21"/>
                <w:highlight w:val="none"/>
                <w:lang w:val="en-US" w:eastAsia="zh-CN"/>
              </w:rPr>
              <w:t>锅炉废气检测结果一览表</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1"/>
              <w:gridCol w:w="1666"/>
              <w:gridCol w:w="2071"/>
              <w:gridCol w:w="1003"/>
              <w:gridCol w:w="1201"/>
            </w:tblGrid>
            <w:tr w14:paraId="0F718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5" w:type="pct"/>
                  <w:vAlign w:val="center"/>
                </w:tcPr>
                <w:p w14:paraId="6943EF6D">
                  <w:pPr>
                    <w:spacing w:line="0" w:lineRule="atLeast"/>
                    <w:jc w:val="center"/>
                    <w:rPr>
                      <w:rFonts w:ascii="Times New Roman" w:hAnsi="Times New Roman" w:cs="Times New Roman"/>
                      <w:b/>
                      <w:bCs/>
                      <w:szCs w:val="21"/>
                      <w:highlight w:val="none"/>
                    </w:rPr>
                  </w:pPr>
                  <w:r>
                    <w:rPr>
                      <w:rFonts w:ascii="Times New Roman" w:hAnsi="Times New Roman" w:cs="Times New Roman"/>
                      <w:b/>
                      <w:bCs/>
                      <w:szCs w:val="21"/>
                      <w:highlight w:val="none"/>
                    </w:rPr>
                    <w:t>检测点位</w:t>
                  </w:r>
                </w:p>
              </w:tc>
              <w:tc>
                <w:tcPr>
                  <w:tcW w:w="1050" w:type="pct"/>
                  <w:vAlign w:val="center"/>
                </w:tcPr>
                <w:p w14:paraId="369A9223">
                  <w:pPr>
                    <w:spacing w:line="0" w:lineRule="atLeast"/>
                    <w:jc w:val="center"/>
                    <w:rPr>
                      <w:rFonts w:hint="default" w:ascii="Times New Roman" w:hAnsi="Times New Roman" w:eastAsia="宋体" w:cs="Times New Roman"/>
                      <w:b/>
                      <w:bCs/>
                      <w:color w:val="000000"/>
                      <w:kern w:val="0"/>
                      <w:szCs w:val="21"/>
                      <w:highlight w:val="none"/>
                      <w:lang w:val="en-US" w:eastAsia="zh-CN"/>
                    </w:rPr>
                  </w:pPr>
                  <w:r>
                    <w:rPr>
                      <w:rFonts w:hint="eastAsia" w:ascii="Times New Roman" w:hAnsi="Times New Roman" w:cs="Times New Roman"/>
                      <w:b/>
                      <w:bCs/>
                      <w:kern w:val="0"/>
                      <w:szCs w:val="21"/>
                      <w:highlight w:val="none"/>
                      <w:lang w:val="en-US" w:eastAsia="zh-CN"/>
                    </w:rPr>
                    <w:t>4t/h生物质锅炉废气排放口</w:t>
                  </w:r>
                </w:p>
              </w:tc>
              <w:tc>
                <w:tcPr>
                  <w:tcW w:w="1305" w:type="pct"/>
                  <w:vAlign w:val="center"/>
                </w:tcPr>
                <w:p w14:paraId="3E4F2A6D">
                  <w:pPr>
                    <w:spacing w:line="0" w:lineRule="atLeast"/>
                    <w:jc w:val="center"/>
                    <w:rPr>
                      <w:rFonts w:hint="default" w:ascii="Times New Roman" w:hAnsi="Times New Roman" w:eastAsia="宋体" w:cs="Times New Roman"/>
                      <w:b/>
                      <w:bCs/>
                      <w:kern w:val="0"/>
                      <w:szCs w:val="21"/>
                      <w:highlight w:val="none"/>
                      <w:lang w:val="en-US" w:eastAsia="zh-CN"/>
                    </w:rPr>
                  </w:pPr>
                  <w:r>
                    <w:rPr>
                      <w:rFonts w:hint="eastAsia" w:ascii="Times New Roman" w:hAnsi="Times New Roman" w:cs="Times New Roman"/>
                      <w:b/>
                      <w:bCs/>
                      <w:kern w:val="0"/>
                      <w:szCs w:val="21"/>
                      <w:highlight w:val="none"/>
                      <w:lang w:val="en-US" w:eastAsia="zh-CN"/>
                    </w:rPr>
                    <w:t>11t/h生物质锅炉废气排放口</w:t>
                  </w:r>
                </w:p>
              </w:tc>
              <w:tc>
                <w:tcPr>
                  <w:tcW w:w="632" w:type="pct"/>
                  <w:vAlign w:val="center"/>
                </w:tcPr>
                <w:p w14:paraId="6AA59029">
                  <w:pPr>
                    <w:spacing w:line="0" w:lineRule="atLeast"/>
                    <w:jc w:val="center"/>
                    <w:rPr>
                      <w:rFonts w:ascii="Times New Roman" w:hAnsi="Times New Roman" w:cs="Times New Roman"/>
                      <w:b/>
                      <w:bCs/>
                      <w:szCs w:val="21"/>
                      <w:highlight w:val="none"/>
                    </w:rPr>
                  </w:pPr>
                  <w:r>
                    <w:rPr>
                      <w:rFonts w:ascii="Times New Roman" w:hAnsi="Times New Roman" w:cs="Times New Roman"/>
                      <w:b/>
                      <w:bCs/>
                      <w:szCs w:val="21"/>
                      <w:highlight w:val="none"/>
                    </w:rPr>
                    <w:t>标准</w:t>
                  </w:r>
                </w:p>
                <w:p w14:paraId="4D11D100">
                  <w:pPr>
                    <w:spacing w:line="0" w:lineRule="atLeast"/>
                    <w:jc w:val="center"/>
                    <w:rPr>
                      <w:rFonts w:ascii="Times New Roman" w:hAnsi="Times New Roman" w:cs="Times New Roman"/>
                      <w:b/>
                      <w:bCs/>
                      <w:color w:val="000000"/>
                      <w:kern w:val="0"/>
                      <w:szCs w:val="21"/>
                      <w:highlight w:val="none"/>
                    </w:rPr>
                  </w:pPr>
                  <w:r>
                    <w:rPr>
                      <w:rFonts w:ascii="Times New Roman" w:hAnsi="Times New Roman" w:cs="Times New Roman"/>
                      <w:b/>
                      <w:bCs/>
                      <w:szCs w:val="21"/>
                      <w:highlight w:val="none"/>
                    </w:rPr>
                    <w:t>限值</w:t>
                  </w:r>
                </w:p>
              </w:tc>
              <w:tc>
                <w:tcPr>
                  <w:tcW w:w="756" w:type="pct"/>
                  <w:vAlign w:val="center"/>
                </w:tcPr>
                <w:p w14:paraId="51E45B21">
                  <w:pPr>
                    <w:spacing w:line="0" w:lineRule="atLeast"/>
                    <w:jc w:val="center"/>
                    <w:rPr>
                      <w:rFonts w:ascii="Times New Roman" w:hAnsi="Times New Roman" w:cs="Times New Roman"/>
                      <w:b/>
                      <w:bCs/>
                      <w:szCs w:val="21"/>
                      <w:highlight w:val="none"/>
                    </w:rPr>
                  </w:pPr>
                  <w:r>
                    <w:rPr>
                      <w:rFonts w:ascii="Times New Roman" w:hAnsi="Times New Roman" w:cs="Times New Roman"/>
                      <w:b/>
                      <w:bCs/>
                      <w:szCs w:val="21"/>
                      <w:highlight w:val="none"/>
                    </w:rPr>
                    <w:t>达标</w:t>
                  </w:r>
                </w:p>
                <w:p w14:paraId="6369D5C1">
                  <w:pPr>
                    <w:spacing w:line="0" w:lineRule="atLeast"/>
                    <w:jc w:val="center"/>
                    <w:rPr>
                      <w:rFonts w:ascii="Times New Roman" w:hAnsi="Times New Roman" w:cs="Times New Roman"/>
                      <w:b/>
                      <w:bCs/>
                      <w:szCs w:val="21"/>
                      <w:highlight w:val="none"/>
                    </w:rPr>
                  </w:pPr>
                  <w:r>
                    <w:rPr>
                      <w:rFonts w:ascii="Times New Roman" w:hAnsi="Times New Roman" w:cs="Times New Roman"/>
                      <w:b/>
                      <w:bCs/>
                      <w:szCs w:val="21"/>
                      <w:highlight w:val="none"/>
                    </w:rPr>
                    <w:t>情况</w:t>
                  </w:r>
                </w:p>
              </w:tc>
            </w:tr>
            <w:tr w14:paraId="5CBFC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255" w:type="pct"/>
                  <w:vAlign w:val="center"/>
                </w:tcPr>
                <w:p w14:paraId="7EA721AD">
                  <w:pPr>
                    <w:spacing w:line="0" w:lineRule="atLeast"/>
                    <w:jc w:val="center"/>
                    <w:rPr>
                      <w:rFonts w:ascii="Times New Roman" w:hAnsi="Times New Roman" w:cs="Times New Roman"/>
                      <w:szCs w:val="21"/>
                      <w:highlight w:val="none"/>
                    </w:rPr>
                  </w:pPr>
                  <w:r>
                    <w:rPr>
                      <w:rFonts w:ascii="Times New Roman" w:hAnsi="Times New Roman" w:cs="Times New Roman"/>
                      <w:szCs w:val="21"/>
                      <w:highlight w:val="none"/>
                    </w:rPr>
                    <w:t>采样日期</w:t>
                  </w:r>
                </w:p>
              </w:tc>
              <w:tc>
                <w:tcPr>
                  <w:tcW w:w="3744" w:type="pct"/>
                  <w:gridSpan w:val="4"/>
                  <w:vAlign w:val="center"/>
                </w:tcPr>
                <w:p w14:paraId="536FF5F3">
                  <w:pPr>
                    <w:spacing w:line="0" w:lineRule="atLeast"/>
                    <w:jc w:val="center"/>
                    <w:rPr>
                      <w:rFonts w:ascii="Times New Roman" w:hAnsi="Times New Roman" w:cs="Times New Roman"/>
                      <w:szCs w:val="21"/>
                      <w:highlight w:val="none"/>
                    </w:rPr>
                  </w:pPr>
                  <w:r>
                    <w:rPr>
                      <w:rFonts w:hint="eastAsia" w:ascii="Times New Roman" w:hAnsi="Times New Roman" w:cs="Times New Roman"/>
                      <w:szCs w:val="21"/>
                      <w:highlight w:val="none"/>
                      <w:lang w:val="en-US" w:eastAsia="zh-CN"/>
                    </w:rPr>
                    <w:t>2023.4.5</w:t>
                  </w:r>
                </w:p>
              </w:tc>
            </w:tr>
            <w:tr w14:paraId="74E66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5" w:type="pct"/>
                  <w:vAlign w:val="center"/>
                </w:tcPr>
                <w:p w14:paraId="0CD1B488">
                  <w:pPr>
                    <w:spacing w:line="0" w:lineRule="atLeast"/>
                    <w:jc w:val="center"/>
                    <w:rPr>
                      <w:rFonts w:ascii="Times New Roman" w:hAnsi="Times New Roman" w:cs="Times New Roman"/>
                      <w:szCs w:val="21"/>
                      <w:highlight w:val="none"/>
                    </w:rPr>
                  </w:pPr>
                  <w:r>
                    <w:rPr>
                      <w:rFonts w:hint="eastAsia" w:ascii="Times New Roman" w:hAnsi="Times New Roman" w:cs="Times New Roman"/>
                      <w:szCs w:val="21"/>
                      <w:highlight w:val="none"/>
                      <w:lang w:val="en-US" w:eastAsia="zh-CN"/>
                    </w:rPr>
                    <w:t>标杆流量</w:t>
                  </w:r>
                  <w:r>
                    <w:rPr>
                      <w:rFonts w:ascii="Times New Roman" w:hAnsi="Times New Roman" w:cs="Times New Roman"/>
                      <w:szCs w:val="21"/>
                      <w:highlight w:val="none"/>
                    </w:rPr>
                    <w:t>(m</w:t>
                  </w:r>
                  <w:r>
                    <w:rPr>
                      <w:rFonts w:ascii="Times New Roman" w:hAnsi="Times New Roman" w:cs="Times New Roman"/>
                      <w:szCs w:val="21"/>
                      <w:highlight w:val="none"/>
                      <w:vertAlign w:val="superscript"/>
                    </w:rPr>
                    <w:t>3</w:t>
                  </w:r>
                  <w:r>
                    <w:rPr>
                      <w:rFonts w:ascii="Times New Roman" w:hAnsi="Times New Roman" w:cs="Times New Roman"/>
                      <w:szCs w:val="21"/>
                      <w:highlight w:val="none"/>
                    </w:rPr>
                    <w:t>/h)</w:t>
                  </w:r>
                </w:p>
              </w:tc>
              <w:tc>
                <w:tcPr>
                  <w:tcW w:w="1050" w:type="pct"/>
                  <w:vAlign w:val="center"/>
                </w:tcPr>
                <w:p w14:paraId="174968B6">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5010</w:t>
                  </w:r>
                </w:p>
              </w:tc>
              <w:tc>
                <w:tcPr>
                  <w:tcW w:w="1305" w:type="pct"/>
                  <w:vAlign w:val="center"/>
                </w:tcPr>
                <w:p w14:paraId="78F5F427">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22381</w:t>
                  </w:r>
                </w:p>
              </w:tc>
              <w:tc>
                <w:tcPr>
                  <w:tcW w:w="632" w:type="pct"/>
                  <w:vAlign w:val="center"/>
                </w:tcPr>
                <w:p w14:paraId="63F49EC7">
                  <w:pPr>
                    <w:spacing w:line="0" w:lineRule="atLeast"/>
                    <w:jc w:val="center"/>
                    <w:rPr>
                      <w:rFonts w:hint="eastAsia"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w:t>
                  </w:r>
                </w:p>
              </w:tc>
              <w:tc>
                <w:tcPr>
                  <w:tcW w:w="756" w:type="pct"/>
                  <w:vAlign w:val="center"/>
                </w:tcPr>
                <w:p w14:paraId="554240CF">
                  <w:pPr>
                    <w:spacing w:line="0" w:lineRule="atLeast"/>
                    <w:jc w:val="center"/>
                    <w:rPr>
                      <w:rFonts w:ascii="Times New Roman" w:hAnsi="Times New Roman" w:cs="Times New Roman"/>
                      <w:szCs w:val="21"/>
                      <w:highlight w:val="none"/>
                    </w:rPr>
                  </w:pPr>
                  <w:r>
                    <w:rPr>
                      <w:rFonts w:ascii="Times New Roman" w:hAnsi="Times New Roman" w:cs="Times New Roman"/>
                      <w:szCs w:val="21"/>
                      <w:highlight w:val="none"/>
                    </w:rPr>
                    <w:t>-</w:t>
                  </w:r>
                </w:p>
              </w:tc>
            </w:tr>
            <w:tr w14:paraId="185D9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5" w:type="pct"/>
                  <w:vAlign w:val="center"/>
                </w:tcPr>
                <w:p w14:paraId="62636E77">
                  <w:pPr>
                    <w:spacing w:line="0" w:lineRule="atLeast"/>
                    <w:jc w:val="center"/>
                    <w:rPr>
                      <w:rFonts w:ascii="Times New Roman" w:hAnsi="Times New Roman" w:cs="Times New Roman"/>
                      <w:szCs w:val="21"/>
                      <w:highlight w:val="none"/>
                    </w:rPr>
                  </w:pPr>
                  <w:r>
                    <w:rPr>
                      <w:rFonts w:ascii="Times New Roman" w:hAnsi="Times New Roman" w:cs="Times New Roman"/>
                      <w:szCs w:val="21"/>
                      <w:highlight w:val="none"/>
                    </w:rPr>
                    <w:t>烟温（℃）</w:t>
                  </w:r>
                </w:p>
              </w:tc>
              <w:tc>
                <w:tcPr>
                  <w:tcW w:w="1050" w:type="pct"/>
                  <w:vAlign w:val="center"/>
                </w:tcPr>
                <w:p w14:paraId="26C03926">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83.2</w:t>
                  </w:r>
                </w:p>
              </w:tc>
              <w:tc>
                <w:tcPr>
                  <w:tcW w:w="1305" w:type="pct"/>
                  <w:vAlign w:val="center"/>
                </w:tcPr>
                <w:p w14:paraId="2137E516">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94.4</w:t>
                  </w:r>
                </w:p>
              </w:tc>
              <w:tc>
                <w:tcPr>
                  <w:tcW w:w="632" w:type="pct"/>
                  <w:shd w:val="clear" w:color="auto" w:fill="auto"/>
                  <w:vAlign w:val="center"/>
                </w:tcPr>
                <w:p w14:paraId="47722A55">
                  <w:pPr>
                    <w:spacing w:line="0" w:lineRule="atLeast"/>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kern w:val="0"/>
                      <w:szCs w:val="21"/>
                      <w:highlight w:val="none"/>
                      <w:lang w:val="en-US" w:eastAsia="zh-CN"/>
                    </w:rPr>
                    <w:t>-</w:t>
                  </w:r>
                </w:p>
              </w:tc>
              <w:tc>
                <w:tcPr>
                  <w:tcW w:w="756" w:type="pct"/>
                  <w:shd w:val="clear" w:color="auto" w:fill="auto"/>
                  <w:vAlign w:val="center"/>
                </w:tcPr>
                <w:p w14:paraId="0C666B42">
                  <w:pPr>
                    <w:spacing w:line="0" w:lineRule="atLeast"/>
                    <w:jc w:val="center"/>
                    <w:rPr>
                      <w:rFonts w:ascii="Times New Roman" w:hAnsi="Times New Roman" w:eastAsia="宋体" w:cs="Times New Roman"/>
                      <w:kern w:val="2"/>
                      <w:sz w:val="21"/>
                      <w:szCs w:val="21"/>
                      <w:highlight w:val="none"/>
                      <w:lang w:val="en-US" w:eastAsia="zh-CN" w:bidi="ar-SA"/>
                    </w:rPr>
                  </w:pPr>
                  <w:r>
                    <w:rPr>
                      <w:rFonts w:ascii="Times New Roman" w:hAnsi="Times New Roman" w:cs="Times New Roman"/>
                      <w:szCs w:val="21"/>
                      <w:highlight w:val="none"/>
                    </w:rPr>
                    <w:t>-</w:t>
                  </w:r>
                </w:p>
              </w:tc>
            </w:tr>
            <w:tr w14:paraId="0A9D0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5" w:type="pct"/>
                  <w:vAlign w:val="center"/>
                </w:tcPr>
                <w:p w14:paraId="7DCEE2C7">
                  <w:pPr>
                    <w:spacing w:line="0" w:lineRule="atLeast"/>
                    <w:jc w:val="center"/>
                    <w:rPr>
                      <w:rFonts w:ascii="Times New Roman" w:hAnsi="Times New Roman" w:cs="Times New Roman"/>
                      <w:szCs w:val="21"/>
                      <w:highlight w:val="none"/>
                    </w:rPr>
                  </w:pPr>
                  <w:r>
                    <w:rPr>
                      <w:rFonts w:ascii="Times New Roman" w:hAnsi="Times New Roman" w:cs="Times New Roman"/>
                      <w:color w:val="000000"/>
                      <w:kern w:val="0"/>
                      <w:szCs w:val="21"/>
                      <w:highlight w:val="none"/>
                    </w:rPr>
                    <w:t>流速（m/s）</w:t>
                  </w:r>
                </w:p>
              </w:tc>
              <w:tc>
                <w:tcPr>
                  <w:tcW w:w="1050" w:type="pct"/>
                  <w:vAlign w:val="center"/>
                </w:tcPr>
                <w:p w14:paraId="7D7D0147">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11.54</w:t>
                  </w:r>
                </w:p>
              </w:tc>
              <w:tc>
                <w:tcPr>
                  <w:tcW w:w="1305" w:type="pct"/>
                  <w:vAlign w:val="center"/>
                </w:tcPr>
                <w:p w14:paraId="5F03A0B7">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20.20</w:t>
                  </w:r>
                </w:p>
              </w:tc>
              <w:tc>
                <w:tcPr>
                  <w:tcW w:w="632" w:type="pct"/>
                  <w:shd w:val="clear" w:color="auto" w:fill="auto"/>
                  <w:vAlign w:val="center"/>
                </w:tcPr>
                <w:p w14:paraId="6EFD0FD7">
                  <w:pPr>
                    <w:spacing w:line="0" w:lineRule="atLeast"/>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kern w:val="0"/>
                      <w:szCs w:val="21"/>
                      <w:highlight w:val="none"/>
                      <w:lang w:val="en-US" w:eastAsia="zh-CN"/>
                    </w:rPr>
                    <w:t>-</w:t>
                  </w:r>
                </w:p>
              </w:tc>
              <w:tc>
                <w:tcPr>
                  <w:tcW w:w="756" w:type="pct"/>
                  <w:shd w:val="clear" w:color="auto" w:fill="auto"/>
                  <w:vAlign w:val="center"/>
                </w:tcPr>
                <w:p w14:paraId="69E26C7D">
                  <w:pPr>
                    <w:spacing w:line="0" w:lineRule="atLeast"/>
                    <w:jc w:val="center"/>
                    <w:rPr>
                      <w:rFonts w:ascii="Times New Roman" w:hAnsi="Times New Roman" w:eastAsia="宋体" w:cs="Times New Roman"/>
                      <w:kern w:val="2"/>
                      <w:sz w:val="21"/>
                      <w:szCs w:val="21"/>
                      <w:highlight w:val="none"/>
                      <w:lang w:val="en-US" w:eastAsia="zh-CN" w:bidi="ar-SA"/>
                    </w:rPr>
                  </w:pPr>
                  <w:r>
                    <w:rPr>
                      <w:rFonts w:ascii="Times New Roman" w:hAnsi="Times New Roman" w:cs="Times New Roman"/>
                      <w:szCs w:val="21"/>
                      <w:highlight w:val="none"/>
                    </w:rPr>
                    <w:t>-</w:t>
                  </w:r>
                </w:p>
              </w:tc>
            </w:tr>
            <w:tr w14:paraId="75340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5" w:type="pct"/>
                  <w:vAlign w:val="center"/>
                </w:tcPr>
                <w:p w14:paraId="5CF37B45">
                  <w:pPr>
                    <w:spacing w:line="0" w:lineRule="atLeast"/>
                    <w:jc w:val="center"/>
                    <w:rPr>
                      <w:rFonts w:hint="eastAsia"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含湿量（%）</w:t>
                  </w:r>
                </w:p>
              </w:tc>
              <w:tc>
                <w:tcPr>
                  <w:tcW w:w="1050" w:type="pct"/>
                  <w:vAlign w:val="center"/>
                </w:tcPr>
                <w:p w14:paraId="2C7AE760">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11.7</w:t>
                  </w:r>
                </w:p>
              </w:tc>
              <w:tc>
                <w:tcPr>
                  <w:tcW w:w="1305" w:type="pct"/>
                  <w:vAlign w:val="center"/>
                </w:tcPr>
                <w:p w14:paraId="4FAA245E">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9.1</w:t>
                  </w:r>
                </w:p>
              </w:tc>
              <w:tc>
                <w:tcPr>
                  <w:tcW w:w="632" w:type="pct"/>
                  <w:shd w:val="clear" w:color="auto" w:fill="auto"/>
                  <w:vAlign w:val="center"/>
                </w:tcPr>
                <w:p w14:paraId="33C6D61A">
                  <w:pPr>
                    <w:spacing w:line="0" w:lineRule="atLeast"/>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kern w:val="0"/>
                      <w:szCs w:val="21"/>
                      <w:highlight w:val="none"/>
                      <w:lang w:val="en-US" w:eastAsia="zh-CN"/>
                    </w:rPr>
                    <w:t>-</w:t>
                  </w:r>
                </w:p>
              </w:tc>
              <w:tc>
                <w:tcPr>
                  <w:tcW w:w="756" w:type="pct"/>
                  <w:shd w:val="clear" w:color="auto" w:fill="auto"/>
                  <w:vAlign w:val="center"/>
                </w:tcPr>
                <w:p w14:paraId="12F8D6A5">
                  <w:pPr>
                    <w:spacing w:line="0" w:lineRule="atLeast"/>
                    <w:jc w:val="center"/>
                    <w:rPr>
                      <w:rFonts w:ascii="Times New Roman" w:hAnsi="Times New Roman" w:eastAsia="宋体" w:cs="Times New Roman"/>
                      <w:kern w:val="2"/>
                      <w:sz w:val="21"/>
                      <w:szCs w:val="21"/>
                      <w:highlight w:val="none"/>
                      <w:lang w:val="en-US" w:eastAsia="zh-CN" w:bidi="ar-SA"/>
                    </w:rPr>
                  </w:pPr>
                  <w:r>
                    <w:rPr>
                      <w:rFonts w:ascii="Times New Roman" w:hAnsi="Times New Roman" w:cs="Times New Roman"/>
                      <w:szCs w:val="21"/>
                      <w:highlight w:val="none"/>
                    </w:rPr>
                    <w:t>-</w:t>
                  </w:r>
                </w:p>
              </w:tc>
            </w:tr>
            <w:tr w14:paraId="0A5A1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5" w:type="pct"/>
                  <w:vAlign w:val="center"/>
                </w:tcPr>
                <w:p w14:paraId="2CA767AF">
                  <w:pPr>
                    <w:spacing w:line="0" w:lineRule="atLeast"/>
                    <w:jc w:val="center"/>
                    <w:rPr>
                      <w:rFonts w:hint="eastAsia"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含氧量（%）</w:t>
                  </w:r>
                </w:p>
              </w:tc>
              <w:tc>
                <w:tcPr>
                  <w:tcW w:w="1050" w:type="pct"/>
                  <w:vAlign w:val="center"/>
                </w:tcPr>
                <w:p w14:paraId="1FF9F709">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11.2</w:t>
                  </w:r>
                </w:p>
              </w:tc>
              <w:tc>
                <w:tcPr>
                  <w:tcW w:w="1305" w:type="pct"/>
                  <w:vAlign w:val="center"/>
                </w:tcPr>
                <w:p w14:paraId="5BB29950">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11.0</w:t>
                  </w:r>
                </w:p>
              </w:tc>
              <w:tc>
                <w:tcPr>
                  <w:tcW w:w="632" w:type="pct"/>
                  <w:shd w:val="clear" w:color="auto" w:fill="auto"/>
                  <w:vAlign w:val="center"/>
                </w:tcPr>
                <w:p w14:paraId="484A1EFC">
                  <w:pPr>
                    <w:spacing w:line="0" w:lineRule="atLeast"/>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kern w:val="0"/>
                      <w:szCs w:val="21"/>
                      <w:highlight w:val="none"/>
                      <w:lang w:val="en-US" w:eastAsia="zh-CN"/>
                    </w:rPr>
                    <w:t>-</w:t>
                  </w:r>
                </w:p>
              </w:tc>
              <w:tc>
                <w:tcPr>
                  <w:tcW w:w="756" w:type="pct"/>
                  <w:shd w:val="clear" w:color="auto" w:fill="auto"/>
                  <w:vAlign w:val="center"/>
                </w:tcPr>
                <w:p w14:paraId="5EE2F874">
                  <w:pPr>
                    <w:spacing w:line="0" w:lineRule="atLeast"/>
                    <w:jc w:val="center"/>
                    <w:rPr>
                      <w:rFonts w:ascii="Times New Roman" w:hAnsi="Times New Roman" w:eastAsia="宋体" w:cs="Times New Roman"/>
                      <w:kern w:val="2"/>
                      <w:sz w:val="21"/>
                      <w:szCs w:val="21"/>
                      <w:highlight w:val="none"/>
                      <w:lang w:val="en-US" w:eastAsia="zh-CN" w:bidi="ar-SA"/>
                    </w:rPr>
                  </w:pPr>
                  <w:r>
                    <w:rPr>
                      <w:rFonts w:ascii="Times New Roman" w:hAnsi="Times New Roman" w:cs="Times New Roman"/>
                      <w:szCs w:val="21"/>
                      <w:highlight w:val="none"/>
                    </w:rPr>
                    <w:t>-</w:t>
                  </w:r>
                </w:p>
              </w:tc>
            </w:tr>
            <w:tr w14:paraId="7777E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5" w:type="pct"/>
                  <w:vAlign w:val="center"/>
                </w:tcPr>
                <w:p w14:paraId="521FE524">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颗粒物实测浓度（</w:t>
                  </w:r>
                  <w:r>
                    <w:rPr>
                      <w:rFonts w:ascii="Times New Roman" w:hAnsi="Times New Roman" w:cs="Times New Roman"/>
                      <w:szCs w:val="21"/>
                      <w:highlight w:val="none"/>
                    </w:rPr>
                    <w:t>mg/m</w:t>
                  </w:r>
                  <w:r>
                    <w:rPr>
                      <w:rFonts w:ascii="Times New Roman" w:hAnsi="Times New Roman" w:cs="Times New Roman"/>
                      <w:szCs w:val="21"/>
                      <w:highlight w:val="none"/>
                      <w:vertAlign w:val="superscript"/>
                    </w:rPr>
                    <w:t>3</w:t>
                  </w:r>
                  <w:r>
                    <w:rPr>
                      <w:rFonts w:hint="eastAsia" w:ascii="Times New Roman" w:hAnsi="Times New Roman" w:cs="Times New Roman"/>
                      <w:color w:val="000000"/>
                      <w:kern w:val="0"/>
                      <w:szCs w:val="21"/>
                      <w:highlight w:val="none"/>
                      <w:lang w:val="en-US" w:eastAsia="zh-CN"/>
                    </w:rPr>
                    <w:t>）</w:t>
                  </w:r>
                </w:p>
              </w:tc>
              <w:tc>
                <w:tcPr>
                  <w:tcW w:w="1050" w:type="pct"/>
                  <w:vAlign w:val="center"/>
                </w:tcPr>
                <w:p w14:paraId="3AD2B347">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9.9</w:t>
                  </w:r>
                </w:p>
              </w:tc>
              <w:tc>
                <w:tcPr>
                  <w:tcW w:w="1305" w:type="pct"/>
                  <w:vAlign w:val="center"/>
                </w:tcPr>
                <w:p w14:paraId="589DE018">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10.6</w:t>
                  </w:r>
                </w:p>
              </w:tc>
              <w:tc>
                <w:tcPr>
                  <w:tcW w:w="632" w:type="pct"/>
                  <w:shd w:val="clear" w:color="auto" w:fill="auto"/>
                  <w:vAlign w:val="center"/>
                </w:tcPr>
                <w:p w14:paraId="5EED8277">
                  <w:pPr>
                    <w:spacing w:line="0" w:lineRule="atLeast"/>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kern w:val="0"/>
                      <w:szCs w:val="21"/>
                      <w:highlight w:val="none"/>
                      <w:lang w:val="en-US" w:eastAsia="zh-CN"/>
                    </w:rPr>
                    <w:t>-</w:t>
                  </w:r>
                </w:p>
              </w:tc>
              <w:tc>
                <w:tcPr>
                  <w:tcW w:w="756" w:type="pct"/>
                  <w:shd w:val="clear" w:color="auto" w:fill="auto"/>
                  <w:vAlign w:val="center"/>
                </w:tcPr>
                <w:p w14:paraId="371D2D50">
                  <w:pPr>
                    <w:spacing w:line="0" w:lineRule="atLeast"/>
                    <w:jc w:val="center"/>
                    <w:rPr>
                      <w:rFonts w:ascii="Times New Roman" w:hAnsi="Times New Roman" w:eastAsia="宋体" w:cs="Times New Roman"/>
                      <w:kern w:val="2"/>
                      <w:sz w:val="21"/>
                      <w:szCs w:val="21"/>
                      <w:highlight w:val="none"/>
                      <w:lang w:val="en-US" w:eastAsia="zh-CN" w:bidi="ar-SA"/>
                    </w:rPr>
                  </w:pPr>
                  <w:r>
                    <w:rPr>
                      <w:rFonts w:ascii="Times New Roman" w:hAnsi="Times New Roman" w:cs="Times New Roman"/>
                      <w:szCs w:val="21"/>
                      <w:highlight w:val="none"/>
                    </w:rPr>
                    <w:t>-</w:t>
                  </w:r>
                </w:p>
              </w:tc>
            </w:tr>
            <w:tr w14:paraId="28D05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5" w:type="pct"/>
                  <w:vAlign w:val="center"/>
                </w:tcPr>
                <w:p w14:paraId="291F725D">
                  <w:pPr>
                    <w:spacing w:line="0" w:lineRule="atLeast"/>
                    <w:jc w:val="center"/>
                    <w:rPr>
                      <w:rFonts w:ascii="Times New Roman" w:hAnsi="Times New Roman" w:cs="Times New Roman"/>
                      <w:szCs w:val="21"/>
                      <w:highlight w:val="none"/>
                    </w:rPr>
                  </w:pPr>
                  <w:r>
                    <w:rPr>
                      <w:rFonts w:ascii="Times New Roman" w:hAnsi="Times New Roman" w:cs="Times New Roman"/>
                      <w:kern w:val="0"/>
                      <w:szCs w:val="21"/>
                      <w:highlight w:val="none"/>
                    </w:rPr>
                    <w:t>颗粒物</w:t>
                  </w:r>
                  <w:r>
                    <w:rPr>
                      <w:rFonts w:hint="eastAsia" w:ascii="Times New Roman" w:hAnsi="Times New Roman" w:cs="Times New Roman"/>
                      <w:kern w:val="0"/>
                      <w:szCs w:val="21"/>
                      <w:highlight w:val="none"/>
                      <w:lang w:val="en-US" w:eastAsia="zh-CN"/>
                    </w:rPr>
                    <w:t>折算浓度</w:t>
                  </w:r>
                  <w:r>
                    <w:rPr>
                      <w:rFonts w:ascii="Times New Roman" w:hAnsi="Times New Roman" w:cs="Times New Roman"/>
                      <w:szCs w:val="21"/>
                      <w:highlight w:val="none"/>
                    </w:rPr>
                    <w:t>（mg/m</w:t>
                  </w:r>
                  <w:r>
                    <w:rPr>
                      <w:rFonts w:ascii="Times New Roman" w:hAnsi="Times New Roman" w:cs="Times New Roman"/>
                      <w:szCs w:val="21"/>
                      <w:highlight w:val="none"/>
                      <w:vertAlign w:val="superscript"/>
                    </w:rPr>
                    <w:t>3</w:t>
                  </w:r>
                  <w:r>
                    <w:rPr>
                      <w:rFonts w:ascii="Times New Roman" w:hAnsi="Times New Roman" w:cs="Times New Roman"/>
                      <w:szCs w:val="21"/>
                      <w:highlight w:val="none"/>
                    </w:rPr>
                    <w:t>）</w:t>
                  </w:r>
                </w:p>
              </w:tc>
              <w:tc>
                <w:tcPr>
                  <w:tcW w:w="1050" w:type="pct"/>
                  <w:vAlign w:val="center"/>
                </w:tcPr>
                <w:p w14:paraId="33D4F184">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12.1</w:t>
                  </w:r>
                </w:p>
              </w:tc>
              <w:tc>
                <w:tcPr>
                  <w:tcW w:w="1305" w:type="pct"/>
                  <w:vAlign w:val="center"/>
                </w:tcPr>
                <w:p w14:paraId="372EADE6">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12.7</w:t>
                  </w:r>
                </w:p>
              </w:tc>
              <w:tc>
                <w:tcPr>
                  <w:tcW w:w="632" w:type="pct"/>
                  <w:vAlign w:val="center"/>
                </w:tcPr>
                <w:p w14:paraId="5380A56B">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20</w:t>
                  </w:r>
                </w:p>
              </w:tc>
              <w:tc>
                <w:tcPr>
                  <w:tcW w:w="756" w:type="pct"/>
                  <w:vAlign w:val="center"/>
                </w:tcPr>
                <w:p w14:paraId="6AF2940F">
                  <w:pPr>
                    <w:spacing w:line="0" w:lineRule="atLeast"/>
                    <w:jc w:val="center"/>
                    <w:rPr>
                      <w:rFonts w:hint="eastAsia"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达标</w:t>
                  </w:r>
                </w:p>
              </w:tc>
            </w:tr>
            <w:tr w14:paraId="0AF00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5" w:type="pct"/>
                  <w:vAlign w:val="center"/>
                </w:tcPr>
                <w:p w14:paraId="1E654411">
                  <w:pPr>
                    <w:spacing w:line="0" w:lineRule="atLeast"/>
                    <w:jc w:val="center"/>
                    <w:rPr>
                      <w:rFonts w:hint="default" w:ascii="Times New Roman" w:hAnsi="Times New Roman" w:cs="Times New Roman" w:eastAsiaTheme="minorEastAsia"/>
                      <w:kern w:val="0"/>
                      <w:szCs w:val="21"/>
                      <w:highlight w:val="none"/>
                      <w:lang w:val="en-US" w:eastAsia="zh-CN"/>
                    </w:rPr>
                  </w:pPr>
                  <w:r>
                    <w:rPr>
                      <w:rFonts w:hint="eastAsia" w:ascii="Times New Roman" w:hAnsi="Times New Roman" w:cs="Times New Roman"/>
                      <w:color w:val="000000"/>
                      <w:kern w:val="0"/>
                      <w:szCs w:val="21"/>
                      <w:highlight w:val="none"/>
                      <w:lang w:val="en-US" w:eastAsia="zh-CN"/>
                    </w:rPr>
                    <w:t>二氧化硫实测浓度（</w:t>
                  </w:r>
                  <w:r>
                    <w:rPr>
                      <w:rFonts w:ascii="Times New Roman" w:hAnsi="Times New Roman" w:cs="Times New Roman"/>
                      <w:szCs w:val="21"/>
                      <w:highlight w:val="none"/>
                    </w:rPr>
                    <w:t>mg/m</w:t>
                  </w:r>
                  <w:r>
                    <w:rPr>
                      <w:rFonts w:ascii="Times New Roman" w:hAnsi="Times New Roman" w:cs="Times New Roman"/>
                      <w:szCs w:val="21"/>
                      <w:highlight w:val="none"/>
                      <w:vertAlign w:val="superscript"/>
                    </w:rPr>
                    <w:t>3</w:t>
                  </w:r>
                  <w:r>
                    <w:rPr>
                      <w:rFonts w:hint="eastAsia" w:ascii="Times New Roman" w:hAnsi="Times New Roman" w:cs="Times New Roman"/>
                      <w:color w:val="000000"/>
                      <w:kern w:val="0"/>
                      <w:szCs w:val="21"/>
                      <w:highlight w:val="none"/>
                      <w:lang w:val="en-US" w:eastAsia="zh-CN"/>
                    </w:rPr>
                    <w:t>）</w:t>
                  </w:r>
                </w:p>
              </w:tc>
              <w:tc>
                <w:tcPr>
                  <w:tcW w:w="1050" w:type="pct"/>
                  <w:vAlign w:val="center"/>
                </w:tcPr>
                <w:p w14:paraId="4B859964">
                  <w:pPr>
                    <w:spacing w:line="0" w:lineRule="atLeast"/>
                    <w:jc w:val="center"/>
                    <w:rPr>
                      <w:rFonts w:hint="default" w:ascii="Times New Roman" w:hAnsi="Times New Roman" w:cs="Times New Roman" w:eastAsiaTheme="minorEastAsia"/>
                      <w:color w:val="000000"/>
                      <w:kern w:val="0"/>
                      <w:szCs w:val="21"/>
                      <w:highlight w:val="none"/>
                      <w:lang w:val="en-US" w:eastAsia="zh-CN"/>
                    </w:rPr>
                  </w:pPr>
                  <w:r>
                    <w:rPr>
                      <w:rFonts w:hint="eastAsia" w:ascii="Times New Roman" w:hAnsi="Times New Roman" w:cs="Times New Roman" w:eastAsiaTheme="minorEastAsia"/>
                      <w:color w:val="000000"/>
                      <w:kern w:val="0"/>
                      <w:szCs w:val="21"/>
                      <w:highlight w:val="none"/>
                      <w:lang w:val="en-US" w:eastAsia="zh-CN"/>
                    </w:rPr>
                    <w:t>11</w:t>
                  </w:r>
                </w:p>
              </w:tc>
              <w:tc>
                <w:tcPr>
                  <w:tcW w:w="1305" w:type="pct"/>
                  <w:vAlign w:val="center"/>
                </w:tcPr>
                <w:p w14:paraId="208C1DC9">
                  <w:pPr>
                    <w:spacing w:line="0" w:lineRule="atLeast"/>
                    <w:jc w:val="center"/>
                    <w:rPr>
                      <w:rFonts w:hint="default" w:ascii="Times New Roman" w:hAnsi="Times New Roman" w:cs="Times New Roman" w:eastAsiaTheme="minorEastAsia"/>
                      <w:color w:val="000000"/>
                      <w:kern w:val="0"/>
                      <w:szCs w:val="21"/>
                      <w:highlight w:val="none"/>
                      <w:lang w:val="en-US" w:eastAsia="zh-CN"/>
                    </w:rPr>
                  </w:pPr>
                  <w:r>
                    <w:rPr>
                      <w:rFonts w:hint="eastAsia" w:ascii="Times New Roman" w:hAnsi="Times New Roman" w:cs="Times New Roman" w:eastAsiaTheme="minorEastAsia"/>
                      <w:color w:val="000000"/>
                      <w:kern w:val="0"/>
                      <w:szCs w:val="21"/>
                      <w:highlight w:val="none"/>
                      <w:lang w:val="en-US" w:eastAsia="zh-CN"/>
                    </w:rPr>
                    <w:t>10</w:t>
                  </w:r>
                </w:p>
              </w:tc>
              <w:tc>
                <w:tcPr>
                  <w:tcW w:w="632" w:type="pct"/>
                  <w:shd w:val="clear" w:color="auto" w:fill="auto"/>
                  <w:vAlign w:val="center"/>
                </w:tcPr>
                <w:p w14:paraId="695A839F">
                  <w:pPr>
                    <w:spacing w:line="0" w:lineRule="atLeas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kern w:val="0"/>
                      <w:szCs w:val="21"/>
                      <w:highlight w:val="none"/>
                      <w:lang w:val="en-US" w:eastAsia="zh-CN"/>
                    </w:rPr>
                    <w:t>-</w:t>
                  </w:r>
                </w:p>
              </w:tc>
              <w:tc>
                <w:tcPr>
                  <w:tcW w:w="756" w:type="pct"/>
                  <w:shd w:val="clear" w:color="auto" w:fill="auto"/>
                  <w:vAlign w:val="center"/>
                </w:tcPr>
                <w:p w14:paraId="3B96A1D2">
                  <w:pPr>
                    <w:spacing w:line="0" w:lineRule="atLeast"/>
                    <w:jc w:val="center"/>
                    <w:rPr>
                      <w:rFonts w:hint="eastAsia" w:ascii="Times New Roman" w:hAnsi="Times New Roman" w:eastAsia="宋体" w:cs="Times New Roman"/>
                      <w:kern w:val="2"/>
                      <w:sz w:val="21"/>
                      <w:szCs w:val="21"/>
                      <w:highlight w:val="none"/>
                      <w:lang w:val="en-US" w:eastAsia="zh-CN" w:bidi="ar-SA"/>
                    </w:rPr>
                  </w:pPr>
                  <w:r>
                    <w:rPr>
                      <w:rFonts w:ascii="Times New Roman" w:hAnsi="Times New Roman" w:cs="Times New Roman"/>
                      <w:szCs w:val="21"/>
                      <w:highlight w:val="none"/>
                    </w:rPr>
                    <w:t>-</w:t>
                  </w:r>
                </w:p>
              </w:tc>
            </w:tr>
            <w:tr w14:paraId="4A38F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5" w:type="pct"/>
                  <w:vAlign w:val="center"/>
                </w:tcPr>
                <w:p w14:paraId="7E7FA5F1">
                  <w:pPr>
                    <w:spacing w:line="0" w:lineRule="atLeast"/>
                    <w:jc w:val="center"/>
                    <w:rPr>
                      <w:rFonts w:hint="eastAsia" w:ascii="Times New Roman" w:hAnsi="Times New Roman" w:cs="Times New Roman"/>
                      <w:kern w:val="0"/>
                      <w:szCs w:val="21"/>
                      <w:highlight w:val="none"/>
                      <w:lang w:val="en-US" w:eastAsia="zh-CN"/>
                    </w:rPr>
                  </w:pPr>
                  <w:r>
                    <w:rPr>
                      <w:rFonts w:hint="eastAsia" w:ascii="Times New Roman" w:hAnsi="Times New Roman" w:cs="Times New Roman"/>
                      <w:color w:val="000000"/>
                      <w:kern w:val="0"/>
                      <w:szCs w:val="21"/>
                      <w:highlight w:val="none"/>
                      <w:lang w:val="en-US" w:eastAsia="zh-CN"/>
                    </w:rPr>
                    <w:t>二氧化硫</w:t>
                  </w:r>
                  <w:r>
                    <w:rPr>
                      <w:rFonts w:hint="eastAsia" w:ascii="Times New Roman" w:hAnsi="Times New Roman" w:cs="Times New Roman"/>
                      <w:kern w:val="0"/>
                      <w:szCs w:val="21"/>
                      <w:highlight w:val="none"/>
                      <w:lang w:val="en-US" w:eastAsia="zh-CN"/>
                    </w:rPr>
                    <w:t>折算浓度</w:t>
                  </w:r>
                  <w:r>
                    <w:rPr>
                      <w:rFonts w:ascii="Times New Roman" w:hAnsi="Times New Roman" w:cs="Times New Roman"/>
                      <w:szCs w:val="21"/>
                      <w:highlight w:val="none"/>
                    </w:rPr>
                    <w:t>（mg/m</w:t>
                  </w:r>
                  <w:r>
                    <w:rPr>
                      <w:rFonts w:ascii="Times New Roman" w:hAnsi="Times New Roman" w:cs="Times New Roman"/>
                      <w:szCs w:val="21"/>
                      <w:highlight w:val="none"/>
                      <w:vertAlign w:val="superscript"/>
                    </w:rPr>
                    <w:t>3</w:t>
                  </w:r>
                  <w:r>
                    <w:rPr>
                      <w:rFonts w:ascii="Times New Roman" w:hAnsi="Times New Roman" w:cs="Times New Roman"/>
                      <w:szCs w:val="21"/>
                      <w:highlight w:val="none"/>
                    </w:rPr>
                    <w:t>）</w:t>
                  </w:r>
                </w:p>
              </w:tc>
              <w:tc>
                <w:tcPr>
                  <w:tcW w:w="1050" w:type="pct"/>
                  <w:vAlign w:val="center"/>
                </w:tcPr>
                <w:p w14:paraId="0FB34DBE">
                  <w:pPr>
                    <w:spacing w:line="0" w:lineRule="atLeast"/>
                    <w:jc w:val="center"/>
                    <w:rPr>
                      <w:rFonts w:hint="default" w:ascii="Times New Roman" w:hAnsi="Times New Roman"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13</w:t>
                  </w:r>
                </w:p>
              </w:tc>
              <w:tc>
                <w:tcPr>
                  <w:tcW w:w="1305" w:type="pct"/>
                  <w:vAlign w:val="center"/>
                </w:tcPr>
                <w:p w14:paraId="096B6548">
                  <w:pPr>
                    <w:spacing w:line="0" w:lineRule="atLeast"/>
                    <w:jc w:val="center"/>
                    <w:rPr>
                      <w:rFonts w:hint="default" w:ascii="Times New Roman" w:hAnsi="Times New Roman"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13</w:t>
                  </w:r>
                </w:p>
              </w:tc>
              <w:tc>
                <w:tcPr>
                  <w:tcW w:w="632" w:type="pct"/>
                  <w:vAlign w:val="center"/>
                </w:tcPr>
                <w:p w14:paraId="4183CA7B">
                  <w:pPr>
                    <w:spacing w:line="0" w:lineRule="atLeast"/>
                    <w:jc w:val="center"/>
                    <w:rPr>
                      <w:rFonts w:hint="default" w:ascii="Times New Roman" w:hAnsi="Times New Roman"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30</w:t>
                  </w:r>
                </w:p>
              </w:tc>
              <w:tc>
                <w:tcPr>
                  <w:tcW w:w="756" w:type="pct"/>
                  <w:vAlign w:val="center"/>
                </w:tcPr>
                <w:p w14:paraId="4C0622E0">
                  <w:pPr>
                    <w:spacing w:line="0" w:lineRule="atLeast"/>
                    <w:jc w:val="center"/>
                    <w:rPr>
                      <w:rFonts w:hint="eastAsia"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达标</w:t>
                  </w:r>
                </w:p>
              </w:tc>
            </w:tr>
            <w:tr w14:paraId="79068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5" w:type="pct"/>
                  <w:shd w:val="clear" w:color="auto" w:fill="auto"/>
                  <w:vAlign w:val="center"/>
                </w:tcPr>
                <w:p w14:paraId="31A7C887">
                  <w:pPr>
                    <w:spacing w:line="0" w:lineRule="atLeast"/>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kern w:val="0"/>
                      <w:szCs w:val="21"/>
                      <w:highlight w:val="none"/>
                      <w:lang w:val="en-US" w:eastAsia="zh-CN"/>
                    </w:rPr>
                    <w:t>氮氧化物实测浓度（</w:t>
                  </w:r>
                  <w:r>
                    <w:rPr>
                      <w:rFonts w:ascii="Times New Roman" w:hAnsi="Times New Roman" w:cs="Times New Roman"/>
                      <w:szCs w:val="21"/>
                      <w:highlight w:val="none"/>
                    </w:rPr>
                    <w:t>mg/m</w:t>
                  </w:r>
                  <w:r>
                    <w:rPr>
                      <w:rFonts w:ascii="Times New Roman" w:hAnsi="Times New Roman" w:cs="Times New Roman"/>
                      <w:szCs w:val="21"/>
                      <w:highlight w:val="none"/>
                      <w:vertAlign w:val="superscript"/>
                    </w:rPr>
                    <w:t>3</w:t>
                  </w:r>
                  <w:r>
                    <w:rPr>
                      <w:rFonts w:hint="eastAsia" w:ascii="Times New Roman" w:hAnsi="Times New Roman" w:cs="Times New Roman"/>
                      <w:color w:val="000000"/>
                      <w:kern w:val="0"/>
                      <w:szCs w:val="21"/>
                      <w:highlight w:val="none"/>
                      <w:lang w:val="en-US" w:eastAsia="zh-CN"/>
                    </w:rPr>
                    <w:t>）</w:t>
                  </w:r>
                </w:p>
              </w:tc>
              <w:tc>
                <w:tcPr>
                  <w:tcW w:w="1050" w:type="pct"/>
                  <w:vAlign w:val="center"/>
                </w:tcPr>
                <w:p w14:paraId="47D6113C">
                  <w:pPr>
                    <w:spacing w:line="0" w:lineRule="atLeast"/>
                    <w:jc w:val="center"/>
                    <w:rPr>
                      <w:rFonts w:hint="default" w:ascii="Times New Roman" w:hAnsi="Times New Roman"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42</w:t>
                  </w:r>
                </w:p>
              </w:tc>
              <w:tc>
                <w:tcPr>
                  <w:tcW w:w="1305" w:type="pct"/>
                  <w:vAlign w:val="center"/>
                </w:tcPr>
                <w:p w14:paraId="077A2245">
                  <w:pPr>
                    <w:spacing w:line="0" w:lineRule="atLeast"/>
                    <w:jc w:val="center"/>
                    <w:rPr>
                      <w:rFonts w:hint="default" w:ascii="Times New Roman" w:hAnsi="Times New Roman"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44</w:t>
                  </w:r>
                </w:p>
              </w:tc>
              <w:tc>
                <w:tcPr>
                  <w:tcW w:w="632" w:type="pct"/>
                  <w:shd w:val="clear" w:color="auto" w:fill="auto"/>
                  <w:vAlign w:val="center"/>
                </w:tcPr>
                <w:p w14:paraId="26938106">
                  <w:pPr>
                    <w:spacing w:line="0" w:lineRule="atLeast"/>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kern w:val="0"/>
                      <w:szCs w:val="21"/>
                      <w:highlight w:val="none"/>
                      <w:lang w:val="en-US" w:eastAsia="zh-CN"/>
                    </w:rPr>
                    <w:t>-</w:t>
                  </w:r>
                </w:p>
              </w:tc>
              <w:tc>
                <w:tcPr>
                  <w:tcW w:w="756" w:type="pct"/>
                  <w:shd w:val="clear" w:color="auto" w:fill="auto"/>
                  <w:vAlign w:val="center"/>
                </w:tcPr>
                <w:p w14:paraId="1F945A36">
                  <w:pPr>
                    <w:spacing w:line="0" w:lineRule="atLeast"/>
                    <w:jc w:val="center"/>
                    <w:rPr>
                      <w:rFonts w:hint="eastAsia" w:ascii="Times New Roman" w:hAnsi="Times New Roman" w:eastAsia="宋体" w:cs="Times New Roman"/>
                      <w:kern w:val="2"/>
                      <w:sz w:val="21"/>
                      <w:szCs w:val="21"/>
                      <w:highlight w:val="none"/>
                      <w:lang w:val="en-US" w:eastAsia="zh-CN" w:bidi="ar-SA"/>
                    </w:rPr>
                  </w:pPr>
                  <w:r>
                    <w:rPr>
                      <w:rFonts w:ascii="Times New Roman" w:hAnsi="Times New Roman" w:cs="Times New Roman"/>
                      <w:szCs w:val="21"/>
                      <w:highlight w:val="none"/>
                    </w:rPr>
                    <w:t>-</w:t>
                  </w:r>
                </w:p>
              </w:tc>
            </w:tr>
            <w:tr w14:paraId="3DDBD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5" w:type="pct"/>
                  <w:shd w:val="clear" w:color="auto" w:fill="auto"/>
                  <w:vAlign w:val="center"/>
                </w:tcPr>
                <w:p w14:paraId="20B98192">
                  <w:pPr>
                    <w:spacing w:line="0" w:lineRule="atLeast"/>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000000"/>
                      <w:kern w:val="0"/>
                      <w:szCs w:val="21"/>
                      <w:highlight w:val="none"/>
                      <w:lang w:val="en-US" w:eastAsia="zh-CN"/>
                    </w:rPr>
                    <w:t>氮氧化物</w:t>
                  </w:r>
                  <w:r>
                    <w:rPr>
                      <w:rFonts w:hint="eastAsia" w:ascii="Times New Roman" w:hAnsi="Times New Roman" w:cs="Times New Roman"/>
                      <w:kern w:val="0"/>
                      <w:szCs w:val="21"/>
                      <w:highlight w:val="none"/>
                      <w:lang w:val="en-US" w:eastAsia="zh-CN"/>
                    </w:rPr>
                    <w:t>折算浓度</w:t>
                  </w:r>
                  <w:r>
                    <w:rPr>
                      <w:rFonts w:ascii="Times New Roman" w:hAnsi="Times New Roman" w:cs="Times New Roman"/>
                      <w:szCs w:val="21"/>
                      <w:highlight w:val="none"/>
                    </w:rPr>
                    <w:t>（mg/m</w:t>
                  </w:r>
                  <w:r>
                    <w:rPr>
                      <w:rFonts w:ascii="Times New Roman" w:hAnsi="Times New Roman" w:cs="Times New Roman"/>
                      <w:szCs w:val="21"/>
                      <w:highlight w:val="none"/>
                      <w:vertAlign w:val="superscript"/>
                    </w:rPr>
                    <w:t>3</w:t>
                  </w:r>
                  <w:r>
                    <w:rPr>
                      <w:rFonts w:ascii="Times New Roman" w:hAnsi="Times New Roman" w:cs="Times New Roman"/>
                      <w:szCs w:val="21"/>
                      <w:highlight w:val="none"/>
                    </w:rPr>
                    <w:t>）</w:t>
                  </w:r>
                </w:p>
              </w:tc>
              <w:tc>
                <w:tcPr>
                  <w:tcW w:w="1050" w:type="pct"/>
                  <w:vAlign w:val="center"/>
                </w:tcPr>
                <w:p w14:paraId="75897F8A">
                  <w:pPr>
                    <w:spacing w:line="0" w:lineRule="atLeast"/>
                    <w:jc w:val="center"/>
                    <w:rPr>
                      <w:rFonts w:hint="default" w:ascii="Times New Roman" w:hAnsi="Times New Roman"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52</w:t>
                  </w:r>
                </w:p>
              </w:tc>
              <w:tc>
                <w:tcPr>
                  <w:tcW w:w="1305" w:type="pct"/>
                  <w:vAlign w:val="center"/>
                </w:tcPr>
                <w:p w14:paraId="1D42EBBA">
                  <w:pPr>
                    <w:spacing w:line="0" w:lineRule="atLeast"/>
                    <w:jc w:val="center"/>
                    <w:rPr>
                      <w:rFonts w:hint="default" w:ascii="Times New Roman" w:hAnsi="Times New Roman"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54</w:t>
                  </w:r>
                </w:p>
              </w:tc>
              <w:tc>
                <w:tcPr>
                  <w:tcW w:w="632" w:type="pct"/>
                  <w:vAlign w:val="center"/>
                </w:tcPr>
                <w:p w14:paraId="3301C6B0">
                  <w:pPr>
                    <w:spacing w:line="0" w:lineRule="atLeast"/>
                    <w:jc w:val="center"/>
                    <w:rPr>
                      <w:rFonts w:hint="default" w:ascii="Times New Roman" w:hAnsi="Times New Roman"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150</w:t>
                  </w:r>
                </w:p>
              </w:tc>
              <w:tc>
                <w:tcPr>
                  <w:tcW w:w="756" w:type="pct"/>
                  <w:vAlign w:val="center"/>
                </w:tcPr>
                <w:p w14:paraId="147205BD">
                  <w:pPr>
                    <w:spacing w:line="0" w:lineRule="atLeast"/>
                    <w:jc w:val="center"/>
                    <w:rPr>
                      <w:rFonts w:hint="eastAsia"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达标</w:t>
                  </w:r>
                </w:p>
              </w:tc>
            </w:tr>
            <w:tr w14:paraId="5D516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5" w:type="pct"/>
                  <w:shd w:val="clear" w:color="auto" w:fill="auto"/>
                  <w:vAlign w:val="center"/>
                </w:tcPr>
                <w:p w14:paraId="61A73FCA">
                  <w:pPr>
                    <w:spacing w:line="0" w:lineRule="atLeast"/>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kern w:val="0"/>
                      <w:szCs w:val="21"/>
                      <w:highlight w:val="none"/>
                      <w:lang w:val="en-US" w:eastAsia="zh-CN"/>
                    </w:rPr>
                    <w:t>汞及其化合物实测浓度（</w:t>
                  </w:r>
                  <w:r>
                    <w:rPr>
                      <w:rFonts w:ascii="Times New Roman" w:hAnsi="Times New Roman" w:cs="Times New Roman"/>
                      <w:szCs w:val="21"/>
                      <w:highlight w:val="none"/>
                    </w:rPr>
                    <w:t>mg/m</w:t>
                  </w:r>
                  <w:r>
                    <w:rPr>
                      <w:rFonts w:ascii="Times New Roman" w:hAnsi="Times New Roman" w:cs="Times New Roman"/>
                      <w:szCs w:val="21"/>
                      <w:highlight w:val="none"/>
                      <w:vertAlign w:val="superscript"/>
                    </w:rPr>
                    <w:t>3</w:t>
                  </w:r>
                  <w:r>
                    <w:rPr>
                      <w:rFonts w:hint="eastAsia" w:ascii="Times New Roman" w:hAnsi="Times New Roman" w:cs="Times New Roman"/>
                      <w:color w:val="000000"/>
                      <w:kern w:val="0"/>
                      <w:szCs w:val="21"/>
                      <w:highlight w:val="none"/>
                      <w:lang w:val="en-US" w:eastAsia="zh-CN"/>
                    </w:rPr>
                    <w:t>）</w:t>
                  </w:r>
                </w:p>
              </w:tc>
              <w:tc>
                <w:tcPr>
                  <w:tcW w:w="1050" w:type="pct"/>
                  <w:vAlign w:val="center"/>
                </w:tcPr>
                <w:p w14:paraId="5251DDBB">
                  <w:pPr>
                    <w:spacing w:line="0" w:lineRule="atLeast"/>
                    <w:jc w:val="center"/>
                    <w:rPr>
                      <w:rFonts w:hint="default" w:ascii="Times New Roman" w:hAnsi="Times New Roman"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0.0025L</w:t>
                  </w:r>
                </w:p>
              </w:tc>
              <w:tc>
                <w:tcPr>
                  <w:tcW w:w="1305" w:type="pct"/>
                  <w:shd w:val="clear" w:color="auto" w:fill="auto"/>
                  <w:vAlign w:val="center"/>
                </w:tcPr>
                <w:p w14:paraId="75B910D0">
                  <w:pPr>
                    <w:spacing w:line="0" w:lineRule="atLeast"/>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kern w:val="0"/>
                      <w:szCs w:val="21"/>
                      <w:highlight w:val="none"/>
                      <w:lang w:val="en-US" w:eastAsia="zh-CN"/>
                    </w:rPr>
                    <w:t>0.0025L</w:t>
                  </w:r>
                </w:p>
              </w:tc>
              <w:tc>
                <w:tcPr>
                  <w:tcW w:w="632" w:type="pct"/>
                  <w:shd w:val="clear" w:color="auto" w:fill="auto"/>
                  <w:vAlign w:val="center"/>
                </w:tcPr>
                <w:p w14:paraId="7F8FF0DF">
                  <w:pPr>
                    <w:spacing w:line="0" w:lineRule="atLeast"/>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kern w:val="0"/>
                      <w:szCs w:val="21"/>
                      <w:highlight w:val="none"/>
                      <w:lang w:val="en-US" w:eastAsia="zh-CN"/>
                    </w:rPr>
                    <w:t>-</w:t>
                  </w:r>
                </w:p>
              </w:tc>
              <w:tc>
                <w:tcPr>
                  <w:tcW w:w="756" w:type="pct"/>
                  <w:shd w:val="clear" w:color="auto" w:fill="auto"/>
                  <w:vAlign w:val="center"/>
                </w:tcPr>
                <w:p w14:paraId="1D1EE48A">
                  <w:pPr>
                    <w:spacing w:line="0" w:lineRule="atLeast"/>
                    <w:jc w:val="center"/>
                    <w:rPr>
                      <w:rFonts w:hint="eastAsia" w:ascii="Times New Roman" w:hAnsi="Times New Roman" w:eastAsia="宋体" w:cs="Times New Roman"/>
                      <w:kern w:val="2"/>
                      <w:sz w:val="21"/>
                      <w:szCs w:val="21"/>
                      <w:highlight w:val="none"/>
                      <w:lang w:val="en-US" w:eastAsia="zh-CN" w:bidi="ar-SA"/>
                    </w:rPr>
                  </w:pPr>
                  <w:r>
                    <w:rPr>
                      <w:rFonts w:ascii="Times New Roman" w:hAnsi="Times New Roman" w:cs="Times New Roman"/>
                      <w:szCs w:val="21"/>
                      <w:highlight w:val="none"/>
                    </w:rPr>
                    <w:t>-</w:t>
                  </w:r>
                </w:p>
              </w:tc>
            </w:tr>
            <w:tr w14:paraId="5833C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5" w:type="pct"/>
                  <w:shd w:val="clear" w:color="auto" w:fill="auto"/>
                  <w:vAlign w:val="center"/>
                </w:tcPr>
                <w:p w14:paraId="4E2E5289">
                  <w:pPr>
                    <w:spacing w:line="0" w:lineRule="atLeast"/>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cs="Times New Roman"/>
                      <w:color w:val="000000"/>
                      <w:kern w:val="0"/>
                      <w:szCs w:val="21"/>
                      <w:highlight w:val="none"/>
                      <w:lang w:val="en-US" w:eastAsia="zh-CN"/>
                    </w:rPr>
                    <w:t>汞及其化合物</w:t>
                  </w:r>
                  <w:r>
                    <w:rPr>
                      <w:rFonts w:hint="eastAsia" w:ascii="Times New Roman" w:hAnsi="Times New Roman" w:cs="Times New Roman"/>
                      <w:kern w:val="0"/>
                      <w:szCs w:val="21"/>
                      <w:highlight w:val="none"/>
                      <w:lang w:val="en-US" w:eastAsia="zh-CN"/>
                    </w:rPr>
                    <w:t>折算浓度</w:t>
                  </w:r>
                  <w:r>
                    <w:rPr>
                      <w:rFonts w:ascii="Times New Roman" w:hAnsi="Times New Roman" w:cs="Times New Roman"/>
                      <w:szCs w:val="21"/>
                      <w:highlight w:val="none"/>
                    </w:rPr>
                    <w:t>（mg/m</w:t>
                  </w:r>
                  <w:r>
                    <w:rPr>
                      <w:rFonts w:ascii="Times New Roman" w:hAnsi="Times New Roman" w:cs="Times New Roman"/>
                      <w:szCs w:val="21"/>
                      <w:highlight w:val="none"/>
                      <w:vertAlign w:val="superscript"/>
                    </w:rPr>
                    <w:t>3</w:t>
                  </w:r>
                  <w:r>
                    <w:rPr>
                      <w:rFonts w:ascii="Times New Roman" w:hAnsi="Times New Roman" w:cs="Times New Roman"/>
                      <w:szCs w:val="21"/>
                      <w:highlight w:val="none"/>
                    </w:rPr>
                    <w:t>）</w:t>
                  </w:r>
                </w:p>
              </w:tc>
              <w:tc>
                <w:tcPr>
                  <w:tcW w:w="1050" w:type="pct"/>
                  <w:vAlign w:val="center"/>
                </w:tcPr>
                <w:p w14:paraId="02EE9C2A">
                  <w:pPr>
                    <w:spacing w:line="0" w:lineRule="atLeast"/>
                    <w:jc w:val="center"/>
                    <w:rPr>
                      <w:rFonts w:hint="eastAsia" w:ascii="Times New Roman" w:hAnsi="Times New Roman"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0.0025L</w:t>
                  </w:r>
                </w:p>
              </w:tc>
              <w:tc>
                <w:tcPr>
                  <w:tcW w:w="1305" w:type="pct"/>
                  <w:shd w:val="clear" w:color="auto" w:fill="auto"/>
                  <w:vAlign w:val="center"/>
                </w:tcPr>
                <w:p w14:paraId="4A8F65CE">
                  <w:pPr>
                    <w:spacing w:line="0" w:lineRule="atLeast"/>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kern w:val="0"/>
                      <w:szCs w:val="21"/>
                      <w:highlight w:val="none"/>
                      <w:lang w:val="en-US" w:eastAsia="zh-CN"/>
                    </w:rPr>
                    <w:t>0.0025L</w:t>
                  </w:r>
                </w:p>
              </w:tc>
              <w:tc>
                <w:tcPr>
                  <w:tcW w:w="632" w:type="pct"/>
                  <w:vAlign w:val="center"/>
                </w:tcPr>
                <w:p w14:paraId="43364697">
                  <w:pPr>
                    <w:spacing w:line="0" w:lineRule="atLeast"/>
                    <w:jc w:val="center"/>
                    <w:rPr>
                      <w:rFonts w:hint="default" w:ascii="Times New Roman" w:hAnsi="Times New Roman"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0.03</w:t>
                  </w:r>
                </w:p>
              </w:tc>
              <w:tc>
                <w:tcPr>
                  <w:tcW w:w="756" w:type="pct"/>
                  <w:vAlign w:val="center"/>
                </w:tcPr>
                <w:p w14:paraId="7324AACC">
                  <w:pPr>
                    <w:spacing w:line="0" w:lineRule="atLeast"/>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达标</w:t>
                  </w:r>
                </w:p>
              </w:tc>
            </w:tr>
            <w:tr w14:paraId="378AA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5" w:type="pct"/>
                  <w:shd w:val="clear" w:color="auto" w:fill="auto"/>
                  <w:vAlign w:val="center"/>
                </w:tcPr>
                <w:p w14:paraId="3A8AD8DE">
                  <w:pPr>
                    <w:spacing w:line="0" w:lineRule="atLeast"/>
                    <w:jc w:val="center"/>
                    <w:rPr>
                      <w:rFonts w:hint="default" w:ascii="Times New Roman" w:hAnsi="Times New Roman" w:eastAsia="宋体" w:cs="Times New Roman"/>
                      <w:kern w:val="0"/>
                      <w:szCs w:val="21"/>
                      <w:highlight w:val="none"/>
                      <w:lang w:val="en-US" w:eastAsia="zh-CN"/>
                    </w:rPr>
                  </w:pPr>
                  <w:r>
                    <w:rPr>
                      <w:rFonts w:hint="eastAsia" w:ascii="Times New Roman" w:hAnsi="Times New Roman" w:cs="Times New Roman"/>
                      <w:kern w:val="0"/>
                      <w:szCs w:val="21"/>
                      <w:highlight w:val="none"/>
                      <w:lang w:val="en-US" w:eastAsia="zh-CN"/>
                    </w:rPr>
                    <w:t>烟气黑度（林格曼级）</w:t>
                  </w:r>
                </w:p>
              </w:tc>
              <w:tc>
                <w:tcPr>
                  <w:tcW w:w="1050" w:type="pct"/>
                  <w:vAlign w:val="center"/>
                </w:tcPr>
                <w:p w14:paraId="0427DAB5">
                  <w:pPr>
                    <w:spacing w:line="0" w:lineRule="atLeast"/>
                    <w:jc w:val="center"/>
                    <w:rPr>
                      <w:rFonts w:hint="default" w:ascii="Times New Roman" w:hAnsi="Times New Roman"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＜1</w:t>
                  </w:r>
                </w:p>
              </w:tc>
              <w:tc>
                <w:tcPr>
                  <w:tcW w:w="1305" w:type="pct"/>
                  <w:vAlign w:val="center"/>
                </w:tcPr>
                <w:p w14:paraId="3E522921">
                  <w:pPr>
                    <w:spacing w:line="0" w:lineRule="atLeast"/>
                    <w:jc w:val="center"/>
                    <w:rPr>
                      <w:rFonts w:hint="eastAsia" w:ascii="Times New Roman" w:hAnsi="Times New Roman"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＜1</w:t>
                  </w:r>
                </w:p>
              </w:tc>
              <w:tc>
                <w:tcPr>
                  <w:tcW w:w="632" w:type="pct"/>
                  <w:vAlign w:val="center"/>
                </w:tcPr>
                <w:p w14:paraId="0236D7D5">
                  <w:pPr>
                    <w:spacing w:line="0" w:lineRule="atLeast"/>
                    <w:jc w:val="center"/>
                    <w:rPr>
                      <w:rFonts w:hint="default" w:ascii="Times New Roman" w:hAnsi="Times New Roman"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≤1</w:t>
                  </w:r>
                </w:p>
              </w:tc>
              <w:tc>
                <w:tcPr>
                  <w:tcW w:w="756" w:type="pct"/>
                  <w:vAlign w:val="center"/>
                </w:tcPr>
                <w:p w14:paraId="204705C5">
                  <w:pPr>
                    <w:spacing w:line="0" w:lineRule="atLeast"/>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达标</w:t>
                  </w:r>
                </w:p>
              </w:tc>
            </w:tr>
          </w:tbl>
          <w:p w14:paraId="40A6A168">
            <w:pPr>
              <w:pStyle w:val="50"/>
              <w:numPr>
                <w:ilvl w:val="0"/>
                <w:numId w:val="6"/>
              </w:numPr>
              <w:spacing w:line="360" w:lineRule="auto"/>
              <w:ind w:left="0" w:firstLine="0" w:firstLineChars="0"/>
              <w:jc w:val="center"/>
              <w:rPr>
                <w:rFonts w:ascii="宋体" w:hAnsi="宋体" w:eastAsia="宋体"/>
                <w:b/>
                <w:sz w:val="21"/>
                <w:highlight w:val="none"/>
              </w:rPr>
            </w:pPr>
            <w:r>
              <w:rPr>
                <w:rFonts w:hint="eastAsia" w:ascii="宋体" w:hAnsi="宋体" w:eastAsia="宋体"/>
                <w:b/>
                <w:sz w:val="21"/>
                <w:highlight w:val="none"/>
                <w:lang w:val="en-US" w:eastAsia="zh-CN"/>
              </w:rPr>
              <w:t>蛋白干燥废气和淀粉烘干废气检测结果一览表</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1"/>
              <w:gridCol w:w="1666"/>
              <w:gridCol w:w="2071"/>
              <w:gridCol w:w="1003"/>
              <w:gridCol w:w="1201"/>
            </w:tblGrid>
            <w:tr w14:paraId="5B9AE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5" w:type="pct"/>
                  <w:vAlign w:val="center"/>
                </w:tcPr>
                <w:p w14:paraId="3A6F14E5">
                  <w:pPr>
                    <w:spacing w:line="0" w:lineRule="atLeast"/>
                    <w:jc w:val="center"/>
                    <w:rPr>
                      <w:rFonts w:ascii="Times New Roman" w:hAnsi="Times New Roman" w:cs="Times New Roman"/>
                      <w:b/>
                      <w:bCs/>
                      <w:szCs w:val="21"/>
                      <w:highlight w:val="none"/>
                    </w:rPr>
                  </w:pPr>
                  <w:r>
                    <w:rPr>
                      <w:rFonts w:ascii="Times New Roman" w:hAnsi="Times New Roman" w:cs="Times New Roman"/>
                      <w:b/>
                      <w:bCs/>
                      <w:szCs w:val="21"/>
                      <w:highlight w:val="none"/>
                    </w:rPr>
                    <w:t>检测点位</w:t>
                  </w:r>
                </w:p>
              </w:tc>
              <w:tc>
                <w:tcPr>
                  <w:tcW w:w="1050" w:type="pct"/>
                  <w:vAlign w:val="center"/>
                </w:tcPr>
                <w:p w14:paraId="067306E8">
                  <w:pPr>
                    <w:spacing w:line="0" w:lineRule="atLeast"/>
                    <w:jc w:val="center"/>
                    <w:rPr>
                      <w:rFonts w:hint="default" w:ascii="Times New Roman" w:hAnsi="Times New Roman" w:eastAsia="宋体" w:cs="Times New Roman"/>
                      <w:b/>
                      <w:bCs/>
                      <w:color w:val="000000"/>
                      <w:kern w:val="0"/>
                      <w:szCs w:val="21"/>
                      <w:highlight w:val="none"/>
                      <w:lang w:val="en-US" w:eastAsia="zh-CN"/>
                    </w:rPr>
                  </w:pPr>
                  <w:r>
                    <w:rPr>
                      <w:rFonts w:hint="eastAsia" w:ascii="Times New Roman" w:hAnsi="Times New Roman" w:cs="Times New Roman"/>
                      <w:b/>
                      <w:bCs/>
                      <w:kern w:val="0"/>
                      <w:szCs w:val="21"/>
                      <w:highlight w:val="none"/>
                      <w:lang w:val="en-US" w:eastAsia="zh-CN"/>
                    </w:rPr>
                    <w:t>蛋白干燥废气排放口</w:t>
                  </w:r>
                </w:p>
              </w:tc>
              <w:tc>
                <w:tcPr>
                  <w:tcW w:w="1305" w:type="pct"/>
                  <w:vAlign w:val="center"/>
                </w:tcPr>
                <w:p w14:paraId="4C029368">
                  <w:pPr>
                    <w:spacing w:line="0" w:lineRule="atLeast"/>
                    <w:jc w:val="center"/>
                    <w:rPr>
                      <w:rFonts w:hint="default" w:ascii="Times New Roman" w:hAnsi="Times New Roman" w:eastAsia="宋体" w:cs="Times New Roman"/>
                      <w:b/>
                      <w:bCs/>
                      <w:kern w:val="0"/>
                      <w:szCs w:val="21"/>
                      <w:highlight w:val="none"/>
                      <w:lang w:val="en-US" w:eastAsia="zh-CN"/>
                    </w:rPr>
                  </w:pPr>
                  <w:r>
                    <w:rPr>
                      <w:rFonts w:hint="eastAsia" w:ascii="Times New Roman" w:hAnsi="Times New Roman" w:cs="Times New Roman"/>
                      <w:b/>
                      <w:bCs/>
                      <w:kern w:val="0"/>
                      <w:szCs w:val="21"/>
                      <w:highlight w:val="none"/>
                      <w:lang w:val="en-US" w:eastAsia="zh-CN"/>
                    </w:rPr>
                    <w:t>淀粉烘干废气排放口</w:t>
                  </w:r>
                </w:p>
              </w:tc>
              <w:tc>
                <w:tcPr>
                  <w:tcW w:w="632" w:type="pct"/>
                  <w:vAlign w:val="center"/>
                </w:tcPr>
                <w:p w14:paraId="037AE3DD">
                  <w:pPr>
                    <w:spacing w:line="0" w:lineRule="atLeast"/>
                    <w:jc w:val="center"/>
                    <w:rPr>
                      <w:rFonts w:ascii="Times New Roman" w:hAnsi="Times New Roman" w:cs="Times New Roman"/>
                      <w:b/>
                      <w:bCs/>
                      <w:szCs w:val="21"/>
                      <w:highlight w:val="none"/>
                    </w:rPr>
                  </w:pPr>
                  <w:r>
                    <w:rPr>
                      <w:rFonts w:ascii="Times New Roman" w:hAnsi="Times New Roman" w:cs="Times New Roman"/>
                      <w:b/>
                      <w:bCs/>
                      <w:szCs w:val="21"/>
                      <w:highlight w:val="none"/>
                    </w:rPr>
                    <w:t>标准</w:t>
                  </w:r>
                </w:p>
                <w:p w14:paraId="4A8AC25B">
                  <w:pPr>
                    <w:spacing w:line="0" w:lineRule="atLeast"/>
                    <w:jc w:val="center"/>
                    <w:rPr>
                      <w:rFonts w:ascii="Times New Roman" w:hAnsi="Times New Roman" w:cs="Times New Roman"/>
                      <w:b/>
                      <w:bCs/>
                      <w:color w:val="000000"/>
                      <w:kern w:val="0"/>
                      <w:szCs w:val="21"/>
                      <w:highlight w:val="none"/>
                    </w:rPr>
                  </w:pPr>
                  <w:r>
                    <w:rPr>
                      <w:rFonts w:ascii="Times New Roman" w:hAnsi="Times New Roman" w:cs="Times New Roman"/>
                      <w:b/>
                      <w:bCs/>
                      <w:szCs w:val="21"/>
                      <w:highlight w:val="none"/>
                    </w:rPr>
                    <w:t>限值</w:t>
                  </w:r>
                </w:p>
              </w:tc>
              <w:tc>
                <w:tcPr>
                  <w:tcW w:w="756" w:type="pct"/>
                  <w:vAlign w:val="center"/>
                </w:tcPr>
                <w:p w14:paraId="616FA8C8">
                  <w:pPr>
                    <w:spacing w:line="0" w:lineRule="atLeast"/>
                    <w:jc w:val="center"/>
                    <w:rPr>
                      <w:rFonts w:ascii="Times New Roman" w:hAnsi="Times New Roman" w:cs="Times New Roman"/>
                      <w:b/>
                      <w:bCs/>
                      <w:szCs w:val="21"/>
                      <w:highlight w:val="none"/>
                    </w:rPr>
                  </w:pPr>
                  <w:r>
                    <w:rPr>
                      <w:rFonts w:ascii="Times New Roman" w:hAnsi="Times New Roman" w:cs="Times New Roman"/>
                      <w:b/>
                      <w:bCs/>
                      <w:szCs w:val="21"/>
                      <w:highlight w:val="none"/>
                    </w:rPr>
                    <w:t>达标</w:t>
                  </w:r>
                </w:p>
                <w:p w14:paraId="13130178">
                  <w:pPr>
                    <w:spacing w:line="0" w:lineRule="atLeast"/>
                    <w:jc w:val="center"/>
                    <w:rPr>
                      <w:rFonts w:ascii="Times New Roman" w:hAnsi="Times New Roman" w:cs="Times New Roman"/>
                      <w:b/>
                      <w:bCs/>
                      <w:szCs w:val="21"/>
                      <w:highlight w:val="none"/>
                    </w:rPr>
                  </w:pPr>
                  <w:r>
                    <w:rPr>
                      <w:rFonts w:ascii="Times New Roman" w:hAnsi="Times New Roman" w:cs="Times New Roman"/>
                      <w:b/>
                      <w:bCs/>
                      <w:szCs w:val="21"/>
                      <w:highlight w:val="none"/>
                    </w:rPr>
                    <w:t>情况</w:t>
                  </w:r>
                </w:p>
              </w:tc>
            </w:tr>
            <w:tr w14:paraId="48FA9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255" w:type="pct"/>
                  <w:vAlign w:val="center"/>
                </w:tcPr>
                <w:p w14:paraId="6A0F8E8D">
                  <w:pPr>
                    <w:spacing w:line="0" w:lineRule="atLeast"/>
                    <w:jc w:val="center"/>
                    <w:rPr>
                      <w:rFonts w:ascii="Times New Roman" w:hAnsi="Times New Roman" w:cs="Times New Roman"/>
                      <w:szCs w:val="21"/>
                      <w:highlight w:val="none"/>
                    </w:rPr>
                  </w:pPr>
                  <w:r>
                    <w:rPr>
                      <w:rFonts w:ascii="Times New Roman" w:hAnsi="Times New Roman" w:cs="Times New Roman"/>
                      <w:szCs w:val="21"/>
                      <w:highlight w:val="none"/>
                    </w:rPr>
                    <w:t>采样日期</w:t>
                  </w:r>
                </w:p>
              </w:tc>
              <w:tc>
                <w:tcPr>
                  <w:tcW w:w="3744" w:type="pct"/>
                  <w:gridSpan w:val="4"/>
                  <w:vAlign w:val="center"/>
                </w:tcPr>
                <w:p w14:paraId="2B6687F6">
                  <w:pPr>
                    <w:spacing w:line="0" w:lineRule="atLeast"/>
                    <w:jc w:val="center"/>
                    <w:rPr>
                      <w:rFonts w:ascii="Times New Roman" w:hAnsi="Times New Roman" w:cs="Times New Roman"/>
                      <w:szCs w:val="21"/>
                      <w:highlight w:val="none"/>
                    </w:rPr>
                  </w:pPr>
                  <w:r>
                    <w:rPr>
                      <w:rFonts w:hint="eastAsia" w:ascii="Times New Roman" w:hAnsi="Times New Roman" w:cs="Times New Roman"/>
                      <w:szCs w:val="21"/>
                      <w:highlight w:val="none"/>
                      <w:lang w:val="en-US" w:eastAsia="zh-CN"/>
                    </w:rPr>
                    <w:t>2023.4.5</w:t>
                  </w:r>
                </w:p>
              </w:tc>
            </w:tr>
            <w:tr w14:paraId="7551C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5" w:type="pct"/>
                  <w:vAlign w:val="center"/>
                </w:tcPr>
                <w:p w14:paraId="62D2A079">
                  <w:pPr>
                    <w:spacing w:line="0" w:lineRule="atLeast"/>
                    <w:jc w:val="center"/>
                    <w:rPr>
                      <w:rFonts w:ascii="Times New Roman" w:hAnsi="Times New Roman" w:cs="Times New Roman"/>
                      <w:szCs w:val="21"/>
                      <w:highlight w:val="none"/>
                    </w:rPr>
                  </w:pPr>
                  <w:r>
                    <w:rPr>
                      <w:rFonts w:hint="eastAsia" w:ascii="Times New Roman" w:hAnsi="Times New Roman" w:cs="Times New Roman"/>
                      <w:szCs w:val="21"/>
                      <w:highlight w:val="none"/>
                      <w:lang w:val="en-US" w:eastAsia="zh-CN"/>
                    </w:rPr>
                    <w:t>标杆流量</w:t>
                  </w:r>
                  <w:r>
                    <w:rPr>
                      <w:rFonts w:ascii="Times New Roman" w:hAnsi="Times New Roman" w:cs="Times New Roman"/>
                      <w:szCs w:val="21"/>
                      <w:highlight w:val="none"/>
                    </w:rPr>
                    <w:t>(m</w:t>
                  </w:r>
                  <w:r>
                    <w:rPr>
                      <w:rFonts w:ascii="Times New Roman" w:hAnsi="Times New Roman" w:cs="Times New Roman"/>
                      <w:szCs w:val="21"/>
                      <w:highlight w:val="none"/>
                      <w:vertAlign w:val="superscript"/>
                    </w:rPr>
                    <w:t>3</w:t>
                  </w:r>
                  <w:r>
                    <w:rPr>
                      <w:rFonts w:ascii="Times New Roman" w:hAnsi="Times New Roman" w:cs="Times New Roman"/>
                      <w:szCs w:val="21"/>
                      <w:highlight w:val="none"/>
                    </w:rPr>
                    <w:t>/h)</w:t>
                  </w:r>
                </w:p>
              </w:tc>
              <w:tc>
                <w:tcPr>
                  <w:tcW w:w="1050" w:type="pct"/>
                  <w:vAlign w:val="center"/>
                </w:tcPr>
                <w:p w14:paraId="75CB05D5">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9479</w:t>
                  </w:r>
                </w:p>
              </w:tc>
              <w:tc>
                <w:tcPr>
                  <w:tcW w:w="1305" w:type="pct"/>
                  <w:vAlign w:val="center"/>
                </w:tcPr>
                <w:p w14:paraId="0308C23E">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18232</w:t>
                  </w:r>
                </w:p>
              </w:tc>
              <w:tc>
                <w:tcPr>
                  <w:tcW w:w="632" w:type="pct"/>
                  <w:vAlign w:val="center"/>
                </w:tcPr>
                <w:p w14:paraId="67310765">
                  <w:pPr>
                    <w:spacing w:line="0" w:lineRule="atLeast"/>
                    <w:jc w:val="center"/>
                    <w:rPr>
                      <w:rFonts w:hint="eastAsia"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w:t>
                  </w:r>
                </w:p>
              </w:tc>
              <w:tc>
                <w:tcPr>
                  <w:tcW w:w="756" w:type="pct"/>
                  <w:vAlign w:val="center"/>
                </w:tcPr>
                <w:p w14:paraId="72B45C2E">
                  <w:pPr>
                    <w:spacing w:line="0" w:lineRule="atLeast"/>
                    <w:jc w:val="center"/>
                    <w:rPr>
                      <w:rFonts w:ascii="Times New Roman" w:hAnsi="Times New Roman" w:cs="Times New Roman"/>
                      <w:szCs w:val="21"/>
                      <w:highlight w:val="none"/>
                    </w:rPr>
                  </w:pPr>
                  <w:r>
                    <w:rPr>
                      <w:rFonts w:ascii="Times New Roman" w:hAnsi="Times New Roman" w:cs="Times New Roman"/>
                      <w:szCs w:val="21"/>
                      <w:highlight w:val="none"/>
                    </w:rPr>
                    <w:t>-</w:t>
                  </w:r>
                </w:p>
              </w:tc>
            </w:tr>
            <w:tr w14:paraId="74660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255" w:type="pct"/>
                  <w:vAlign w:val="center"/>
                </w:tcPr>
                <w:p w14:paraId="454467DE">
                  <w:pPr>
                    <w:spacing w:line="0" w:lineRule="atLeast"/>
                    <w:jc w:val="center"/>
                    <w:rPr>
                      <w:rFonts w:hint="eastAsia" w:ascii="Times New Roman" w:hAnsi="Times New Roman" w:cs="Times New Roman"/>
                      <w:szCs w:val="21"/>
                      <w:highlight w:val="none"/>
                      <w:lang w:val="en-US" w:eastAsia="zh-CN"/>
                    </w:rPr>
                  </w:pPr>
                  <w:r>
                    <w:rPr>
                      <w:rFonts w:hint="eastAsia" w:ascii="Times New Roman" w:hAnsi="Times New Roman" w:cs="Times New Roman"/>
                      <w:color w:val="000000"/>
                      <w:kern w:val="0"/>
                      <w:szCs w:val="21"/>
                      <w:highlight w:val="none"/>
                      <w:lang w:val="en-US" w:eastAsia="zh-CN"/>
                    </w:rPr>
                    <w:t>颗粒物实测浓度（</w:t>
                  </w:r>
                  <w:r>
                    <w:rPr>
                      <w:rFonts w:ascii="Times New Roman" w:hAnsi="Times New Roman" w:cs="Times New Roman"/>
                      <w:szCs w:val="21"/>
                      <w:highlight w:val="none"/>
                    </w:rPr>
                    <w:t>mg/m</w:t>
                  </w:r>
                  <w:r>
                    <w:rPr>
                      <w:rFonts w:ascii="Times New Roman" w:hAnsi="Times New Roman" w:cs="Times New Roman"/>
                      <w:szCs w:val="21"/>
                      <w:highlight w:val="none"/>
                      <w:vertAlign w:val="superscript"/>
                    </w:rPr>
                    <w:t>3</w:t>
                  </w:r>
                  <w:r>
                    <w:rPr>
                      <w:rFonts w:hint="eastAsia" w:ascii="Times New Roman" w:hAnsi="Times New Roman" w:cs="Times New Roman"/>
                      <w:color w:val="000000"/>
                      <w:kern w:val="0"/>
                      <w:szCs w:val="21"/>
                      <w:highlight w:val="none"/>
                      <w:lang w:val="en-US" w:eastAsia="zh-CN"/>
                    </w:rPr>
                    <w:t>）</w:t>
                  </w:r>
                </w:p>
              </w:tc>
              <w:tc>
                <w:tcPr>
                  <w:tcW w:w="1050" w:type="pct"/>
                  <w:vAlign w:val="center"/>
                </w:tcPr>
                <w:p w14:paraId="6B6126BC">
                  <w:pPr>
                    <w:spacing w:line="0" w:lineRule="atLeast"/>
                    <w:jc w:val="center"/>
                    <w:rPr>
                      <w:rFonts w:hint="default" w:ascii="Times New Roman" w:hAnsi="Times New Roman"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26.3</w:t>
                  </w:r>
                </w:p>
              </w:tc>
              <w:tc>
                <w:tcPr>
                  <w:tcW w:w="1305" w:type="pct"/>
                  <w:vAlign w:val="center"/>
                </w:tcPr>
                <w:p w14:paraId="6FBE8EB6">
                  <w:pPr>
                    <w:spacing w:line="0" w:lineRule="atLeast"/>
                    <w:jc w:val="center"/>
                    <w:rPr>
                      <w:rFonts w:hint="default" w:ascii="Times New Roman" w:hAnsi="Times New Roman"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25.2</w:t>
                  </w:r>
                </w:p>
              </w:tc>
              <w:tc>
                <w:tcPr>
                  <w:tcW w:w="632" w:type="pct"/>
                  <w:vAlign w:val="center"/>
                </w:tcPr>
                <w:p w14:paraId="7664B884">
                  <w:pPr>
                    <w:spacing w:line="0" w:lineRule="atLeast"/>
                    <w:jc w:val="center"/>
                    <w:rPr>
                      <w:rFonts w:hint="default" w:ascii="Times New Roman" w:hAnsi="Times New Roman"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120</w:t>
                  </w:r>
                </w:p>
              </w:tc>
              <w:tc>
                <w:tcPr>
                  <w:tcW w:w="756" w:type="pct"/>
                  <w:vAlign w:val="center"/>
                </w:tcPr>
                <w:p w14:paraId="046EFB1B">
                  <w:pPr>
                    <w:spacing w:line="0" w:lineRule="atLeast"/>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120</w:t>
                  </w:r>
                </w:p>
              </w:tc>
            </w:tr>
            <w:tr w14:paraId="66EB3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5" w:type="pct"/>
                  <w:vAlign w:val="center"/>
                </w:tcPr>
                <w:p w14:paraId="7EA9E1EB">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颗粒物排放速率（</w:t>
                  </w:r>
                  <w:r>
                    <w:rPr>
                      <w:rFonts w:hint="eastAsia" w:ascii="Times New Roman" w:hAnsi="Times New Roman" w:cs="Times New Roman"/>
                      <w:szCs w:val="21"/>
                      <w:highlight w:val="none"/>
                      <w:lang w:val="en-US" w:eastAsia="zh-CN"/>
                    </w:rPr>
                    <w:t>kg/h</w:t>
                  </w:r>
                  <w:r>
                    <w:rPr>
                      <w:rFonts w:hint="eastAsia" w:ascii="Times New Roman" w:hAnsi="Times New Roman" w:cs="Times New Roman"/>
                      <w:color w:val="000000"/>
                      <w:kern w:val="0"/>
                      <w:szCs w:val="21"/>
                      <w:highlight w:val="none"/>
                      <w:lang w:val="en-US" w:eastAsia="zh-CN"/>
                    </w:rPr>
                    <w:t>）</w:t>
                  </w:r>
                </w:p>
              </w:tc>
              <w:tc>
                <w:tcPr>
                  <w:tcW w:w="1050" w:type="pct"/>
                  <w:vAlign w:val="center"/>
                </w:tcPr>
                <w:p w14:paraId="4715B820">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0.249</w:t>
                  </w:r>
                </w:p>
              </w:tc>
              <w:tc>
                <w:tcPr>
                  <w:tcW w:w="1305" w:type="pct"/>
                  <w:vAlign w:val="center"/>
                </w:tcPr>
                <w:p w14:paraId="3445E95A">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0.459</w:t>
                  </w:r>
                </w:p>
              </w:tc>
              <w:tc>
                <w:tcPr>
                  <w:tcW w:w="632" w:type="pct"/>
                  <w:shd w:val="clear" w:color="auto" w:fill="auto"/>
                  <w:vAlign w:val="center"/>
                </w:tcPr>
                <w:p w14:paraId="5DFAF6B5">
                  <w:pPr>
                    <w:spacing w:line="0" w:lineRule="atLeas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3.5</w:t>
                  </w:r>
                </w:p>
              </w:tc>
              <w:tc>
                <w:tcPr>
                  <w:tcW w:w="756" w:type="pct"/>
                  <w:shd w:val="clear" w:color="auto" w:fill="auto"/>
                  <w:vAlign w:val="center"/>
                </w:tcPr>
                <w:p w14:paraId="64D47F70">
                  <w:pPr>
                    <w:spacing w:line="0" w:lineRule="atLeast"/>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3.5</w:t>
                  </w:r>
                </w:p>
              </w:tc>
            </w:tr>
          </w:tbl>
          <w:p w14:paraId="3C6DA70A">
            <w:pPr>
              <w:pStyle w:val="50"/>
              <w:numPr>
                <w:ilvl w:val="0"/>
                <w:numId w:val="6"/>
              </w:numPr>
              <w:spacing w:line="360" w:lineRule="auto"/>
              <w:ind w:left="0" w:firstLine="0" w:firstLineChars="0"/>
              <w:jc w:val="center"/>
              <w:rPr>
                <w:rFonts w:ascii="宋体" w:hAnsi="宋体" w:eastAsia="宋体"/>
                <w:b/>
                <w:sz w:val="21"/>
                <w:highlight w:val="none"/>
              </w:rPr>
            </w:pPr>
            <w:r>
              <w:rPr>
                <w:rFonts w:hint="eastAsia" w:ascii="宋体" w:hAnsi="宋体" w:eastAsia="宋体"/>
                <w:b/>
                <w:sz w:val="21"/>
                <w:highlight w:val="none"/>
                <w:lang w:val="en-US" w:eastAsia="zh-CN"/>
              </w:rPr>
              <w:t>无组织废气检测结果一览表</w:t>
            </w:r>
          </w:p>
          <w:tbl>
            <w:tblPr>
              <w:tblStyle w:val="23"/>
              <w:tblW w:w="83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5"/>
              <w:gridCol w:w="889"/>
              <w:gridCol w:w="754"/>
              <w:gridCol w:w="877"/>
              <w:gridCol w:w="929"/>
              <w:gridCol w:w="915"/>
              <w:gridCol w:w="926"/>
              <w:gridCol w:w="1090"/>
              <w:gridCol w:w="958"/>
            </w:tblGrid>
            <w:tr w14:paraId="399A0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dxa"/>
                  <w:vMerge w:val="restart"/>
                  <w:tcMar>
                    <w:left w:w="28" w:type="dxa"/>
                    <w:right w:w="28" w:type="dxa"/>
                  </w:tcMar>
                  <w:vAlign w:val="center"/>
                </w:tcPr>
                <w:p w14:paraId="0FB187A1">
                  <w:pPr>
                    <w:spacing w:line="0" w:lineRule="atLeast"/>
                    <w:jc w:val="center"/>
                    <w:rPr>
                      <w:rFonts w:hint="default" w:ascii="Times New Roman" w:hAnsi="Times New Roman" w:eastAsia="宋体" w:cs="Times New Roman"/>
                      <w:b/>
                      <w:bCs/>
                      <w:color w:val="000000"/>
                      <w:kern w:val="0"/>
                      <w:szCs w:val="21"/>
                      <w:highlight w:val="none"/>
                      <w:lang w:val="en-US" w:eastAsia="zh-CN"/>
                    </w:rPr>
                  </w:pPr>
                  <w:r>
                    <w:rPr>
                      <w:rFonts w:hint="eastAsia" w:ascii="Times New Roman" w:hAnsi="Times New Roman" w:cs="Times New Roman"/>
                      <w:b/>
                      <w:bCs/>
                      <w:color w:val="000000"/>
                      <w:kern w:val="0"/>
                      <w:szCs w:val="21"/>
                      <w:highlight w:val="none"/>
                      <w:lang w:val="en-US" w:eastAsia="zh-CN"/>
                    </w:rPr>
                    <w:t>检测指标</w:t>
                  </w:r>
                </w:p>
              </w:tc>
              <w:tc>
                <w:tcPr>
                  <w:tcW w:w="889" w:type="dxa"/>
                  <w:vMerge w:val="restart"/>
                  <w:tcMar>
                    <w:left w:w="28" w:type="dxa"/>
                    <w:right w:w="28" w:type="dxa"/>
                  </w:tcMar>
                  <w:vAlign w:val="center"/>
                </w:tcPr>
                <w:p w14:paraId="02CCD96D">
                  <w:pPr>
                    <w:spacing w:line="0" w:lineRule="atLeast"/>
                    <w:jc w:val="center"/>
                    <w:rPr>
                      <w:rFonts w:ascii="Times New Roman" w:hAnsi="Times New Roman" w:cs="Times New Roman"/>
                      <w:b/>
                      <w:bCs/>
                      <w:color w:val="000000"/>
                      <w:kern w:val="0"/>
                      <w:szCs w:val="21"/>
                      <w:highlight w:val="none"/>
                    </w:rPr>
                  </w:pPr>
                  <w:r>
                    <w:rPr>
                      <w:rFonts w:hint="eastAsia" w:ascii="Times New Roman" w:hAnsi="Times New Roman" w:cs="Times New Roman"/>
                      <w:b/>
                      <w:bCs/>
                      <w:color w:val="000000"/>
                      <w:kern w:val="0"/>
                      <w:szCs w:val="21"/>
                      <w:highlight w:val="none"/>
                      <w:lang w:val="en-US" w:eastAsia="zh-CN"/>
                    </w:rPr>
                    <w:t>监测</w:t>
                  </w:r>
                  <w:r>
                    <w:rPr>
                      <w:rFonts w:ascii="Times New Roman" w:hAnsi="Times New Roman" w:cs="Times New Roman"/>
                      <w:b/>
                      <w:bCs/>
                      <w:color w:val="000000"/>
                      <w:kern w:val="0"/>
                      <w:szCs w:val="21"/>
                      <w:highlight w:val="none"/>
                    </w:rPr>
                    <w:t>点位</w:t>
                  </w:r>
                </w:p>
              </w:tc>
              <w:tc>
                <w:tcPr>
                  <w:tcW w:w="3475" w:type="dxa"/>
                  <w:gridSpan w:val="4"/>
                  <w:tcMar>
                    <w:left w:w="28" w:type="dxa"/>
                    <w:right w:w="28" w:type="dxa"/>
                  </w:tcMar>
                  <w:vAlign w:val="center"/>
                </w:tcPr>
                <w:p w14:paraId="6B924E5C">
                  <w:pPr>
                    <w:spacing w:line="0" w:lineRule="atLeast"/>
                    <w:jc w:val="center"/>
                    <w:rPr>
                      <w:rFonts w:hint="default" w:ascii="Times New Roman" w:hAnsi="Times New Roman" w:eastAsia="宋体" w:cs="Times New Roman"/>
                      <w:b/>
                      <w:bCs/>
                      <w:color w:val="000000"/>
                      <w:kern w:val="0"/>
                      <w:szCs w:val="21"/>
                      <w:highlight w:val="none"/>
                      <w:lang w:val="en-US" w:eastAsia="zh-CN"/>
                    </w:rPr>
                  </w:pPr>
                  <w:r>
                    <w:rPr>
                      <w:rFonts w:hint="eastAsia" w:ascii="Times New Roman" w:hAnsi="Times New Roman" w:cs="Times New Roman"/>
                      <w:b/>
                      <w:bCs/>
                      <w:color w:val="000000"/>
                      <w:kern w:val="0"/>
                      <w:szCs w:val="21"/>
                      <w:highlight w:val="none"/>
                      <w:lang w:val="en-US" w:eastAsia="zh-CN"/>
                    </w:rPr>
                    <w:t>监测结果</w:t>
                  </w:r>
                </w:p>
              </w:tc>
              <w:tc>
                <w:tcPr>
                  <w:tcW w:w="926" w:type="dxa"/>
                  <w:vMerge w:val="restart"/>
                  <w:tcMar>
                    <w:left w:w="28" w:type="dxa"/>
                    <w:right w:w="28" w:type="dxa"/>
                  </w:tcMar>
                  <w:vAlign w:val="center"/>
                </w:tcPr>
                <w:p w14:paraId="095819C5">
                  <w:pPr>
                    <w:spacing w:line="0" w:lineRule="atLeast"/>
                    <w:jc w:val="center"/>
                    <w:rPr>
                      <w:rFonts w:ascii="Times New Roman" w:hAnsi="Times New Roman" w:cs="Times New Roman"/>
                      <w:b/>
                      <w:bCs/>
                      <w:color w:val="000000"/>
                      <w:kern w:val="0"/>
                      <w:szCs w:val="21"/>
                      <w:highlight w:val="none"/>
                    </w:rPr>
                  </w:pPr>
                  <w:r>
                    <w:rPr>
                      <w:rFonts w:ascii="Times New Roman" w:hAnsi="Times New Roman" w:cs="Times New Roman"/>
                      <w:b/>
                      <w:bCs/>
                      <w:color w:val="000000"/>
                      <w:kern w:val="0"/>
                      <w:szCs w:val="21"/>
                      <w:highlight w:val="none"/>
                    </w:rPr>
                    <w:t>最大值</w:t>
                  </w:r>
                </w:p>
              </w:tc>
              <w:tc>
                <w:tcPr>
                  <w:tcW w:w="1090" w:type="dxa"/>
                  <w:vMerge w:val="restart"/>
                  <w:tcMar>
                    <w:left w:w="28" w:type="dxa"/>
                    <w:right w:w="28" w:type="dxa"/>
                  </w:tcMar>
                  <w:vAlign w:val="center"/>
                </w:tcPr>
                <w:p w14:paraId="7B818469">
                  <w:pPr>
                    <w:spacing w:line="0" w:lineRule="atLeast"/>
                    <w:jc w:val="center"/>
                    <w:rPr>
                      <w:rFonts w:ascii="Times New Roman" w:hAnsi="Times New Roman" w:cs="Times New Roman"/>
                      <w:b/>
                      <w:bCs/>
                      <w:color w:val="000000"/>
                      <w:kern w:val="0"/>
                      <w:szCs w:val="21"/>
                      <w:highlight w:val="none"/>
                    </w:rPr>
                  </w:pPr>
                  <w:r>
                    <w:rPr>
                      <w:rFonts w:ascii="Times New Roman" w:hAnsi="Times New Roman" w:cs="Times New Roman"/>
                      <w:b/>
                      <w:bCs/>
                      <w:szCs w:val="21"/>
                      <w:highlight w:val="none"/>
                    </w:rPr>
                    <w:t>标准限值</w:t>
                  </w:r>
                </w:p>
              </w:tc>
              <w:tc>
                <w:tcPr>
                  <w:tcW w:w="958" w:type="dxa"/>
                  <w:vMerge w:val="restart"/>
                  <w:tcMar>
                    <w:left w:w="28" w:type="dxa"/>
                    <w:right w:w="28" w:type="dxa"/>
                  </w:tcMar>
                  <w:vAlign w:val="center"/>
                </w:tcPr>
                <w:p w14:paraId="69BF9978">
                  <w:pPr>
                    <w:spacing w:line="0" w:lineRule="atLeast"/>
                    <w:jc w:val="center"/>
                    <w:rPr>
                      <w:rFonts w:ascii="Times New Roman" w:hAnsi="Times New Roman" w:cs="Times New Roman"/>
                      <w:b/>
                      <w:bCs/>
                      <w:color w:val="000000"/>
                      <w:kern w:val="0"/>
                      <w:szCs w:val="21"/>
                      <w:highlight w:val="none"/>
                    </w:rPr>
                  </w:pPr>
                  <w:r>
                    <w:rPr>
                      <w:rFonts w:ascii="Times New Roman" w:hAnsi="Times New Roman" w:cs="Times New Roman"/>
                      <w:b/>
                      <w:bCs/>
                      <w:color w:val="000000"/>
                      <w:kern w:val="0"/>
                      <w:szCs w:val="21"/>
                      <w:highlight w:val="none"/>
                    </w:rPr>
                    <w:t>是否达标</w:t>
                  </w:r>
                </w:p>
              </w:tc>
            </w:tr>
            <w:tr w14:paraId="009B7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dxa"/>
                  <w:vMerge w:val="continue"/>
                  <w:tcMar>
                    <w:left w:w="28" w:type="dxa"/>
                    <w:right w:w="28" w:type="dxa"/>
                  </w:tcMar>
                  <w:vAlign w:val="center"/>
                </w:tcPr>
                <w:p w14:paraId="4D2B8E43">
                  <w:pPr>
                    <w:spacing w:line="0" w:lineRule="atLeast"/>
                    <w:jc w:val="center"/>
                    <w:rPr>
                      <w:rFonts w:ascii="Times New Roman" w:hAnsi="Times New Roman" w:cs="Times New Roman"/>
                      <w:b/>
                      <w:bCs/>
                      <w:color w:val="000000"/>
                      <w:kern w:val="0"/>
                      <w:szCs w:val="21"/>
                      <w:highlight w:val="none"/>
                    </w:rPr>
                  </w:pPr>
                </w:p>
              </w:tc>
              <w:tc>
                <w:tcPr>
                  <w:tcW w:w="889" w:type="dxa"/>
                  <w:vMerge w:val="continue"/>
                  <w:tcMar>
                    <w:left w:w="28" w:type="dxa"/>
                    <w:right w:w="28" w:type="dxa"/>
                  </w:tcMar>
                  <w:vAlign w:val="center"/>
                </w:tcPr>
                <w:p w14:paraId="19692CEA">
                  <w:pPr>
                    <w:spacing w:line="0" w:lineRule="atLeast"/>
                    <w:jc w:val="center"/>
                    <w:rPr>
                      <w:rFonts w:ascii="Times New Roman" w:hAnsi="Times New Roman" w:cs="Times New Roman"/>
                      <w:b/>
                      <w:bCs/>
                      <w:color w:val="000000"/>
                      <w:kern w:val="0"/>
                      <w:szCs w:val="21"/>
                      <w:highlight w:val="none"/>
                    </w:rPr>
                  </w:pPr>
                </w:p>
              </w:tc>
              <w:tc>
                <w:tcPr>
                  <w:tcW w:w="754" w:type="dxa"/>
                  <w:tcMar>
                    <w:left w:w="28" w:type="dxa"/>
                    <w:right w:w="28" w:type="dxa"/>
                  </w:tcMar>
                  <w:vAlign w:val="center"/>
                </w:tcPr>
                <w:p w14:paraId="5BF8D9E6">
                  <w:pPr>
                    <w:spacing w:line="0" w:lineRule="atLeast"/>
                    <w:jc w:val="center"/>
                    <w:rPr>
                      <w:rFonts w:ascii="Times New Roman" w:hAnsi="Times New Roman" w:cs="Times New Roman"/>
                      <w:b/>
                      <w:bCs/>
                      <w:color w:val="000000"/>
                      <w:kern w:val="0"/>
                      <w:szCs w:val="21"/>
                      <w:highlight w:val="none"/>
                    </w:rPr>
                  </w:pPr>
                  <w:r>
                    <w:rPr>
                      <w:rFonts w:ascii="Times New Roman" w:hAnsi="Times New Roman" w:cs="Times New Roman"/>
                      <w:b/>
                      <w:bCs/>
                      <w:color w:val="000000"/>
                      <w:kern w:val="0"/>
                      <w:szCs w:val="21"/>
                      <w:highlight w:val="none"/>
                    </w:rPr>
                    <w:t>第一次</w:t>
                  </w:r>
                </w:p>
              </w:tc>
              <w:tc>
                <w:tcPr>
                  <w:tcW w:w="877" w:type="dxa"/>
                  <w:vAlign w:val="center"/>
                </w:tcPr>
                <w:p w14:paraId="2ADE2334">
                  <w:pPr>
                    <w:spacing w:line="0" w:lineRule="atLeast"/>
                    <w:jc w:val="center"/>
                    <w:rPr>
                      <w:rFonts w:ascii="Times New Roman" w:hAnsi="Times New Roman" w:cs="Times New Roman"/>
                      <w:b/>
                      <w:bCs/>
                      <w:color w:val="000000"/>
                      <w:kern w:val="0"/>
                      <w:szCs w:val="21"/>
                      <w:highlight w:val="none"/>
                    </w:rPr>
                  </w:pPr>
                  <w:r>
                    <w:rPr>
                      <w:rFonts w:ascii="Times New Roman" w:hAnsi="Times New Roman" w:cs="Times New Roman"/>
                      <w:b/>
                      <w:bCs/>
                      <w:color w:val="000000"/>
                      <w:kern w:val="0"/>
                      <w:szCs w:val="21"/>
                      <w:highlight w:val="none"/>
                    </w:rPr>
                    <w:t>第二次</w:t>
                  </w:r>
                </w:p>
              </w:tc>
              <w:tc>
                <w:tcPr>
                  <w:tcW w:w="929" w:type="dxa"/>
                  <w:vAlign w:val="center"/>
                </w:tcPr>
                <w:p w14:paraId="453EC992">
                  <w:pPr>
                    <w:spacing w:line="0" w:lineRule="atLeast"/>
                    <w:jc w:val="center"/>
                    <w:rPr>
                      <w:rFonts w:ascii="Times New Roman" w:hAnsi="Times New Roman" w:cs="Times New Roman"/>
                      <w:b/>
                      <w:bCs/>
                      <w:color w:val="000000"/>
                      <w:kern w:val="0"/>
                      <w:szCs w:val="21"/>
                      <w:highlight w:val="none"/>
                    </w:rPr>
                  </w:pPr>
                  <w:r>
                    <w:rPr>
                      <w:rFonts w:ascii="Times New Roman" w:hAnsi="Times New Roman" w:cs="Times New Roman"/>
                      <w:b/>
                      <w:bCs/>
                      <w:color w:val="000000"/>
                      <w:kern w:val="0"/>
                      <w:szCs w:val="21"/>
                      <w:highlight w:val="none"/>
                    </w:rPr>
                    <w:t>第三次</w:t>
                  </w:r>
                </w:p>
              </w:tc>
              <w:tc>
                <w:tcPr>
                  <w:tcW w:w="915" w:type="dxa"/>
                  <w:vAlign w:val="center"/>
                </w:tcPr>
                <w:p w14:paraId="763C8B5C">
                  <w:pPr>
                    <w:spacing w:line="0" w:lineRule="atLeast"/>
                    <w:jc w:val="center"/>
                    <w:rPr>
                      <w:rFonts w:ascii="Times New Roman" w:hAnsi="Times New Roman" w:cs="Times New Roman"/>
                      <w:b/>
                      <w:bCs/>
                      <w:color w:val="000000"/>
                      <w:kern w:val="0"/>
                      <w:szCs w:val="21"/>
                      <w:highlight w:val="none"/>
                    </w:rPr>
                  </w:pPr>
                  <w:r>
                    <w:rPr>
                      <w:rFonts w:ascii="Times New Roman" w:hAnsi="Times New Roman" w:cs="Times New Roman"/>
                      <w:b/>
                      <w:bCs/>
                      <w:color w:val="000000"/>
                      <w:kern w:val="0"/>
                      <w:szCs w:val="21"/>
                      <w:highlight w:val="none"/>
                    </w:rPr>
                    <w:t>第四次</w:t>
                  </w:r>
                </w:p>
              </w:tc>
              <w:tc>
                <w:tcPr>
                  <w:tcW w:w="926" w:type="dxa"/>
                  <w:vMerge w:val="continue"/>
                  <w:tcMar>
                    <w:left w:w="28" w:type="dxa"/>
                    <w:right w:w="28" w:type="dxa"/>
                  </w:tcMar>
                  <w:vAlign w:val="center"/>
                </w:tcPr>
                <w:p w14:paraId="7AA80B5A">
                  <w:pPr>
                    <w:spacing w:line="0" w:lineRule="atLeast"/>
                    <w:jc w:val="center"/>
                    <w:rPr>
                      <w:rFonts w:ascii="Times New Roman" w:hAnsi="Times New Roman" w:cs="Times New Roman"/>
                      <w:b/>
                      <w:bCs/>
                      <w:color w:val="000000"/>
                      <w:kern w:val="0"/>
                      <w:szCs w:val="21"/>
                      <w:highlight w:val="none"/>
                    </w:rPr>
                  </w:pPr>
                </w:p>
              </w:tc>
              <w:tc>
                <w:tcPr>
                  <w:tcW w:w="1090" w:type="dxa"/>
                  <w:vMerge w:val="continue"/>
                  <w:tcMar>
                    <w:left w:w="28" w:type="dxa"/>
                    <w:right w:w="28" w:type="dxa"/>
                  </w:tcMar>
                  <w:vAlign w:val="center"/>
                </w:tcPr>
                <w:p w14:paraId="3E570A03">
                  <w:pPr>
                    <w:spacing w:line="0" w:lineRule="atLeast"/>
                    <w:jc w:val="center"/>
                    <w:rPr>
                      <w:rFonts w:ascii="Times New Roman" w:hAnsi="Times New Roman" w:cs="Times New Roman"/>
                      <w:b/>
                      <w:bCs/>
                      <w:color w:val="000000"/>
                      <w:kern w:val="0"/>
                      <w:szCs w:val="21"/>
                      <w:highlight w:val="none"/>
                    </w:rPr>
                  </w:pPr>
                </w:p>
              </w:tc>
              <w:tc>
                <w:tcPr>
                  <w:tcW w:w="958" w:type="dxa"/>
                  <w:vMerge w:val="continue"/>
                  <w:tcMar>
                    <w:left w:w="28" w:type="dxa"/>
                    <w:right w:w="28" w:type="dxa"/>
                  </w:tcMar>
                  <w:vAlign w:val="center"/>
                </w:tcPr>
                <w:p w14:paraId="7F1AE5A2">
                  <w:pPr>
                    <w:spacing w:line="0" w:lineRule="atLeast"/>
                    <w:jc w:val="center"/>
                    <w:rPr>
                      <w:rFonts w:ascii="Times New Roman" w:hAnsi="Times New Roman" w:cs="Times New Roman"/>
                      <w:b/>
                      <w:bCs/>
                      <w:color w:val="000000"/>
                      <w:kern w:val="0"/>
                      <w:szCs w:val="21"/>
                      <w:highlight w:val="none"/>
                    </w:rPr>
                  </w:pPr>
                </w:p>
              </w:tc>
            </w:tr>
            <w:tr w14:paraId="1D813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dxa"/>
                  <w:vMerge w:val="restart"/>
                  <w:tcMar>
                    <w:left w:w="28" w:type="dxa"/>
                    <w:right w:w="28" w:type="dxa"/>
                  </w:tcMar>
                  <w:vAlign w:val="center"/>
                </w:tcPr>
                <w:p w14:paraId="5876A6C4">
                  <w:pPr>
                    <w:spacing w:line="0" w:lineRule="atLeast"/>
                    <w:jc w:val="center"/>
                    <w:rPr>
                      <w:rFonts w:hint="eastAsia"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氨（</w:t>
                  </w:r>
                  <w:r>
                    <w:rPr>
                      <w:rFonts w:ascii="Times New Roman" w:hAnsi="Times New Roman" w:cs="Times New Roman"/>
                      <w:szCs w:val="21"/>
                      <w:highlight w:val="none"/>
                    </w:rPr>
                    <w:t>mg/m</w:t>
                  </w:r>
                  <w:r>
                    <w:rPr>
                      <w:rFonts w:ascii="Times New Roman" w:hAnsi="Times New Roman" w:cs="Times New Roman"/>
                      <w:szCs w:val="21"/>
                      <w:highlight w:val="none"/>
                      <w:vertAlign w:val="superscript"/>
                    </w:rPr>
                    <w:t>3</w:t>
                  </w:r>
                  <w:r>
                    <w:rPr>
                      <w:rFonts w:hint="eastAsia" w:ascii="Times New Roman" w:hAnsi="Times New Roman" w:cs="Times New Roman"/>
                      <w:color w:val="000000"/>
                      <w:kern w:val="0"/>
                      <w:szCs w:val="21"/>
                      <w:highlight w:val="none"/>
                      <w:lang w:val="en-US" w:eastAsia="zh-CN"/>
                    </w:rPr>
                    <w:t>）</w:t>
                  </w:r>
                </w:p>
              </w:tc>
              <w:tc>
                <w:tcPr>
                  <w:tcW w:w="889" w:type="dxa"/>
                  <w:tcMar>
                    <w:left w:w="28" w:type="dxa"/>
                    <w:right w:w="28" w:type="dxa"/>
                  </w:tcMar>
                  <w:vAlign w:val="center"/>
                </w:tcPr>
                <w:p w14:paraId="208905B0">
                  <w:pPr>
                    <w:spacing w:line="0" w:lineRule="atLeast"/>
                    <w:jc w:val="center"/>
                    <w:rPr>
                      <w:rFonts w:hint="default" w:ascii="Times New Roman" w:hAnsi="Times New Roman" w:eastAsia="宋体" w:cs="Times New Roman"/>
                      <w:color w:val="000000"/>
                      <w:kern w:val="0"/>
                      <w:szCs w:val="21"/>
                      <w:highlight w:val="none"/>
                      <w:lang w:val="en-US" w:eastAsia="zh-CN"/>
                    </w:rPr>
                  </w:pPr>
                  <w:r>
                    <w:rPr>
                      <w:rFonts w:ascii="Times New Roman" w:hAnsi="Times New Roman" w:cs="Times New Roman"/>
                      <w:color w:val="000000"/>
                      <w:kern w:val="0"/>
                      <w:szCs w:val="21"/>
                      <w:highlight w:val="none"/>
                    </w:rPr>
                    <w:t>1#</w:t>
                  </w:r>
                  <w:r>
                    <w:rPr>
                      <w:rFonts w:hint="eastAsia" w:ascii="Times New Roman" w:hAnsi="Times New Roman" w:cs="Times New Roman"/>
                      <w:color w:val="000000"/>
                      <w:kern w:val="0"/>
                      <w:szCs w:val="21"/>
                      <w:highlight w:val="none"/>
                      <w:lang w:val="en-US" w:eastAsia="zh-CN"/>
                    </w:rPr>
                    <w:t>厂界下</w:t>
                  </w:r>
                  <w:r>
                    <w:rPr>
                      <w:rFonts w:ascii="Times New Roman" w:hAnsi="Times New Roman" w:cs="Times New Roman"/>
                      <w:color w:val="000000"/>
                      <w:kern w:val="0"/>
                      <w:szCs w:val="21"/>
                      <w:highlight w:val="none"/>
                    </w:rPr>
                    <w:t>风向</w:t>
                  </w:r>
                  <w:r>
                    <w:rPr>
                      <w:rFonts w:hint="eastAsia" w:ascii="Times New Roman" w:hAnsi="Times New Roman" w:cs="Times New Roman"/>
                      <w:color w:val="000000"/>
                      <w:kern w:val="0"/>
                      <w:szCs w:val="21"/>
                      <w:highlight w:val="none"/>
                      <w:lang w:val="en-US" w:eastAsia="zh-CN"/>
                    </w:rPr>
                    <w:t>监测点</w:t>
                  </w:r>
                </w:p>
              </w:tc>
              <w:tc>
                <w:tcPr>
                  <w:tcW w:w="754" w:type="dxa"/>
                  <w:tcMar>
                    <w:left w:w="28" w:type="dxa"/>
                    <w:right w:w="28" w:type="dxa"/>
                  </w:tcMar>
                  <w:vAlign w:val="center"/>
                </w:tcPr>
                <w:p w14:paraId="4B33311D">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0.110</w:t>
                  </w:r>
                </w:p>
              </w:tc>
              <w:tc>
                <w:tcPr>
                  <w:tcW w:w="877" w:type="dxa"/>
                  <w:vAlign w:val="center"/>
                </w:tcPr>
                <w:p w14:paraId="1ED3FDF8">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0.096</w:t>
                  </w:r>
                </w:p>
              </w:tc>
              <w:tc>
                <w:tcPr>
                  <w:tcW w:w="929" w:type="dxa"/>
                  <w:vAlign w:val="center"/>
                </w:tcPr>
                <w:p w14:paraId="757206BE">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0.130</w:t>
                  </w:r>
                </w:p>
              </w:tc>
              <w:tc>
                <w:tcPr>
                  <w:tcW w:w="915" w:type="dxa"/>
                  <w:vAlign w:val="center"/>
                </w:tcPr>
                <w:p w14:paraId="26D75B89">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0.121</w:t>
                  </w:r>
                </w:p>
              </w:tc>
              <w:tc>
                <w:tcPr>
                  <w:tcW w:w="926" w:type="dxa"/>
                  <w:vMerge w:val="restart"/>
                  <w:tcMar>
                    <w:left w:w="28" w:type="dxa"/>
                    <w:right w:w="28" w:type="dxa"/>
                  </w:tcMar>
                  <w:vAlign w:val="center"/>
                </w:tcPr>
                <w:p w14:paraId="2D9A208A">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0.15</w:t>
                  </w:r>
                </w:p>
              </w:tc>
              <w:tc>
                <w:tcPr>
                  <w:tcW w:w="1090" w:type="dxa"/>
                  <w:vMerge w:val="restart"/>
                  <w:tcMar>
                    <w:left w:w="28" w:type="dxa"/>
                    <w:right w:w="28" w:type="dxa"/>
                  </w:tcMar>
                  <w:vAlign w:val="center"/>
                </w:tcPr>
                <w:p w14:paraId="071DBA04">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1.5</w:t>
                  </w:r>
                </w:p>
              </w:tc>
              <w:tc>
                <w:tcPr>
                  <w:tcW w:w="958" w:type="dxa"/>
                  <w:vMerge w:val="restart"/>
                  <w:tcMar>
                    <w:left w:w="28" w:type="dxa"/>
                    <w:right w:w="28" w:type="dxa"/>
                  </w:tcMar>
                  <w:vAlign w:val="center"/>
                </w:tcPr>
                <w:p w14:paraId="378FFF73">
                  <w:pPr>
                    <w:spacing w:line="0" w:lineRule="atLeast"/>
                    <w:jc w:val="center"/>
                    <w:rPr>
                      <w:rFonts w:hint="eastAsia"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达标</w:t>
                  </w:r>
                </w:p>
              </w:tc>
            </w:tr>
            <w:tr w14:paraId="0673D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dxa"/>
                  <w:vMerge w:val="continue"/>
                  <w:tcMar>
                    <w:left w:w="28" w:type="dxa"/>
                    <w:right w:w="28" w:type="dxa"/>
                  </w:tcMar>
                  <w:vAlign w:val="center"/>
                </w:tcPr>
                <w:p w14:paraId="2945CE00">
                  <w:pPr>
                    <w:spacing w:line="0" w:lineRule="atLeast"/>
                    <w:jc w:val="center"/>
                    <w:rPr>
                      <w:rFonts w:hint="eastAsia" w:ascii="Times New Roman" w:hAnsi="Times New Roman" w:cs="Times New Roman"/>
                      <w:color w:val="000000"/>
                      <w:kern w:val="0"/>
                      <w:szCs w:val="21"/>
                      <w:highlight w:val="none"/>
                      <w:lang w:val="en-US" w:eastAsia="zh-CN"/>
                    </w:rPr>
                  </w:pPr>
                </w:p>
              </w:tc>
              <w:tc>
                <w:tcPr>
                  <w:tcW w:w="889" w:type="dxa"/>
                  <w:tcMar>
                    <w:left w:w="28" w:type="dxa"/>
                    <w:right w:w="28" w:type="dxa"/>
                  </w:tcMar>
                  <w:vAlign w:val="center"/>
                </w:tcPr>
                <w:p w14:paraId="3A71962E">
                  <w:pPr>
                    <w:spacing w:line="0" w:lineRule="atLeast"/>
                    <w:jc w:val="center"/>
                    <w:rPr>
                      <w:rFonts w:ascii="Times New Roman" w:hAnsi="Times New Roman" w:cs="Times New Roman"/>
                      <w:color w:val="000000"/>
                      <w:kern w:val="0"/>
                      <w:szCs w:val="21"/>
                      <w:highlight w:val="none"/>
                    </w:rPr>
                  </w:pPr>
                  <w:r>
                    <w:rPr>
                      <w:rFonts w:hint="eastAsia" w:ascii="Times New Roman" w:hAnsi="Times New Roman" w:cs="Times New Roman"/>
                      <w:color w:val="000000"/>
                      <w:kern w:val="0"/>
                      <w:szCs w:val="21"/>
                      <w:highlight w:val="none"/>
                      <w:lang w:val="en-US" w:eastAsia="zh-CN"/>
                    </w:rPr>
                    <w:t>2</w:t>
                  </w:r>
                  <w:r>
                    <w:rPr>
                      <w:rFonts w:ascii="Times New Roman" w:hAnsi="Times New Roman" w:cs="Times New Roman"/>
                      <w:color w:val="000000"/>
                      <w:kern w:val="0"/>
                      <w:szCs w:val="21"/>
                      <w:highlight w:val="none"/>
                    </w:rPr>
                    <w:t>#</w:t>
                  </w:r>
                  <w:r>
                    <w:rPr>
                      <w:rFonts w:hint="eastAsia" w:ascii="Times New Roman" w:hAnsi="Times New Roman" w:cs="Times New Roman"/>
                      <w:color w:val="000000"/>
                      <w:kern w:val="0"/>
                      <w:szCs w:val="21"/>
                      <w:highlight w:val="none"/>
                      <w:lang w:val="en-US" w:eastAsia="zh-CN"/>
                    </w:rPr>
                    <w:t>厂界下</w:t>
                  </w:r>
                  <w:r>
                    <w:rPr>
                      <w:rFonts w:ascii="Times New Roman" w:hAnsi="Times New Roman" w:cs="Times New Roman"/>
                      <w:color w:val="000000"/>
                      <w:kern w:val="0"/>
                      <w:szCs w:val="21"/>
                      <w:highlight w:val="none"/>
                    </w:rPr>
                    <w:t>风向</w:t>
                  </w:r>
                  <w:r>
                    <w:rPr>
                      <w:rFonts w:hint="eastAsia" w:ascii="Times New Roman" w:hAnsi="Times New Roman" w:cs="Times New Roman"/>
                      <w:color w:val="000000"/>
                      <w:kern w:val="0"/>
                      <w:szCs w:val="21"/>
                      <w:highlight w:val="none"/>
                      <w:lang w:val="en-US" w:eastAsia="zh-CN"/>
                    </w:rPr>
                    <w:t>监测点</w:t>
                  </w:r>
                </w:p>
              </w:tc>
              <w:tc>
                <w:tcPr>
                  <w:tcW w:w="754" w:type="dxa"/>
                  <w:tcMar>
                    <w:left w:w="28" w:type="dxa"/>
                    <w:right w:w="28" w:type="dxa"/>
                  </w:tcMar>
                  <w:vAlign w:val="center"/>
                </w:tcPr>
                <w:p w14:paraId="3823187F">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0.148</w:t>
                  </w:r>
                </w:p>
              </w:tc>
              <w:tc>
                <w:tcPr>
                  <w:tcW w:w="877" w:type="dxa"/>
                  <w:vAlign w:val="center"/>
                </w:tcPr>
                <w:p w14:paraId="01E7AEE5">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0.102</w:t>
                  </w:r>
                </w:p>
              </w:tc>
              <w:tc>
                <w:tcPr>
                  <w:tcW w:w="929" w:type="dxa"/>
                  <w:vAlign w:val="center"/>
                </w:tcPr>
                <w:p w14:paraId="3C5492E6">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0.121</w:t>
                  </w:r>
                </w:p>
              </w:tc>
              <w:tc>
                <w:tcPr>
                  <w:tcW w:w="915" w:type="dxa"/>
                  <w:vAlign w:val="center"/>
                </w:tcPr>
                <w:p w14:paraId="51A7C3DE">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0.133</w:t>
                  </w:r>
                </w:p>
              </w:tc>
              <w:tc>
                <w:tcPr>
                  <w:tcW w:w="926" w:type="dxa"/>
                  <w:vMerge w:val="continue"/>
                  <w:tcMar>
                    <w:left w:w="28" w:type="dxa"/>
                    <w:right w:w="28" w:type="dxa"/>
                  </w:tcMar>
                  <w:vAlign w:val="center"/>
                </w:tcPr>
                <w:p w14:paraId="597569BF">
                  <w:pPr>
                    <w:spacing w:line="0" w:lineRule="atLeast"/>
                    <w:jc w:val="center"/>
                    <w:rPr>
                      <w:rFonts w:ascii="Times New Roman" w:hAnsi="Times New Roman" w:cs="Times New Roman"/>
                      <w:color w:val="000000"/>
                      <w:kern w:val="0"/>
                      <w:szCs w:val="21"/>
                      <w:highlight w:val="none"/>
                    </w:rPr>
                  </w:pPr>
                </w:p>
              </w:tc>
              <w:tc>
                <w:tcPr>
                  <w:tcW w:w="1090" w:type="dxa"/>
                  <w:vMerge w:val="continue"/>
                  <w:tcMar>
                    <w:left w:w="28" w:type="dxa"/>
                    <w:right w:w="28" w:type="dxa"/>
                  </w:tcMar>
                  <w:vAlign w:val="center"/>
                </w:tcPr>
                <w:p w14:paraId="5EF3DF3C">
                  <w:pPr>
                    <w:spacing w:line="0" w:lineRule="atLeast"/>
                    <w:jc w:val="center"/>
                    <w:rPr>
                      <w:rFonts w:ascii="Times New Roman" w:hAnsi="Times New Roman" w:cs="Times New Roman"/>
                      <w:color w:val="000000"/>
                      <w:kern w:val="0"/>
                      <w:szCs w:val="21"/>
                      <w:highlight w:val="none"/>
                    </w:rPr>
                  </w:pPr>
                </w:p>
              </w:tc>
              <w:tc>
                <w:tcPr>
                  <w:tcW w:w="958" w:type="dxa"/>
                  <w:vMerge w:val="continue"/>
                  <w:tcMar>
                    <w:left w:w="28" w:type="dxa"/>
                    <w:right w:w="28" w:type="dxa"/>
                  </w:tcMar>
                  <w:vAlign w:val="center"/>
                </w:tcPr>
                <w:p w14:paraId="4A93438F">
                  <w:pPr>
                    <w:spacing w:line="0" w:lineRule="atLeast"/>
                    <w:jc w:val="center"/>
                    <w:rPr>
                      <w:rFonts w:ascii="Times New Roman" w:hAnsi="Times New Roman" w:cs="Times New Roman"/>
                      <w:color w:val="000000"/>
                      <w:kern w:val="0"/>
                      <w:szCs w:val="21"/>
                      <w:highlight w:val="none"/>
                    </w:rPr>
                  </w:pPr>
                </w:p>
              </w:tc>
            </w:tr>
            <w:tr w14:paraId="79EF2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dxa"/>
                  <w:vMerge w:val="continue"/>
                  <w:tcMar>
                    <w:left w:w="28" w:type="dxa"/>
                    <w:right w:w="28" w:type="dxa"/>
                  </w:tcMar>
                  <w:vAlign w:val="center"/>
                </w:tcPr>
                <w:p w14:paraId="523919E9">
                  <w:pPr>
                    <w:spacing w:line="0" w:lineRule="atLeast"/>
                    <w:jc w:val="center"/>
                    <w:rPr>
                      <w:rFonts w:hint="eastAsia" w:ascii="Times New Roman" w:hAnsi="Times New Roman" w:cs="Times New Roman"/>
                      <w:color w:val="000000"/>
                      <w:kern w:val="0"/>
                      <w:szCs w:val="21"/>
                      <w:highlight w:val="none"/>
                      <w:lang w:val="en-US" w:eastAsia="zh-CN"/>
                    </w:rPr>
                  </w:pPr>
                </w:p>
              </w:tc>
              <w:tc>
                <w:tcPr>
                  <w:tcW w:w="889" w:type="dxa"/>
                  <w:tcMar>
                    <w:left w:w="28" w:type="dxa"/>
                    <w:right w:w="28" w:type="dxa"/>
                  </w:tcMar>
                  <w:vAlign w:val="center"/>
                </w:tcPr>
                <w:p w14:paraId="1EEAE323">
                  <w:pPr>
                    <w:spacing w:line="0" w:lineRule="atLeast"/>
                    <w:jc w:val="center"/>
                    <w:rPr>
                      <w:rFonts w:ascii="Times New Roman" w:hAnsi="Times New Roman" w:cs="Times New Roman"/>
                      <w:color w:val="000000"/>
                      <w:kern w:val="0"/>
                      <w:szCs w:val="21"/>
                      <w:highlight w:val="none"/>
                    </w:rPr>
                  </w:pPr>
                  <w:r>
                    <w:rPr>
                      <w:rFonts w:hint="eastAsia" w:ascii="Times New Roman" w:hAnsi="Times New Roman" w:cs="Times New Roman"/>
                      <w:color w:val="000000"/>
                      <w:kern w:val="0"/>
                      <w:szCs w:val="21"/>
                      <w:highlight w:val="none"/>
                      <w:lang w:val="en-US" w:eastAsia="zh-CN"/>
                    </w:rPr>
                    <w:t>3</w:t>
                  </w:r>
                  <w:r>
                    <w:rPr>
                      <w:rFonts w:ascii="Times New Roman" w:hAnsi="Times New Roman" w:cs="Times New Roman"/>
                      <w:color w:val="000000"/>
                      <w:kern w:val="0"/>
                      <w:szCs w:val="21"/>
                      <w:highlight w:val="none"/>
                    </w:rPr>
                    <w:t>#</w:t>
                  </w:r>
                  <w:r>
                    <w:rPr>
                      <w:rFonts w:hint="eastAsia" w:ascii="Times New Roman" w:hAnsi="Times New Roman" w:cs="Times New Roman"/>
                      <w:color w:val="000000"/>
                      <w:kern w:val="0"/>
                      <w:szCs w:val="21"/>
                      <w:highlight w:val="none"/>
                      <w:lang w:val="en-US" w:eastAsia="zh-CN"/>
                    </w:rPr>
                    <w:t>厂界下</w:t>
                  </w:r>
                  <w:r>
                    <w:rPr>
                      <w:rFonts w:ascii="Times New Roman" w:hAnsi="Times New Roman" w:cs="Times New Roman"/>
                      <w:color w:val="000000"/>
                      <w:kern w:val="0"/>
                      <w:szCs w:val="21"/>
                      <w:highlight w:val="none"/>
                    </w:rPr>
                    <w:t>风向</w:t>
                  </w:r>
                  <w:r>
                    <w:rPr>
                      <w:rFonts w:hint="eastAsia" w:ascii="Times New Roman" w:hAnsi="Times New Roman" w:cs="Times New Roman"/>
                      <w:color w:val="000000"/>
                      <w:kern w:val="0"/>
                      <w:szCs w:val="21"/>
                      <w:highlight w:val="none"/>
                      <w:lang w:val="en-US" w:eastAsia="zh-CN"/>
                    </w:rPr>
                    <w:t>监测点</w:t>
                  </w:r>
                </w:p>
              </w:tc>
              <w:tc>
                <w:tcPr>
                  <w:tcW w:w="754" w:type="dxa"/>
                  <w:tcMar>
                    <w:left w:w="28" w:type="dxa"/>
                    <w:right w:w="28" w:type="dxa"/>
                  </w:tcMar>
                  <w:vAlign w:val="center"/>
                </w:tcPr>
                <w:p w14:paraId="4ADF0A57">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0.088</w:t>
                  </w:r>
                </w:p>
              </w:tc>
              <w:tc>
                <w:tcPr>
                  <w:tcW w:w="877" w:type="dxa"/>
                  <w:vAlign w:val="center"/>
                </w:tcPr>
                <w:p w14:paraId="35E27D32">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0.144</w:t>
                  </w:r>
                </w:p>
              </w:tc>
              <w:tc>
                <w:tcPr>
                  <w:tcW w:w="929" w:type="dxa"/>
                  <w:vAlign w:val="center"/>
                </w:tcPr>
                <w:p w14:paraId="10D4599F">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0.116</w:t>
                  </w:r>
                </w:p>
              </w:tc>
              <w:tc>
                <w:tcPr>
                  <w:tcW w:w="915" w:type="dxa"/>
                  <w:vAlign w:val="center"/>
                </w:tcPr>
                <w:p w14:paraId="6D63D933">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0.150</w:t>
                  </w:r>
                </w:p>
              </w:tc>
              <w:tc>
                <w:tcPr>
                  <w:tcW w:w="926" w:type="dxa"/>
                  <w:vMerge w:val="continue"/>
                  <w:tcMar>
                    <w:left w:w="28" w:type="dxa"/>
                    <w:right w:w="28" w:type="dxa"/>
                  </w:tcMar>
                  <w:vAlign w:val="center"/>
                </w:tcPr>
                <w:p w14:paraId="45E597E0">
                  <w:pPr>
                    <w:spacing w:line="0" w:lineRule="atLeast"/>
                    <w:jc w:val="center"/>
                    <w:rPr>
                      <w:rFonts w:ascii="Times New Roman" w:hAnsi="Times New Roman" w:cs="Times New Roman"/>
                      <w:color w:val="000000"/>
                      <w:kern w:val="0"/>
                      <w:szCs w:val="21"/>
                      <w:highlight w:val="none"/>
                    </w:rPr>
                  </w:pPr>
                </w:p>
              </w:tc>
              <w:tc>
                <w:tcPr>
                  <w:tcW w:w="1090" w:type="dxa"/>
                  <w:vMerge w:val="continue"/>
                  <w:tcMar>
                    <w:left w:w="28" w:type="dxa"/>
                    <w:right w:w="28" w:type="dxa"/>
                  </w:tcMar>
                  <w:vAlign w:val="center"/>
                </w:tcPr>
                <w:p w14:paraId="476CA18E">
                  <w:pPr>
                    <w:spacing w:line="0" w:lineRule="atLeast"/>
                    <w:jc w:val="center"/>
                    <w:rPr>
                      <w:rFonts w:ascii="Times New Roman" w:hAnsi="Times New Roman" w:cs="Times New Roman"/>
                      <w:color w:val="000000"/>
                      <w:kern w:val="0"/>
                      <w:szCs w:val="21"/>
                      <w:highlight w:val="none"/>
                    </w:rPr>
                  </w:pPr>
                </w:p>
              </w:tc>
              <w:tc>
                <w:tcPr>
                  <w:tcW w:w="958" w:type="dxa"/>
                  <w:vMerge w:val="continue"/>
                  <w:tcMar>
                    <w:left w:w="28" w:type="dxa"/>
                    <w:right w:w="28" w:type="dxa"/>
                  </w:tcMar>
                  <w:vAlign w:val="center"/>
                </w:tcPr>
                <w:p w14:paraId="6C2F6F32">
                  <w:pPr>
                    <w:spacing w:line="0" w:lineRule="atLeast"/>
                    <w:jc w:val="center"/>
                    <w:rPr>
                      <w:rFonts w:ascii="Times New Roman" w:hAnsi="Times New Roman" w:cs="Times New Roman"/>
                      <w:color w:val="000000"/>
                      <w:kern w:val="0"/>
                      <w:szCs w:val="21"/>
                      <w:highlight w:val="none"/>
                    </w:rPr>
                  </w:pPr>
                </w:p>
              </w:tc>
            </w:tr>
            <w:tr w14:paraId="2B019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dxa"/>
                  <w:vMerge w:val="restart"/>
                  <w:tcMar>
                    <w:left w:w="28" w:type="dxa"/>
                    <w:right w:w="28" w:type="dxa"/>
                  </w:tcMar>
                  <w:vAlign w:val="center"/>
                </w:tcPr>
                <w:p w14:paraId="3AA7B401">
                  <w:pPr>
                    <w:spacing w:line="0" w:lineRule="atLeast"/>
                    <w:jc w:val="center"/>
                    <w:rPr>
                      <w:rFonts w:hint="eastAsia"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001硫化氢（</w:t>
                  </w:r>
                  <w:r>
                    <w:rPr>
                      <w:rFonts w:ascii="Times New Roman" w:hAnsi="Times New Roman" w:cs="Times New Roman"/>
                      <w:szCs w:val="21"/>
                      <w:highlight w:val="none"/>
                    </w:rPr>
                    <w:t>mg/m</w:t>
                  </w:r>
                  <w:r>
                    <w:rPr>
                      <w:rFonts w:ascii="Times New Roman" w:hAnsi="Times New Roman" w:cs="Times New Roman"/>
                      <w:szCs w:val="21"/>
                      <w:highlight w:val="none"/>
                      <w:vertAlign w:val="superscript"/>
                    </w:rPr>
                    <w:t>3</w:t>
                  </w:r>
                  <w:r>
                    <w:rPr>
                      <w:rFonts w:hint="eastAsia" w:ascii="Times New Roman" w:hAnsi="Times New Roman" w:cs="Times New Roman"/>
                      <w:color w:val="000000"/>
                      <w:kern w:val="0"/>
                      <w:szCs w:val="21"/>
                      <w:highlight w:val="none"/>
                      <w:lang w:val="en-US" w:eastAsia="zh-CN"/>
                    </w:rPr>
                    <w:t>）</w:t>
                  </w:r>
                </w:p>
              </w:tc>
              <w:tc>
                <w:tcPr>
                  <w:tcW w:w="889" w:type="dxa"/>
                  <w:shd w:val="clear" w:color="auto" w:fill="auto"/>
                  <w:tcMar>
                    <w:left w:w="28" w:type="dxa"/>
                    <w:right w:w="28" w:type="dxa"/>
                  </w:tcMar>
                  <w:vAlign w:val="center"/>
                </w:tcPr>
                <w:p w14:paraId="564C8D87">
                  <w:pPr>
                    <w:spacing w:line="0" w:lineRule="atLeast"/>
                    <w:jc w:val="center"/>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color w:val="000000"/>
                      <w:kern w:val="0"/>
                      <w:szCs w:val="21"/>
                      <w:highlight w:val="none"/>
                    </w:rPr>
                    <w:t>1#</w:t>
                  </w:r>
                  <w:r>
                    <w:rPr>
                      <w:rFonts w:hint="eastAsia" w:ascii="Times New Roman" w:hAnsi="Times New Roman" w:cs="Times New Roman"/>
                      <w:color w:val="000000"/>
                      <w:kern w:val="0"/>
                      <w:szCs w:val="21"/>
                      <w:highlight w:val="none"/>
                      <w:lang w:val="en-US" w:eastAsia="zh-CN"/>
                    </w:rPr>
                    <w:t>厂界下</w:t>
                  </w:r>
                  <w:r>
                    <w:rPr>
                      <w:rFonts w:ascii="Times New Roman" w:hAnsi="Times New Roman" w:cs="Times New Roman"/>
                      <w:color w:val="000000"/>
                      <w:kern w:val="0"/>
                      <w:szCs w:val="21"/>
                      <w:highlight w:val="none"/>
                    </w:rPr>
                    <w:t>风向</w:t>
                  </w:r>
                  <w:r>
                    <w:rPr>
                      <w:rFonts w:hint="eastAsia" w:ascii="Times New Roman" w:hAnsi="Times New Roman" w:cs="Times New Roman"/>
                      <w:color w:val="000000"/>
                      <w:kern w:val="0"/>
                      <w:szCs w:val="21"/>
                      <w:highlight w:val="none"/>
                      <w:lang w:val="en-US" w:eastAsia="zh-CN"/>
                    </w:rPr>
                    <w:t>监测点</w:t>
                  </w:r>
                </w:p>
              </w:tc>
              <w:tc>
                <w:tcPr>
                  <w:tcW w:w="754" w:type="dxa"/>
                  <w:tcMar>
                    <w:left w:w="28" w:type="dxa"/>
                    <w:right w:w="28" w:type="dxa"/>
                  </w:tcMar>
                  <w:vAlign w:val="center"/>
                </w:tcPr>
                <w:p w14:paraId="6FD5FB1A">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0.001L</w:t>
                  </w:r>
                </w:p>
              </w:tc>
              <w:tc>
                <w:tcPr>
                  <w:tcW w:w="877" w:type="dxa"/>
                  <w:vAlign w:val="center"/>
                </w:tcPr>
                <w:p w14:paraId="5E4224A2">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0.002</w:t>
                  </w:r>
                </w:p>
              </w:tc>
              <w:tc>
                <w:tcPr>
                  <w:tcW w:w="929" w:type="dxa"/>
                  <w:vAlign w:val="center"/>
                </w:tcPr>
                <w:p w14:paraId="46EE50E2">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0.003</w:t>
                  </w:r>
                </w:p>
              </w:tc>
              <w:tc>
                <w:tcPr>
                  <w:tcW w:w="915" w:type="dxa"/>
                  <w:vAlign w:val="center"/>
                </w:tcPr>
                <w:p w14:paraId="6C518657">
                  <w:pPr>
                    <w:spacing w:line="0" w:lineRule="atLeast"/>
                    <w:jc w:val="center"/>
                    <w:rPr>
                      <w:rFonts w:hint="default" w:ascii="Times New Roman" w:hAnsi="Times New Roman" w:eastAsia="等线" w:cs="Times New Roman"/>
                      <w:color w:val="000000"/>
                      <w:kern w:val="0"/>
                      <w:szCs w:val="21"/>
                      <w:highlight w:val="none"/>
                      <w:lang w:val="en-US" w:eastAsia="zh-CN"/>
                    </w:rPr>
                  </w:pPr>
                  <w:r>
                    <w:rPr>
                      <w:rFonts w:hint="eastAsia" w:ascii="Times New Roman" w:hAnsi="Times New Roman" w:eastAsia="等线" w:cs="Times New Roman"/>
                      <w:color w:val="000000"/>
                      <w:kern w:val="0"/>
                      <w:szCs w:val="21"/>
                      <w:highlight w:val="none"/>
                      <w:lang w:val="en-US" w:eastAsia="zh-CN"/>
                    </w:rPr>
                    <w:t>0.004</w:t>
                  </w:r>
                </w:p>
              </w:tc>
              <w:tc>
                <w:tcPr>
                  <w:tcW w:w="926" w:type="dxa"/>
                  <w:vMerge w:val="restart"/>
                  <w:tcMar>
                    <w:left w:w="28" w:type="dxa"/>
                    <w:right w:w="28" w:type="dxa"/>
                  </w:tcMar>
                  <w:vAlign w:val="center"/>
                </w:tcPr>
                <w:p w14:paraId="3ABF634B">
                  <w:pPr>
                    <w:spacing w:line="0" w:lineRule="atLeast"/>
                    <w:jc w:val="center"/>
                    <w:rPr>
                      <w:rFonts w:hint="default" w:ascii="Times New Roman" w:hAnsi="Times New Roman" w:eastAsia="等线" w:cs="Times New Roman"/>
                      <w:color w:val="000000"/>
                      <w:kern w:val="0"/>
                      <w:szCs w:val="21"/>
                      <w:highlight w:val="none"/>
                      <w:lang w:val="en-US" w:eastAsia="zh-CN"/>
                    </w:rPr>
                  </w:pPr>
                  <w:r>
                    <w:rPr>
                      <w:rFonts w:hint="eastAsia" w:ascii="Times New Roman" w:hAnsi="Times New Roman" w:eastAsia="等线" w:cs="Times New Roman"/>
                      <w:color w:val="000000"/>
                      <w:kern w:val="0"/>
                      <w:szCs w:val="21"/>
                      <w:highlight w:val="none"/>
                      <w:lang w:val="en-US" w:eastAsia="zh-CN"/>
                    </w:rPr>
                    <w:t>0.012</w:t>
                  </w:r>
                </w:p>
              </w:tc>
              <w:tc>
                <w:tcPr>
                  <w:tcW w:w="1090" w:type="dxa"/>
                  <w:vMerge w:val="restart"/>
                  <w:tcMar>
                    <w:left w:w="28" w:type="dxa"/>
                    <w:right w:w="28" w:type="dxa"/>
                  </w:tcMar>
                  <w:vAlign w:val="center"/>
                </w:tcPr>
                <w:p w14:paraId="509CA286">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0.06</w:t>
                  </w:r>
                </w:p>
              </w:tc>
              <w:tc>
                <w:tcPr>
                  <w:tcW w:w="958" w:type="dxa"/>
                  <w:vMerge w:val="restart"/>
                  <w:tcMar>
                    <w:left w:w="28" w:type="dxa"/>
                    <w:right w:w="28" w:type="dxa"/>
                  </w:tcMar>
                  <w:vAlign w:val="center"/>
                </w:tcPr>
                <w:p w14:paraId="5EA2C5D4">
                  <w:pPr>
                    <w:spacing w:line="0" w:lineRule="atLeast"/>
                    <w:jc w:val="center"/>
                    <w:rPr>
                      <w:rFonts w:hint="eastAsia"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达标</w:t>
                  </w:r>
                </w:p>
              </w:tc>
            </w:tr>
            <w:tr w14:paraId="1ABD9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dxa"/>
                  <w:vMerge w:val="continue"/>
                  <w:tcMar>
                    <w:left w:w="28" w:type="dxa"/>
                    <w:right w:w="28" w:type="dxa"/>
                  </w:tcMar>
                  <w:vAlign w:val="center"/>
                </w:tcPr>
                <w:p w14:paraId="4E99AB7C">
                  <w:pPr>
                    <w:spacing w:line="0" w:lineRule="atLeast"/>
                    <w:jc w:val="center"/>
                    <w:rPr>
                      <w:rFonts w:hint="eastAsia" w:ascii="Times New Roman" w:hAnsi="Times New Roman" w:cs="Times New Roman"/>
                      <w:color w:val="000000"/>
                      <w:kern w:val="0"/>
                      <w:szCs w:val="21"/>
                      <w:highlight w:val="none"/>
                      <w:lang w:val="en-US" w:eastAsia="zh-CN"/>
                    </w:rPr>
                  </w:pPr>
                </w:p>
              </w:tc>
              <w:tc>
                <w:tcPr>
                  <w:tcW w:w="889" w:type="dxa"/>
                  <w:shd w:val="clear" w:color="auto" w:fill="auto"/>
                  <w:tcMar>
                    <w:left w:w="28" w:type="dxa"/>
                    <w:right w:w="28" w:type="dxa"/>
                  </w:tcMar>
                  <w:vAlign w:val="center"/>
                </w:tcPr>
                <w:p w14:paraId="1ECA8D7E">
                  <w:pPr>
                    <w:spacing w:line="0" w:lineRule="atLeast"/>
                    <w:jc w:val="center"/>
                    <w:rPr>
                      <w:rFonts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kern w:val="0"/>
                      <w:szCs w:val="21"/>
                      <w:highlight w:val="none"/>
                      <w:lang w:val="en-US" w:eastAsia="zh-CN"/>
                    </w:rPr>
                    <w:t>2</w:t>
                  </w:r>
                  <w:r>
                    <w:rPr>
                      <w:rFonts w:ascii="Times New Roman" w:hAnsi="Times New Roman" w:cs="Times New Roman"/>
                      <w:color w:val="000000"/>
                      <w:kern w:val="0"/>
                      <w:szCs w:val="21"/>
                      <w:highlight w:val="none"/>
                    </w:rPr>
                    <w:t>#</w:t>
                  </w:r>
                  <w:r>
                    <w:rPr>
                      <w:rFonts w:hint="eastAsia" w:ascii="Times New Roman" w:hAnsi="Times New Roman" w:cs="Times New Roman"/>
                      <w:color w:val="000000"/>
                      <w:kern w:val="0"/>
                      <w:szCs w:val="21"/>
                      <w:highlight w:val="none"/>
                      <w:lang w:val="en-US" w:eastAsia="zh-CN"/>
                    </w:rPr>
                    <w:t>厂界下</w:t>
                  </w:r>
                  <w:r>
                    <w:rPr>
                      <w:rFonts w:ascii="Times New Roman" w:hAnsi="Times New Roman" w:cs="Times New Roman"/>
                      <w:color w:val="000000"/>
                      <w:kern w:val="0"/>
                      <w:szCs w:val="21"/>
                      <w:highlight w:val="none"/>
                    </w:rPr>
                    <w:t>风向</w:t>
                  </w:r>
                  <w:r>
                    <w:rPr>
                      <w:rFonts w:hint="eastAsia" w:ascii="Times New Roman" w:hAnsi="Times New Roman" w:cs="Times New Roman"/>
                      <w:color w:val="000000"/>
                      <w:kern w:val="0"/>
                      <w:szCs w:val="21"/>
                      <w:highlight w:val="none"/>
                      <w:lang w:val="en-US" w:eastAsia="zh-CN"/>
                    </w:rPr>
                    <w:t>监测点</w:t>
                  </w:r>
                </w:p>
              </w:tc>
              <w:tc>
                <w:tcPr>
                  <w:tcW w:w="754" w:type="dxa"/>
                  <w:tcMar>
                    <w:left w:w="28" w:type="dxa"/>
                    <w:right w:w="28" w:type="dxa"/>
                  </w:tcMar>
                  <w:vAlign w:val="center"/>
                </w:tcPr>
                <w:p w14:paraId="4F4E40EC">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0.003</w:t>
                  </w:r>
                </w:p>
              </w:tc>
              <w:tc>
                <w:tcPr>
                  <w:tcW w:w="877" w:type="dxa"/>
                  <w:vAlign w:val="center"/>
                </w:tcPr>
                <w:p w14:paraId="3B000CF1">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0.008</w:t>
                  </w:r>
                </w:p>
              </w:tc>
              <w:tc>
                <w:tcPr>
                  <w:tcW w:w="929" w:type="dxa"/>
                  <w:vAlign w:val="center"/>
                </w:tcPr>
                <w:p w14:paraId="3C83CA4A">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0.012</w:t>
                  </w:r>
                </w:p>
              </w:tc>
              <w:tc>
                <w:tcPr>
                  <w:tcW w:w="915" w:type="dxa"/>
                  <w:vAlign w:val="center"/>
                </w:tcPr>
                <w:p w14:paraId="37871475">
                  <w:pPr>
                    <w:spacing w:line="0" w:lineRule="atLeast"/>
                    <w:jc w:val="center"/>
                    <w:rPr>
                      <w:rFonts w:hint="default" w:ascii="Times New Roman" w:hAnsi="Times New Roman" w:eastAsia="等线" w:cs="Times New Roman"/>
                      <w:color w:val="000000"/>
                      <w:kern w:val="0"/>
                      <w:szCs w:val="21"/>
                      <w:highlight w:val="none"/>
                      <w:lang w:val="en-US" w:eastAsia="zh-CN"/>
                    </w:rPr>
                  </w:pPr>
                  <w:r>
                    <w:rPr>
                      <w:rFonts w:hint="eastAsia" w:ascii="Times New Roman" w:hAnsi="Times New Roman" w:eastAsia="等线" w:cs="Times New Roman"/>
                      <w:color w:val="000000"/>
                      <w:kern w:val="0"/>
                      <w:szCs w:val="21"/>
                      <w:highlight w:val="none"/>
                      <w:lang w:val="en-US" w:eastAsia="zh-CN"/>
                    </w:rPr>
                    <w:t>0.009</w:t>
                  </w:r>
                </w:p>
              </w:tc>
              <w:tc>
                <w:tcPr>
                  <w:tcW w:w="926" w:type="dxa"/>
                  <w:vMerge w:val="continue"/>
                  <w:tcMar>
                    <w:left w:w="28" w:type="dxa"/>
                    <w:right w:w="28" w:type="dxa"/>
                  </w:tcMar>
                  <w:vAlign w:val="center"/>
                </w:tcPr>
                <w:p w14:paraId="5CDF758C">
                  <w:pPr>
                    <w:spacing w:line="0" w:lineRule="atLeast"/>
                    <w:jc w:val="center"/>
                    <w:rPr>
                      <w:rFonts w:ascii="Times New Roman" w:hAnsi="Times New Roman" w:eastAsia="等线" w:cs="Times New Roman"/>
                      <w:color w:val="000000"/>
                      <w:kern w:val="0"/>
                      <w:szCs w:val="21"/>
                      <w:highlight w:val="none"/>
                    </w:rPr>
                  </w:pPr>
                </w:p>
              </w:tc>
              <w:tc>
                <w:tcPr>
                  <w:tcW w:w="1090" w:type="dxa"/>
                  <w:vMerge w:val="continue"/>
                  <w:tcMar>
                    <w:left w:w="28" w:type="dxa"/>
                    <w:right w:w="28" w:type="dxa"/>
                  </w:tcMar>
                  <w:vAlign w:val="center"/>
                </w:tcPr>
                <w:p w14:paraId="3285EABE">
                  <w:pPr>
                    <w:spacing w:line="0" w:lineRule="atLeast"/>
                    <w:jc w:val="center"/>
                    <w:rPr>
                      <w:rFonts w:ascii="Times New Roman" w:hAnsi="Times New Roman" w:cs="Times New Roman"/>
                      <w:color w:val="000000"/>
                      <w:kern w:val="0"/>
                      <w:szCs w:val="21"/>
                      <w:highlight w:val="none"/>
                    </w:rPr>
                  </w:pPr>
                </w:p>
              </w:tc>
              <w:tc>
                <w:tcPr>
                  <w:tcW w:w="958" w:type="dxa"/>
                  <w:vMerge w:val="continue"/>
                  <w:tcMar>
                    <w:left w:w="28" w:type="dxa"/>
                    <w:right w:w="28" w:type="dxa"/>
                  </w:tcMar>
                  <w:vAlign w:val="center"/>
                </w:tcPr>
                <w:p w14:paraId="5B3A66CB">
                  <w:pPr>
                    <w:spacing w:line="0" w:lineRule="atLeast"/>
                    <w:jc w:val="center"/>
                    <w:rPr>
                      <w:rFonts w:ascii="Times New Roman" w:hAnsi="Times New Roman" w:cs="Times New Roman"/>
                      <w:color w:val="000000"/>
                      <w:kern w:val="0"/>
                      <w:szCs w:val="21"/>
                      <w:highlight w:val="none"/>
                    </w:rPr>
                  </w:pPr>
                </w:p>
              </w:tc>
            </w:tr>
            <w:tr w14:paraId="2C112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dxa"/>
                  <w:vMerge w:val="continue"/>
                  <w:tcMar>
                    <w:left w:w="28" w:type="dxa"/>
                    <w:right w:w="28" w:type="dxa"/>
                  </w:tcMar>
                  <w:vAlign w:val="center"/>
                </w:tcPr>
                <w:p w14:paraId="1204720D">
                  <w:pPr>
                    <w:spacing w:line="0" w:lineRule="atLeast"/>
                    <w:jc w:val="center"/>
                    <w:rPr>
                      <w:rFonts w:hint="eastAsia" w:ascii="Times New Roman" w:hAnsi="Times New Roman" w:cs="Times New Roman"/>
                      <w:color w:val="000000"/>
                      <w:kern w:val="0"/>
                      <w:szCs w:val="21"/>
                      <w:highlight w:val="none"/>
                      <w:lang w:val="en-US" w:eastAsia="zh-CN"/>
                    </w:rPr>
                  </w:pPr>
                </w:p>
              </w:tc>
              <w:tc>
                <w:tcPr>
                  <w:tcW w:w="889" w:type="dxa"/>
                  <w:shd w:val="clear" w:color="auto" w:fill="auto"/>
                  <w:tcMar>
                    <w:left w:w="28" w:type="dxa"/>
                    <w:right w:w="28" w:type="dxa"/>
                  </w:tcMar>
                  <w:vAlign w:val="center"/>
                </w:tcPr>
                <w:p w14:paraId="7E216608">
                  <w:pPr>
                    <w:spacing w:line="0" w:lineRule="atLeast"/>
                    <w:jc w:val="center"/>
                    <w:rPr>
                      <w:rFonts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kern w:val="0"/>
                      <w:szCs w:val="21"/>
                      <w:highlight w:val="none"/>
                      <w:lang w:val="en-US" w:eastAsia="zh-CN"/>
                    </w:rPr>
                    <w:t>3</w:t>
                  </w:r>
                  <w:r>
                    <w:rPr>
                      <w:rFonts w:ascii="Times New Roman" w:hAnsi="Times New Roman" w:cs="Times New Roman"/>
                      <w:color w:val="000000"/>
                      <w:kern w:val="0"/>
                      <w:szCs w:val="21"/>
                      <w:highlight w:val="none"/>
                    </w:rPr>
                    <w:t>#</w:t>
                  </w:r>
                  <w:r>
                    <w:rPr>
                      <w:rFonts w:hint="eastAsia" w:ascii="Times New Roman" w:hAnsi="Times New Roman" w:cs="Times New Roman"/>
                      <w:color w:val="000000"/>
                      <w:kern w:val="0"/>
                      <w:szCs w:val="21"/>
                      <w:highlight w:val="none"/>
                      <w:lang w:val="en-US" w:eastAsia="zh-CN"/>
                    </w:rPr>
                    <w:t>厂界下</w:t>
                  </w:r>
                  <w:r>
                    <w:rPr>
                      <w:rFonts w:ascii="Times New Roman" w:hAnsi="Times New Roman" w:cs="Times New Roman"/>
                      <w:color w:val="000000"/>
                      <w:kern w:val="0"/>
                      <w:szCs w:val="21"/>
                      <w:highlight w:val="none"/>
                    </w:rPr>
                    <w:t>风向</w:t>
                  </w:r>
                  <w:r>
                    <w:rPr>
                      <w:rFonts w:hint="eastAsia" w:ascii="Times New Roman" w:hAnsi="Times New Roman" w:cs="Times New Roman"/>
                      <w:color w:val="000000"/>
                      <w:kern w:val="0"/>
                      <w:szCs w:val="21"/>
                      <w:highlight w:val="none"/>
                      <w:lang w:val="en-US" w:eastAsia="zh-CN"/>
                    </w:rPr>
                    <w:t>监测点</w:t>
                  </w:r>
                </w:p>
              </w:tc>
              <w:tc>
                <w:tcPr>
                  <w:tcW w:w="754" w:type="dxa"/>
                  <w:tcMar>
                    <w:left w:w="28" w:type="dxa"/>
                    <w:right w:w="28" w:type="dxa"/>
                  </w:tcMar>
                  <w:vAlign w:val="center"/>
                </w:tcPr>
                <w:p w14:paraId="5F86742F">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0.006</w:t>
                  </w:r>
                </w:p>
              </w:tc>
              <w:tc>
                <w:tcPr>
                  <w:tcW w:w="877" w:type="dxa"/>
                  <w:vAlign w:val="center"/>
                </w:tcPr>
                <w:p w14:paraId="0E7F62A9">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0.011</w:t>
                  </w:r>
                </w:p>
              </w:tc>
              <w:tc>
                <w:tcPr>
                  <w:tcW w:w="929" w:type="dxa"/>
                  <w:vAlign w:val="center"/>
                </w:tcPr>
                <w:p w14:paraId="64232800">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0.007</w:t>
                  </w:r>
                </w:p>
              </w:tc>
              <w:tc>
                <w:tcPr>
                  <w:tcW w:w="915" w:type="dxa"/>
                  <w:vAlign w:val="center"/>
                </w:tcPr>
                <w:p w14:paraId="50D15188">
                  <w:pPr>
                    <w:spacing w:line="0" w:lineRule="atLeast"/>
                    <w:jc w:val="center"/>
                    <w:rPr>
                      <w:rFonts w:hint="default" w:ascii="Times New Roman" w:hAnsi="Times New Roman" w:eastAsia="等线" w:cs="Times New Roman"/>
                      <w:color w:val="000000"/>
                      <w:kern w:val="0"/>
                      <w:szCs w:val="21"/>
                      <w:highlight w:val="none"/>
                      <w:lang w:val="en-US" w:eastAsia="zh-CN"/>
                    </w:rPr>
                  </w:pPr>
                  <w:r>
                    <w:rPr>
                      <w:rFonts w:hint="eastAsia" w:ascii="Times New Roman" w:hAnsi="Times New Roman" w:eastAsia="等线" w:cs="Times New Roman"/>
                      <w:color w:val="000000"/>
                      <w:kern w:val="0"/>
                      <w:szCs w:val="21"/>
                      <w:highlight w:val="none"/>
                      <w:lang w:val="en-US" w:eastAsia="zh-CN"/>
                    </w:rPr>
                    <w:t>0.010</w:t>
                  </w:r>
                </w:p>
              </w:tc>
              <w:tc>
                <w:tcPr>
                  <w:tcW w:w="926" w:type="dxa"/>
                  <w:vMerge w:val="continue"/>
                  <w:tcMar>
                    <w:left w:w="28" w:type="dxa"/>
                    <w:right w:w="28" w:type="dxa"/>
                  </w:tcMar>
                  <w:vAlign w:val="center"/>
                </w:tcPr>
                <w:p w14:paraId="39FC7577">
                  <w:pPr>
                    <w:spacing w:line="0" w:lineRule="atLeast"/>
                    <w:jc w:val="center"/>
                    <w:rPr>
                      <w:rFonts w:ascii="Times New Roman" w:hAnsi="Times New Roman" w:eastAsia="等线" w:cs="Times New Roman"/>
                      <w:color w:val="000000"/>
                      <w:kern w:val="0"/>
                      <w:szCs w:val="21"/>
                      <w:highlight w:val="none"/>
                    </w:rPr>
                  </w:pPr>
                </w:p>
              </w:tc>
              <w:tc>
                <w:tcPr>
                  <w:tcW w:w="1090" w:type="dxa"/>
                  <w:vMerge w:val="continue"/>
                  <w:tcMar>
                    <w:left w:w="28" w:type="dxa"/>
                    <w:right w:w="28" w:type="dxa"/>
                  </w:tcMar>
                  <w:vAlign w:val="center"/>
                </w:tcPr>
                <w:p w14:paraId="49139DD4">
                  <w:pPr>
                    <w:spacing w:line="0" w:lineRule="atLeast"/>
                    <w:jc w:val="center"/>
                    <w:rPr>
                      <w:rFonts w:ascii="Times New Roman" w:hAnsi="Times New Roman" w:cs="Times New Roman"/>
                      <w:color w:val="000000"/>
                      <w:kern w:val="0"/>
                      <w:szCs w:val="21"/>
                      <w:highlight w:val="none"/>
                    </w:rPr>
                  </w:pPr>
                </w:p>
              </w:tc>
              <w:tc>
                <w:tcPr>
                  <w:tcW w:w="958" w:type="dxa"/>
                  <w:vMerge w:val="continue"/>
                  <w:tcMar>
                    <w:left w:w="28" w:type="dxa"/>
                    <w:right w:w="28" w:type="dxa"/>
                  </w:tcMar>
                  <w:vAlign w:val="center"/>
                </w:tcPr>
                <w:p w14:paraId="7D2D545C">
                  <w:pPr>
                    <w:spacing w:line="0" w:lineRule="atLeast"/>
                    <w:jc w:val="center"/>
                    <w:rPr>
                      <w:rFonts w:ascii="Times New Roman" w:hAnsi="Times New Roman" w:cs="Times New Roman"/>
                      <w:color w:val="000000"/>
                      <w:kern w:val="0"/>
                      <w:szCs w:val="21"/>
                      <w:highlight w:val="none"/>
                    </w:rPr>
                  </w:pPr>
                </w:p>
              </w:tc>
            </w:tr>
            <w:tr w14:paraId="70A55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dxa"/>
                  <w:vMerge w:val="restart"/>
                  <w:tcMar>
                    <w:left w:w="28" w:type="dxa"/>
                    <w:right w:w="28" w:type="dxa"/>
                  </w:tcMar>
                  <w:vAlign w:val="center"/>
                </w:tcPr>
                <w:p w14:paraId="4A4E1414">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臭气浓度（无量纲）</w:t>
                  </w:r>
                </w:p>
              </w:tc>
              <w:tc>
                <w:tcPr>
                  <w:tcW w:w="889" w:type="dxa"/>
                  <w:shd w:val="clear" w:color="auto" w:fill="auto"/>
                  <w:tcMar>
                    <w:left w:w="28" w:type="dxa"/>
                    <w:right w:w="28" w:type="dxa"/>
                  </w:tcMar>
                  <w:vAlign w:val="center"/>
                </w:tcPr>
                <w:p w14:paraId="61087C39">
                  <w:pPr>
                    <w:spacing w:line="0" w:lineRule="atLeast"/>
                    <w:jc w:val="center"/>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color w:val="000000"/>
                      <w:kern w:val="0"/>
                      <w:szCs w:val="21"/>
                      <w:highlight w:val="none"/>
                    </w:rPr>
                    <w:t>1#</w:t>
                  </w:r>
                  <w:r>
                    <w:rPr>
                      <w:rFonts w:hint="eastAsia" w:ascii="Times New Roman" w:hAnsi="Times New Roman" w:cs="Times New Roman"/>
                      <w:color w:val="000000"/>
                      <w:kern w:val="0"/>
                      <w:szCs w:val="21"/>
                      <w:highlight w:val="none"/>
                      <w:lang w:val="en-US" w:eastAsia="zh-CN"/>
                    </w:rPr>
                    <w:t>厂界下</w:t>
                  </w:r>
                  <w:r>
                    <w:rPr>
                      <w:rFonts w:ascii="Times New Roman" w:hAnsi="Times New Roman" w:cs="Times New Roman"/>
                      <w:color w:val="000000"/>
                      <w:kern w:val="0"/>
                      <w:szCs w:val="21"/>
                      <w:highlight w:val="none"/>
                    </w:rPr>
                    <w:t>风向</w:t>
                  </w:r>
                  <w:r>
                    <w:rPr>
                      <w:rFonts w:hint="eastAsia" w:ascii="Times New Roman" w:hAnsi="Times New Roman" w:cs="Times New Roman"/>
                      <w:color w:val="000000"/>
                      <w:kern w:val="0"/>
                      <w:szCs w:val="21"/>
                      <w:highlight w:val="none"/>
                      <w:lang w:val="en-US" w:eastAsia="zh-CN"/>
                    </w:rPr>
                    <w:t>监测点</w:t>
                  </w:r>
                </w:p>
              </w:tc>
              <w:tc>
                <w:tcPr>
                  <w:tcW w:w="754" w:type="dxa"/>
                  <w:tcMar>
                    <w:left w:w="28" w:type="dxa"/>
                    <w:right w:w="28" w:type="dxa"/>
                  </w:tcMar>
                  <w:vAlign w:val="center"/>
                </w:tcPr>
                <w:p w14:paraId="2708A1C2">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＜10</w:t>
                  </w:r>
                </w:p>
              </w:tc>
              <w:tc>
                <w:tcPr>
                  <w:tcW w:w="877" w:type="dxa"/>
                  <w:vAlign w:val="center"/>
                </w:tcPr>
                <w:p w14:paraId="2E40AB7D">
                  <w:pPr>
                    <w:spacing w:line="0" w:lineRule="atLeast"/>
                    <w:jc w:val="center"/>
                    <w:rPr>
                      <w:rFonts w:ascii="Times New Roman" w:hAnsi="Times New Roman" w:cs="Times New Roman"/>
                      <w:color w:val="000000"/>
                      <w:kern w:val="0"/>
                      <w:szCs w:val="21"/>
                      <w:highlight w:val="none"/>
                    </w:rPr>
                  </w:pPr>
                  <w:r>
                    <w:rPr>
                      <w:rFonts w:hint="eastAsia" w:ascii="Times New Roman" w:hAnsi="Times New Roman" w:cs="Times New Roman"/>
                      <w:color w:val="000000"/>
                      <w:kern w:val="0"/>
                      <w:szCs w:val="21"/>
                      <w:highlight w:val="none"/>
                      <w:lang w:val="en-US" w:eastAsia="zh-CN"/>
                    </w:rPr>
                    <w:t>＜10</w:t>
                  </w:r>
                </w:p>
              </w:tc>
              <w:tc>
                <w:tcPr>
                  <w:tcW w:w="929" w:type="dxa"/>
                  <w:vAlign w:val="center"/>
                </w:tcPr>
                <w:p w14:paraId="6D4E1A00">
                  <w:pPr>
                    <w:spacing w:line="0" w:lineRule="atLeast"/>
                    <w:jc w:val="center"/>
                    <w:rPr>
                      <w:rFonts w:ascii="Times New Roman" w:hAnsi="Times New Roman" w:cs="Times New Roman"/>
                      <w:color w:val="000000"/>
                      <w:kern w:val="0"/>
                      <w:szCs w:val="21"/>
                      <w:highlight w:val="none"/>
                    </w:rPr>
                  </w:pPr>
                  <w:r>
                    <w:rPr>
                      <w:rFonts w:hint="eastAsia" w:ascii="Times New Roman" w:hAnsi="Times New Roman" w:cs="Times New Roman"/>
                      <w:color w:val="000000"/>
                      <w:kern w:val="0"/>
                      <w:szCs w:val="21"/>
                      <w:highlight w:val="none"/>
                      <w:lang w:val="en-US" w:eastAsia="zh-CN"/>
                    </w:rPr>
                    <w:t>＜10</w:t>
                  </w:r>
                </w:p>
              </w:tc>
              <w:tc>
                <w:tcPr>
                  <w:tcW w:w="915" w:type="dxa"/>
                  <w:vAlign w:val="center"/>
                </w:tcPr>
                <w:p w14:paraId="50501B9E">
                  <w:pPr>
                    <w:spacing w:line="0" w:lineRule="atLeast"/>
                    <w:jc w:val="center"/>
                    <w:rPr>
                      <w:rFonts w:ascii="Times New Roman" w:hAnsi="Times New Roman" w:eastAsia="等线" w:cs="Times New Roman"/>
                      <w:color w:val="000000"/>
                      <w:kern w:val="0"/>
                      <w:szCs w:val="21"/>
                      <w:highlight w:val="none"/>
                    </w:rPr>
                  </w:pPr>
                  <w:r>
                    <w:rPr>
                      <w:rFonts w:hint="eastAsia" w:ascii="Times New Roman" w:hAnsi="Times New Roman" w:cs="Times New Roman"/>
                      <w:color w:val="000000"/>
                      <w:kern w:val="0"/>
                      <w:szCs w:val="21"/>
                      <w:highlight w:val="none"/>
                      <w:lang w:val="en-US" w:eastAsia="zh-CN"/>
                    </w:rPr>
                    <w:t>＜10</w:t>
                  </w:r>
                </w:p>
              </w:tc>
              <w:tc>
                <w:tcPr>
                  <w:tcW w:w="926" w:type="dxa"/>
                  <w:vMerge w:val="restart"/>
                  <w:tcMar>
                    <w:left w:w="28" w:type="dxa"/>
                    <w:right w:w="28" w:type="dxa"/>
                  </w:tcMar>
                  <w:vAlign w:val="center"/>
                </w:tcPr>
                <w:p w14:paraId="68656061">
                  <w:pPr>
                    <w:spacing w:line="0" w:lineRule="atLeast"/>
                    <w:jc w:val="center"/>
                    <w:rPr>
                      <w:rFonts w:hint="default" w:ascii="Times New Roman" w:hAnsi="Times New Roman" w:eastAsia="等线" w:cs="Times New Roman"/>
                      <w:color w:val="000000"/>
                      <w:kern w:val="0"/>
                      <w:szCs w:val="21"/>
                      <w:highlight w:val="none"/>
                      <w:lang w:val="en-US" w:eastAsia="zh-CN"/>
                    </w:rPr>
                  </w:pPr>
                  <w:r>
                    <w:rPr>
                      <w:rFonts w:hint="eastAsia" w:ascii="Times New Roman" w:hAnsi="Times New Roman" w:eastAsia="等线" w:cs="Times New Roman"/>
                      <w:color w:val="000000"/>
                      <w:kern w:val="0"/>
                      <w:szCs w:val="21"/>
                      <w:highlight w:val="none"/>
                      <w:lang w:val="en-US" w:eastAsia="zh-CN"/>
                    </w:rPr>
                    <w:t>11</w:t>
                  </w:r>
                </w:p>
              </w:tc>
              <w:tc>
                <w:tcPr>
                  <w:tcW w:w="1090" w:type="dxa"/>
                  <w:vMerge w:val="restart"/>
                  <w:tcMar>
                    <w:left w:w="28" w:type="dxa"/>
                    <w:right w:w="28" w:type="dxa"/>
                  </w:tcMar>
                  <w:vAlign w:val="center"/>
                </w:tcPr>
                <w:p w14:paraId="35ACB1DE">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20</w:t>
                  </w:r>
                </w:p>
              </w:tc>
              <w:tc>
                <w:tcPr>
                  <w:tcW w:w="958" w:type="dxa"/>
                  <w:vMerge w:val="restart"/>
                  <w:tcMar>
                    <w:left w:w="28" w:type="dxa"/>
                    <w:right w:w="28" w:type="dxa"/>
                  </w:tcMar>
                  <w:vAlign w:val="center"/>
                </w:tcPr>
                <w:p w14:paraId="6D591F52">
                  <w:pPr>
                    <w:spacing w:line="0" w:lineRule="atLeast"/>
                    <w:jc w:val="center"/>
                    <w:rPr>
                      <w:rFonts w:hint="eastAsia"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达标</w:t>
                  </w:r>
                </w:p>
              </w:tc>
            </w:tr>
            <w:tr w14:paraId="68CBB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dxa"/>
                  <w:vMerge w:val="continue"/>
                  <w:tcMar>
                    <w:left w:w="28" w:type="dxa"/>
                    <w:right w:w="28" w:type="dxa"/>
                  </w:tcMar>
                  <w:vAlign w:val="center"/>
                </w:tcPr>
                <w:p w14:paraId="0B768EE0">
                  <w:pPr>
                    <w:spacing w:line="0" w:lineRule="atLeast"/>
                    <w:jc w:val="center"/>
                    <w:rPr>
                      <w:rFonts w:hint="eastAsia" w:ascii="Times New Roman" w:hAnsi="Times New Roman" w:cs="Times New Roman"/>
                      <w:color w:val="000000"/>
                      <w:kern w:val="0"/>
                      <w:szCs w:val="21"/>
                      <w:highlight w:val="none"/>
                      <w:lang w:val="en-US" w:eastAsia="zh-CN"/>
                    </w:rPr>
                  </w:pPr>
                </w:p>
              </w:tc>
              <w:tc>
                <w:tcPr>
                  <w:tcW w:w="889" w:type="dxa"/>
                  <w:shd w:val="clear" w:color="auto" w:fill="auto"/>
                  <w:tcMar>
                    <w:left w:w="28" w:type="dxa"/>
                    <w:right w:w="28" w:type="dxa"/>
                  </w:tcMar>
                  <w:vAlign w:val="center"/>
                </w:tcPr>
                <w:p w14:paraId="34A7B615">
                  <w:pPr>
                    <w:spacing w:line="0" w:lineRule="atLeast"/>
                    <w:jc w:val="center"/>
                    <w:rPr>
                      <w:rFonts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kern w:val="0"/>
                      <w:szCs w:val="21"/>
                      <w:highlight w:val="none"/>
                      <w:lang w:val="en-US" w:eastAsia="zh-CN"/>
                    </w:rPr>
                    <w:t>2</w:t>
                  </w:r>
                  <w:r>
                    <w:rPr>
                      <w:rFonts w:ascii="Times New Roman" w:hAnsi="Times New Roman" w:cs="Times New Roman"/>
                      <w:color w:val="000000"/>
                      <w:kern w:val="0"/>
                      <w:szCs w:val="21"/>
                      <w:highlight w:val="none"/>
                    </w:rPr>
                    <w:t>#</w:t>
                  </w:r>
                  <w:r>
                    <w:rPr>
                      <w:rFonts w:hint="eastAsia" w:ascii="Times New Roman" w:hAnsi="Times New Roman" w:cs="Times New Roman"/>
                      <w:color w:val="000000"/>
                      <w:kern w:val="0"/>
                      <w:szCs w:val="21"/>
                      <w:highlight w:val="none"/>
                      <w:lang w:val="en-US" w:eastAsia="zh-CN"/>
                    </w:rPr>
                    <w:t>厂界下</w:t>
                  </w:r>
                  <w:r>
                    <w:rPr>
                      <w:rFonts w:ascii="Times New Roman" w:hAnsi="Times New Roman" w:cs="Times New Roman"/>
                      <w:color w:val="000000"/>
                      <w:kern w:val="0"/>
                      <w:szCs w:val="21"/>
                      <w:highlight w:val="none"/>
                    </w:rPr>
                    <w:t>风向</w:t>
                  </w:r>
                  <w:r>
                    <w:rPr>
                      <w:rFonts w:hint="eastAsia" w:ascii="Times New Roman" w:hAnsi="Times New Roman" w:cs="Times New Roman"/>
                      <w:color w:val="000000"/>
                      <w:kern w:val="0"/>
                      <w:szCs w:val="21"/>
                      <w:highlight w:val="none"/>
                      <w:lang w:val="en-US" w:eastAsia="zh-CN"/>
                    </w:rPr>
                    <w:t>监测点</w:t>
                  </w:r>
                </w:p>
              </w:tc>
              <w:tc>
                <w:tcPr>
                  <w:tcW w:w="754" w:type="dxa"/>
                  <w:tcMar>
                    <w:left w:w="28" w:type="dxa"/>
                    <w:right w:w="28" w:type="dxa"/>
                  </w:tcMar>
                  <w:vAlign w:val="center"/>
                </w:tcPr>
                <w:p w14:paraId="521336E0">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11</w:t>
                  </w:r>
                </w:p>
              </w:tc>
              <w:tc>
                <w:tcPr>
                  <w:tcW w:w="877" w:type="dxa"/>
                  <w:vAlign w:val="center"/>
                </w:tcPr>
                <w:p w14:paraId="18455BB5">
                  <w:pPr>
                    <w:spacing w:line="0" w:lineRule="atLeast"/>
                    <w:jc w:val="center"/>
                    <w:rPr>
                      <w:rFonts w:ascii="Times New Roman" w:hAnsi="Times New Roman" w:cs="Times New Roman"/>
                      <w:color w:val="000000"/>
                      <w:kern w:val="0"/>
                      <w:szCs w:val="21"/>
                      <w:highlight w:val="none"/>
                    </w:rPr>
                  </w:pPr>
                  <w:r>
                    <w:rPr>
                      <w:rFonts w:hint="eastAsia" w:ascii="Times New Roman" w:hAnsi="Times New Roman" w:cs="Times New Roman"/>
                      <w:color w:val="000000"/>
                      <w:kern w:val="0"/>
                      <w:szCs w:val="21"/>
                      <w:highlight w:val="none"/>
                      <w:lang w:val="en-US" w:eastAsia="zh-CN"/>
                    </w:rPr>
                    <w:t>＜10</w:t>
                  </w:r>
                </w:p>
              </w:tc>
              <w:tc>
                <w:tcPr>
                  <w:tcW w:w="929" w:type="dxa"/>
                  <w:vAlign w:val="center"/>
                </w:tcPr>
                <w:p w14:paraId="076C9B0A">
                  <w:pPr>
                    <w:spacing w:line="0" w:lineRule="atLeast"/>
                    <w:jc w:val="center"/>
                    <w:rPr>
                      <w:rFonts w:ascii="Times New Roman" w:hAnsi="Times New Roman" w:cs="Times New Roman"/>
                      <w:color w:val="000000"/>
                      <w:kern w:val="0"/>
                      <w:szCs w:val="21"/>
                      <w:highlight w:val="none"/>
                    </w:rPr>
                  </w:pPr>
                  <w:r>
                    <w:rPr>
                      <w:rFonts w:hint="eastAsia" w:ascii="Times New Roman" w:hAnsi="Times New Roman" w:cs="Times New Roman"/>
                      <w:color w:val="000000"/>
                      <w:kern w:val="0"/>
                      <w:szCs w:val="21"/>
                      <w:highlight w:val="none"/>
                      <w:lang w:val="en-US" w:eastAsia="zh-CN"/>
                    </w:rPr>
                    <w:t>＜10</w:t>
                  </w:r>
                </w:p>
              </w:tc>
              <w:tc>
                <w:tcPr>
                  <w:tcW w:w="915" w:type="dxa"/>
                  <w:vAlign w:val="center"/>
                </w:tcPr>
                <w:p w14:paraId="3DA281BE">
                  <w:pPr>
                    <w:spacing w:line="0" w:lineRule="atLeast"/>
                    <w:jc w:val="center"/>
                    <w:rPr>
                      <w:rFonts w:ascii="Times New Roman" w:hAnsi="Times New Roman" w:eastAsia="等线" w:cs="Times New Roman"/>
                      <w:color w:val="000000"/>
                      <w:kern w:val="0"/>
                      <w:szCs w:val="21"/>
                      <w:highlight w:val="none"/>
                    </w:rPr>
                  </w:pPr>
                  <w:r>
                    <w:rPr>
                      <w:rFonts w:hint="eastAsia" w:ascii="Times New Roman" w:hAnsi="Times New Roman" w:cs="Times New Roman"/>
                      <w:color w:val="000000"/>
                      <w:kern w:val="0"/>
                      <w:szCs w:val="21"/>
                      <w:highlight w:val="none"/>
                      <w:lang w:val="en-US" w:eastAsia="zh-CN"/>
                    </w:rPr>
                    <w:t>＜10</w:t>
                  </w:r>
                </w:p>
              </w:tc>
              <w:tc>
                <w:tcPr>
                  <w:tcW w:w="926" w:type="dxa"/>
                  <w:vMerge w:val="continue"/>
                  <w:tcMar>
                    <w:left w:w="28" w:type="dxa"/>
                    <w:right w:w="28" w:type="dxa"/>
                  </w:tcMar>
                  <w:vAlign w:val="center"/>
                </w:tcPr>
                <w:p w14:paraId="4818A5CD">
                  <w:pPr>
                    <w:spacing w:line="0" w:lineRule="atLeast"/>
                    <w:jc w:val="center"/>
                    <w:rPr>
                      <w:rFonts w:ascii="Times New Roman" w:hAnsi="Times New Roman" w:eastAsia="等线" w:cs="Times New Roman"/>
                      <w:color w:val="000000"/>
                      <w:kern w:val="0"/>
                      <w:szCs w:val="21"/>
                      <w:highlight w:val="none"/>
                    </w:rPr>
                  </w:pPr>
                </w:p>
              </w:tc>
              <w:tc>
                <w:tcPr>
                  <w:tcW w:w="1090" w:type="dxa"/>
                  <w:vMerge w:val="continue"/>
                  <w:tcMar>
                    <w:left w:w="28" w:type="dxa"/>
                    <w:right w:w="28" w:type="dxa"/>
                  </w:tcMar>
                  <w:vAlign w:val="center"/>
                </w:tcPr>
                <w:p w14:paraId="2B552CC5">
                  <w:pPr>
                    <w:spacing w:line="0" w:lineRule="atLeast"/>
                    <w:jc w:val="center"/>
                    <w:rPr>
                      <w:rFonts w:ascii="Times New Roman" w:hAnsi="Times New Roman" w:cs="Times New Roman"/>
                      <w:color w:val="000000"/>
                      <w:kern w:val="0"/>
                      <w:szCs w:val="21"/>
                      <w:highlight w:val="none"/>
                    </w:rPr>
                  </w:pPr>
                </w:p>
              </w:tc>
              <w:tc>
                <w:tcPr>
                  <w:tcW w:w="958" w:type="dxa"/>
                  <w:vMerge w:val="continue"/>
                  <w:tcMar>
                    <w:left w:w="28" w:type="dxa"/>
                    <w:right w:w="28" w:type="dxa"/>
                  </w:tcMar>
                  <w:vAlign w:val="center"/>
                </w:tcPr>
                <w:p w14:paraId="1FDD03DA">
                  <w:pPr>
                    <w:spacing w:line="0" w:lineRule="atLeast"/>
                    <w:jc w:val="center"/>
                    <w:rPr>
                      <w:rFonts w:ascii="Times New Roman" w:hAnsi="Times New Roman" w:cs="Times New Roman"/>
                      <w:color w:val="000000"/>
                      <w:kern w:val="0"/>
                      <w:szCs w:val="21"/>
                      <w:highlight w:val="none"/>
                    </w:rPr>
                  </w:pPr>
                </w:p>
              </w:tc>
            </w:tr>
            <w:tr w14:paraId="5C961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dxa"/>
                  <w:vMerge w:val="continue"/>
                  <w:tcMar>
                    <w:left w:w="28" w:type="dxa"/>
                    <w:right w:w="28" w:type="dxa"/>
                  </w:tcMar>
                  <w:vAlign w:val="center"/>
                </w:tcPr>
                <w:p w14:paraId="6A9618DC">
                  <w:pPr>
                    <w:spacing w:line="0" w:lineRule="atLeast"/>
                    <w:jc w:val="center"/>
                    <w:rPr>
                      <w:rFonts w:hint="eastAsia" w:ascii="Times New Roman" w:hAnsi="Times New Roman" w:cs="Times New Roman"/>
                      <w:color w:val="000000"/>
                      <w:kern w:val="0"/>
                      <w:szCs w:val="21"/>
                      <w:highlight w:val="none"/>
                      <w:lang w:val="en-US" w:eastAsia="zh-CN"/>
                    </w:rPr>
                  </w:pPr>
                </w:p>
              </w:tc>
              <w:tc>
                <w:tcPr>
                  <w:tcW w:w="889" w:type="dxa"/>
                  <w:shd w:val="clear" w:color="auto" w:fill="auto"/>
                  <w:tcMar>
                    <w:left w:w="28" w:type="dxa"/>
                    <w:right w:w="28" w:type="dxa"/>
                  </w:tcMar>
                  <w:vAlign w:val="center"/>
                </w:tcPr>
                <w:p w14:paraId="401C391E">
                  <w:pPr>
                    <w:spacing w:line="0" w:lineRule="atLeast"/>
                    <w:jc w:val="center"/>
                    <w:rPr>
                      <w:rFonts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kern w:val="0"/>
                      <w:szCs w:val="21"/>
                      <w:highlight w:val="none"/>
                      <w:lang w:val="en-US" w:eastAsia="zh-CN"/>
                    </w:rPr>
                    <w:t>3</w:t>
                  </w:r>
                  <w:r>
                    <w:rPr>
                      <w:rFonts w:ascii="Times New Roman" w:hAnsi="Times New Roman" w:cs="Times New Roman"/>
                      <w:color w:val="000000"/>
                      <w:kern w:val="0"/>
                      <w:szCs w:val="21"/>
                      <w:highlight w:val="none"/>
                    </w:rPr>
                    <w:t>#</w:t>
                  </w:r>
                  <w:r>
                    <w:rPr>
                      <w:rFonts w:hint="eastAsia" w:ascii="Times New Roman" w:hAnsi="Times New Roman" w:cs="Times New Roman"/>
                      <w:color w:val="000000"/>
                      <w:kern w:val="0"/>
                      <w:szCs w:val="21"/>
                      <w:highlight w:val="none"/>
                      <w:lang w:val="en-US" w:eastAsia="zh-CN"/>
                    </w:rPr>
                    <w:t>厂界下</w:t>
                  </w:r>
                  <w:r>
                    <w:rPr>
                      <w:rFonts w:ascii="Times New Roman" w:hAnsi="Times New Roman" w:cs="Times New Roman"/>
                      <w:color w:val="000000"/>
                      <w:kern w:val="0"/>
                      <w:szCs w:val="21"/>
                      <w:highlight w:val="none"/>
                    </w:rPr>
                    <w:t>风向</w:t>
                  </w:r>
                  <w:r>
                    <w:rPr>
                      <w:rFonts w:hint="eastAsia" w:ascii="Times New Roman" w:hAnsi="Times New Roman" w:cs="Times New Roman"/>
                      <w:color w:val="000000"/>
                      <w:kern w:val="0"/>
                      <w:szCs w:val="21"/>
                      <w:highlight w:val="none"/>
                      <w:lang w:val="en-US" w:eastAsia="zh-CN"/>
                    </w:rPr>
                    <w:t>监测点</w:t>
                  </w:r>
                </w:p>
              </w:tc>
              <w:tc>
                <w:tcPr>
                  <w:tcW w:w="754" w:type="dxa"/>
                  <w:tcMar>
                    <w:left w:w="28" w:type="dxa"/>
                    <w:right w:w="28" w:type="dxa"/>
                  </w:tcMar>
                  <w:vAlign w:val="center"/>
                </w:tcPr>
                <w:p w14:paraId="1BFDACF0">
                  <w:pPr>
                    <w:spacing w:line="0" w:lineRule="atLeast"/>
                    <w:jc w:val="center"/>
                    <w:rPr>
                      <w:rFonts w:ascii="Times New Roman" w:hAnsi="Times New Roman" w:cs="Times New Roman"/>
                      <w:color w:val="000000"/>
                      <w:kern w:val="0"/>
                      <w:szCs w:val="21"/>
                      <w:highlight w:val="none"/>
                    </w:rPr>
                  </w:pPr>
                  <w:r>
                    <w:rPr>
                      <w:rFonts w:hint="eastAsia" w:ascii="Times New Roman" w:hAnsi="Times New Roman" w:cs="Times New Roman"/>
                      <w:color w:val="000000"/>
                      <w:kern w:val="0"/>
                      <w:szCs w:val="21"/>
                      <w:highlight w:val="none"/>
                      <w:lang w:val="en-US" w:eastAsia="zh-CN"/>
                    </w:rPr>
                    <w:t>＜10</w:t>
                  </w:r>
                </w:p>
              </w:tc>
              <w:tc>
                <w:tcPr>
                  <w:tcW w:w="877" w:type="dxa"/>
                  <w:vAlign w:val="center"/>
                </w:tcPr>
                <w:p w14:paraId="53742ED4">
                  <w:pPr>
                    <w:spacing w:line="0" w:lineRule="atLeast"/>
                    <w:jc w:val="center"/>
                    <w:rPr>
                      <w:rFonts w:ascii="Times New Roman" w:hAnsi="Times New Roman" w:cs="Times New Roman"/>
                      <w:color w:val="000000"/>
                      <w:kern w:val="0"/>
                      <w:szCs w:val="21"/>
                      <w:highlight w:val="none"/>
                    </w:rPr>
                  </w:pPr>
                  <w:r>
                    <w:rPr>
                      <w:rFonts w:hint="eastAsia" w:ascii="Times New Roman" w:hAnsi="Times New Roman" w:cs="Times New Roman"/>
                      <w:color w:val="000000"/>
                      <w:kern w:val="0"/>
                      <w:szCs w:val="21"/>
                      <w:highlight w:val="none"/>
                      <w:lang w:val="en-US" w:eastAsia="zh-CN"/>
                    </w:rPr>
                    <w:t>＜10</w:t>
                  </w:r>
                </w:p>
              </w:tc>
              <w:tc>
                <w:tcPr>
                  <w:tcW w:w="929" w:type="dxa"/>
                  <w:vAlign w:val="center"/>
                </w:tcPr>
                <w:p w14:paraId="2444032A">
                  <w:pPr>
                    <w:spacing w:line="0" w:lineRule="atLeast"/>
                    <w:jc w:val="center"/>
                    <w:rPr>
                      <w:rFonts w:ascii="Times New Roman" w:hAnsi="Times New Roman" w:cs="Times New Roman"/>
                      <w:color w:val="000000"/>
                      <w:kern w:val="0"/>
                      <w:szCs w:val="21"/>
                      <w:highlight w:val="none"/>
                    </w:rPr>
                  </w:pPr>
                  <w:r>
                    <w:rPr>
                      <w:rFonts w:hint="eastAsia" w:ascii="Times New Roman" w:hAnsi="Times New Roman" w:cs="Times New Roman"/>
                      <w:color w:val="000000"/>
                      <w:kern w:val="0"/>
                      <w:szCs w:val="21"/>
                      <w:highlight w:val="none"/>
                      <w:lang w:val="en-US" w:eastAsia="zh-CN"/>
                    </w:rPr>
                    <w:t>＜10</w:t>
                  </w:r>
                </w:p>
              </w:tc>
              <w:tc>
                <w:tcPr>
                  <w:tcW w:w="915" w:type="dxa"/>
                  <w:vAlign w:val="center"/>
                </w:tcPr>
                <w:p w14:paraId="30DE34D8">
                  <w:pPr>
                    <w:spacing w:line="0" w:lineRule="atLeast"/>
                    <w:jc w:val="center"/>
                    <w:rPr>
                      <w:rFonts w:ascii="Times New Roman" w:hAnsi="Times New Roman" w:eastAsia="等线" w:cs="Times New Roman"/>
                      <w:color w:val="000000"/>
                      <w:kern w:val="0"/>
                      <w:szCs w:val="21"/>
                      <w:highlight w:val="none"/>
                    </w:rPr>
                  </w:pPr>
                  <w:r>
                    <w:rPr>
                      <w:rFonts w:hint="eastAsia" w:ascii="Times New Roman" w:hAnsi="Times New Roman" w:cs="Times New Roman"/>
                      <w:color w:val="000000"/>
                      <w:kern w:val="0"/>
                      <w:szCs w:val="21"/>
                      <w:highlight w:val="none"/>
                      <w:lang w:val="en-US" w:eastAsia="zh-CN"/>
                    </w:rPr>
                    <w:t>＜10</w:t>
                  </w:r>
                </w:p>
              </w:tc>
              <w:tc>
                <w:tcPr>
                  <w:tcW w:w="926" w:type="dxa"/>
                  <w:vMerge w:val="continue"/>
                  <w:tcMar>
                    <w:left w:w="28" w:type="dxa"/>
                    <w:right w:w="28" w:type="dxa"/>
                  </w:tcMar>
                  <w:vAlign w:val="center"/>
                </w:tcPr>
                <w:p w14:paraId="674E1C88">
                  <w:pPr>
                    <w:spacing w:line="0" w:lineRule="atLeast"/>
                    <w:jc w:val="center"/>
                    <w:rPr>
                      <w:rFonts w:ascii="Times New Roman" w:hAnsi="Times New Roman" w:eastAsia="等线" w:cs="Times New Roman"/>
                      <w:color w:val="000000"/>
                      <w:kern w:val="0"/>
                      <w:szCs w:val="21"/>
                      <w:highlight w:val="none"/>
                    </w:rPr>
                  </w:pPr>
                </w:p>
              </w:tc>
              <w:tc>
                <w:tcPr>
                  <w:tcW w:w="1090" w:type="dxa"/>
                  <w:vMerge w:val="continue"/>
                  <w:tcMar>
                    <w:left w:w="28" w:type="dxa"/>
                    <w:right w:w="28" w:type="dxa"/>
                  </w:tcMar>
                  <w:vAlign w:val="center"/>
                </w:tcPr>
                <w:p w14:paraId="6583849F">
                  <w:pPr>
                    <w:spacing w:line="0" w:lineRule="atLeast"/>
                    <w:jc w:val="center"/>
                    <w:rPr>
                      <w:rFonts w:ascii="Times New Roman" w:hAnsi="Times New Roman" w:cs="Times New Roman"/>
                      <w:color w:val="000000"/>
                      <w:kern w:val="0"/>
                      <w:szCs w:val="21"/>
                      <w:highlight w:val="none"/>
                    </w:rPr>
                  </w:pPr>
                </w:p>
              </w:tc>
              <w:tc>
                <w:tcPr>
                  <w:tcW w:w="958" w:type="dxa"/>
                  <w:vMerge w:val="continue"/>
                  <w:tcMar>
                    <w:left w:w="28" w:type="dxa"/>
                    <w:right w:w="28" w:type="dxa"/>
                  </w:tcMar>
                  <w:vAlign w:val="center"/>
                </w:tcPr>
                <w:p w14:paraId="2984EDFC">
                  <w:pPr>
                    <w:spacing w:line="0" w:lineRule="atLeast"/>
                    <w:jc w:val="center"/>
                    <w:rPr>
                      <w:rFonts w:ascii="Times New Roman" w:hAnsi="Times New Roman" w:cs="Times New Roman"/>
                      <w:color w:val="000000"/>
                      <w:kern w:val="0"/>
                      <w:szCs w:val="21"/>
                      <w:highlight w:val="none"/>
                    </w:rPr>
                  </w:pPr>
                </w:p>
              </w:tc>
            </w:tr>
            <w:tr w14:paraId="365C0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dxa"/>
                  <w:vMerge w:val="restart"/>
                  <w:tcMar>
                    <w:left w:w="28" w:type="dxa"/>
                    <w:right w:w="28" w:type="dxa"/>
                  </w:tcMar>
                  <w:vAlign w:val="center"/>
                </w:tcPr>
                <w:p w14:paraId="0D72B2D2">
                  <w:pPr>
                    <w:spacing w:line="0" w:lineRule="atLeast"/>
                    <w:jc w:val="center"/>
                    <w:rPr>
                      <w:rFonts w:hint="eastAsia"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非甲烷总烃（</w:t>
                  </w:r>
                  <w:r>
                    <w:rPr>
                      <w:rFonts w:ascii="Times New Roman" w:hAnsi="Times New Roman" w:cs="Times New Roman"/>
                      <w:szCs w:val="21"/>
                      <w:highlight w:val="none"/>
                    </w:rPr>
                    <w:t>mg/m</w:t>
                  </w:r>
                  <w:r>
                    <w:rPr>
                      <w:rFonts w:ascii="Times New Roman" w:hAnsi="Times New Roman" w:cs="Times New Roman"/>
                      <w:szCs w:val="21"/>
                      <w:highlight w:val="none"/>
                      <w:vertAlign w:val="superscript"/>
                    </w:rPr>
                    <w:t>3</w:t>
                  </w:r>
                  <w:r>
                    <w:rPr>
                      <w:rFonts w:hint="eastAsia" w:ascii="Times New Roman" w:hAnsi="Times New Roman" w:cs="Times New Roman"/>
                      <w:color w:val="000000"/>
                      <w:kern w:val="0"/>
                      <w:szCs w:val="21"/>
                      <w:highlight w:val="none"/>
                      <w:lang w:val="en-US" w:eastAsia="zh-CN"/>
                    </w:rPr>
                    <w:t>）</w:t>
                  </w:r>
                </w:p>
              </w:tc>
              <w:tc>
                <w:tcPr>
                  <w:tcW w:w="889" w:type="dxa"/>
                  <w:tcMar>
                    <w:left w:w="28" w:type="dxa"/>
                    <w:right w:w="28" w:type="dxa"/>
                  </w:tcMar>
                  <w:vAlign w:val="center"/>
                </w:tcPr>
                <w:p w14:paraId="02020F04">
                  <w:pPr>
                    <w:spacing w:line="0" w:lineRule="atLeast"/>
                    <w:jc w:val="center"/>
                    <w:rPr>
                      <w:rFonts w:ascii="Times New Roman" w:hAnsi="Times New Roman" w:cs="Times New Roman"/>
                      <w:color w:val="000000"/>
                      <w:kern w:val="0"/>
                      <w:szCs w:val="21"/>
                      <w:highlight w:val="none"/>
                    </w:rPr>
                  </w:pPr>
                  <w:r>
                    <w:rPr>
                      <w:rFonts w:ascii="Times New Roman" w:hAnsi="Times New Roman" w:cs="Times New Roman"/>
                      <w:color w:val="000000"/>
                      <w:kern w:val="0"/>
                      <w:szCs w:val="21"/>
                      <w:highlight w:val="none"/>
                    </w:rPr>
                    <w:t>1#</w:t>
                  </w:r>
                  <w:r>
                    <w:rPr>
                      <w:rFonts w:hint="eastAsia" w:ascii="Times New Roman" w:hAnsi="Times New Roman" w:cs="Times New Roman"/>
                      <w:color w:val="000000"/>
                      <w:kern w:val="0"/>
                      <w:szCs w:val="21"/>
                      <w:highlight w:val="none"/>
                      <w:lang w:val="en-US" w:eastAsia="zh-CN"/>
                    </w:rPr>
                    <w:t>厂界下</w:t>
                  </w:r>
                  <w:r>
                    <w:rPr>
                      <w:rFonts w:ascii="Times New Roman" w:hAnsi="Times New Roman" w:cs="Times New Roman"/>
                      <w:color w:val="000000"/>
                      <w:kern w:val="0"/>
                      <w:szCs w:val="21"/>
                      <w:highlight w:val="none"/>
                    </w:rPr>
                    <w:t>风向</w:t>
                  </w:r>
                  <w:r>
                    <w:rPr>
                      <w:rFonts w:hint="eastAsia" w:ascii="Times New Roman" w:hAnsi="Times New Roman" w:cs="Times New Roman"/>
                      <w:color w:val="000000"/>
                      <w:kern w:val="0"/>
                      <w:szCs w:val="21"/>
                      <w:highlight w:val="none"/>
                      <w:lang w:val="en-US" w:eastAsia="zh-CN"/>
                    </w:rPr>
                    <w:t>监测点</w:t>
                  </w:r>
                </w:p>
              </w:tc>
              <w:tc>
                <w:tcPr>
                  <w:tcW w:w="3475" w:type="dxa"/>
                  <w:gridSpan w:val="4"/>
                  <w:tcMar>
                    <w:left w:w="28" w:type="dxa"/>
                    <w:right w:w="28" w:type="dxa"/>
                  </w:tcMar>
                  <w:vAlign w:val="center"/>
                </w:tcPr>
                <w:p w14:paraId="5669B007">
                  <w:pPr>
                    <w:spacing w:line="0" w:lineRule="atLeast"/>
                    <w:jc w:val="center"/>
                    <w:rPr>
                      <w:rFonts w:hint="default" w:ascii="Times New Roman" w:hAnsi="Times New Roman" w:eastAsia="等线" w:cs="Times New Roman"/>
                      <w:color w:val="000000"/>
                      <w:kern w:val="0"/>
                      <w:szCs w:val="21"/>
                      <w:highlight w:val="none"/>
                      <w:lang w:val="en-US" w:eastAsia="zh-CN"/>
                    </w:rPr>
                  </w:pPr>
                  <w:r>
                    <w:rPr>
                      <w:rFonts w:hint="eastAsia" w:ascii="Times New Roman" w:hAnsi="Times New Roman" w:eastAsia="等线" w:cs="Times New Roman"/>
                      <w:color w:val="000000"/>
                      <w:kern w:val="0"/>
                      <w:szCs w:val="21"/>
                      <w:highlight w:val="none"/>
                      <w:lang w:val="en-US" w:eastAsia="zh-CN"/>
                    </w:rPr>
                    <w:t>1.06</w:t>
                  </w:r>
                </w:p>
              </w:tc>
              <w:tc>
                <w:tcPr>
                  <w:tcW w:w="926" w:type="dxa"/>
                  <w:vMerge w:val="restart"/>
                  <w:shd w:val="clear" w:color="auto" w:fill="auto"/>
                  <w:tcMar>
                    <w:left w:w="28" w:type="dxa"/>
                    <w:right w:w="28" w:type="dxa"/>
                  </w:tcMar>
                  <w:vAlign w:val="center"/>
                </w:tcPr>
                <w:p w14:paraId="1D792D9A">
                  <w:pPr>
                    <w:spacing w:line="0" w:lineRule="atLeast"/>
                    <w:jc w:val="center"/>
                    <w:rPr>
                      <w:rFonts w:ascii="Times New Roman" w:hAnsi="Times New Roman" w:eastAsia="等线" w:cs="Times New Roman"/>
                      <w:color w:val="000000"/>
                      <w:kern w:val="0"/>
                      <w:szCs w:val="21"/>
                      <w:highlight w:val="none"/>
                    </w:rPr>
                  </w:pPr>
                  <w:r>
                    <w:rPr>
                      <w:rFonts w:hint="eastAsia" w:ascii="Times New Roman" w:hAnsi="Times New Roman" w:cs="Times New Roman"/>
                      <w:color w:val="000000"/>
                      <w:kern w:val="0"/>
                      <w:szCs w:val="21"/>
                      <w:highlight w:val="none"/>
                      <w:lang w:val="en-US" w:eastAsia="zh-CN"/>
                    </w:rPr>
                    <w:t>1.14</w:t>
                  </w:r>
                </w:p>
              </w:tc>
              <w:tc>
                <w:tcPr>
                  <w:tcW w:w="1090" w:type="dxa"/>
                  <w:vMerge w:val="restart"/>
                  <w:shd w:val="clear" w:color="auto" w:fill="auto"/>
                  <w:tcMar>
                    <w:left w:w="28" w:type="dxa"/>
                    <w:right w:w="28" w:type="dxa"/>
                  </w:tcMar>
                  <w:vAlign w:val="center"/>
                </w:tcPr>
                <w:p w14:paraId="783CF8D0">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2.0</w:t>
                  </w:r>
                </w:p>
              </w:tc>
              <w:tc>
                <w:tcPr>
                  <w:tcW w:w="958" w:type="dxa"/>
                  <w:vMerge w:val="restart"/>
                  <w:tcMar>
                    <w:left w:w="28" w:type="dxa"/>
                    <w:right w:w="28" w:type="dxa"/>
                  </w:tcMar>
                  <w:vAlign w:val="center"/>
                </w:tcPr>
                <w:p w14:paraId="4308264C">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达标</w:t>
                  </w:r>
                </w:p>
              </w:tc>
            </w:tr>
            <w:tr w14:paraId="4A057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dxa"/>
                  <w:vMerge w:val="continue"/>
                  <w:tcMar>
                    <w:left w:w="28" w:type="dxa"/>
                    <w:right w:w="28" w:type="dxa"/>
                  </w:tcMar>
                  <w:vAlign w:val="center"/>
                </w:tcPr>
                <w:p w14:paraId="22CB2DFD">
                  <w:pPr>
                    <w:spacing w:line="0" w:lineRule="atLeast"/>
                    <w:jc w:val="center"/>
                    <w:rPr>
                      <w:rFonts w:hint="eastAsia" w:ascii="Times New Roman" w:hAnsi="Times New Roman" w:cs="Times New Roman"/>
                      <w:color w:val="000000"/>
                      <w:kern w:val="0"/>
                      <w:szCs w:val="21"/>
                      <w:highlight w:val="none"/>
                      <w:lang w:val="en-US" w:eastAsia="zh-CN"/>
                    </w:rPr>
                  </w:pPr>
                </w:p>
              </w:tc>
              <w:tc>
                <w:tcPr>
                  <w:tcW w:w="889" w:type="dxa"/>
                  <w:tcMar>
                    <w:left w:w="28" w:type="dxa"/>
                    <w:right w:w="28" w:type="dxa"/>
                  </w:tcMar>
                  <w:vAlign w:val="center"/>
                </w:tcPr>
                <w:p w14:paraId="1A342BDA">
                  <w:pPr>
                    <w:spacing w:line="0" w:lineRule="atLeast"/>
                    <w:jc w:val="center"/>
                    <w:rPr>
                      <w:rFonts w:ascii="Times New Roman" w:hAnsi="Times New Roman" w:cs="Times New Roman"/>
                      <w:color w:val="000000"/>
                      <w:kern w:val="0"/>
                      <w:szCs w:val="21"/>
                      <w:highlight w:val="none"/>
                    </w:rPr>
                  </w:pPr>
                  <w:r>
                    <w:rPr>
                      <w:rFonts w:hint="eastAsia" w:ascii="Times New Roman" w:hAnsi="Times New Roman" w:cs="Times New Roman"/>
                      <w:color w:val="000000"/>
                      <w:kern w:val="0"/>
                      <w:szCs w:val="21"/>
                      <w:highlight w:val="none"/>
                      <w:lang w:val="en-US" w:eastAsia="zh-CN"/>
                    </w:rPr>
                    <w:t>2</w:t>
                  </w:r>
                  <w:r>
                    <w:rPr>
                      <w:rFonts w:ascii="Times New Roman" w:hAnsi="Times New Roman" w:cs="Times New Roman"/>
                      <w:color w:val="000000"/>
                      <w:kern w:val="0"/>
                      <w:szCs w:val="21"/>
                      <w:highlight w:val="none"/>
                    </w:rPr>
                    <w:t>#</w:t>
                  </w:r>
                  <w:r>
                    <w:rPr>
                      <w:rFonts w:hint="eastAsia" w:ascii="Times New Roman" w:hAnsi="Times New Roman" w:cs="Times New Roman"/>
                      <w:color w:val="000000"/>
                      <w:kern w:val="0"/>
                      <w:szCs w:val="21"/>
                      <w:highlight w:val="none"/>
                      <w:lang w:val="en-US" w:eastAsia="zh-CN"/>
                    </w:rPr>
                    <w:t>厂界下</w:t>
                  </w:r>
                  <w:r>
                    <w:rPr>
                      <w:rFonts w:ascii="Times New Roman" w:hAnsi="Times New Roman" w:cs="Times New Roman"/>
                      <w:color w:val="000000"/>
                      <w:kern w:val="0"/>
                      <w:szCs w:val="21"/>
                      <w:highlight w:val="none"/>
                    </w:rPr>
                    <w:t>风向</w:t>
                  </w:r>
                  <w:r>
                    <w:rPr>
                      <w:rFonts w:hint="eastAsia" w:ascii="Times New Roman" w:hAnsi="Times New Roman" w:cs="Times New Roman"/>
                      <w:color w:val="000000"/>
                      <w:kern w:val="0"/>
                      <w:szCs w:val="21"/>
                      <w:highlight w:val="none"/>
                      <w:lang w:val="en-US" w:eastAsia="zh-CN"/>
                    </w:rPr>
                    <w:t>监测点</w:t>
                  </w:r>
                </w:p>
              </w:tc>
              <w:tc>
                <w:tcPr>
                  <w:tcW w:w="3475" w:type="dxa"/>
                  <w:gridSpan w:val="4"/>
                  <w:tcMar>
                    <w:left w:w="28" w:type="dxa"/>
                    <w:right w:w="28" w:type="dxa"/>
                  </w:tcMar>
                  <w:vAlign w:val="center"/>
                </w:tcPr>
                <w:p w14:paraId="7E363A71">
                  <w:pPr>
                    <w:spacing w:line="0" w:lineRule="atLeast"/>
                    <w:jc w:val="center"/>
                    <w:rPr>
                      <w:rFonts w:hint="default" w:ascii="Times New Roman" w:hAnsi="Times New Roman" w:eastAsia="等线" w:cs="Times New Roman"/>
                      <w:color w:val="000000"/>
                      <w:kern w:val="0"/>
                      <w:szCs w:val="21"/>
                      <w:highlight w:val="none"/>
                      <w:lang w:val="en-US" w:eastAsia="zh-CN"/>
                    </w:rPr>
                  </w:pPr>
                  <w:r>
                    <w:rPr>
                      <w:rFonts w:hint="eastAsia" w:ascii="Times New Roman" w:hAnsi="Times New Roman" w:eastAsia="等线" w:cs="Times New Roman"/>
                      <w:color w:val="000000"/>
                      <w:kern w:val="0"/>
                      <w:szCs w:val="21"/>
                      <w:highlight w:val="none"/>
                      <w:lang w:val="en-US" w:eastAsia="zh-CN"/>
                    </w:rPr>
                    <w:t>1.14</w:t>
                  </w:r>
                </w:p>
              </w:tc>
              <w:tc>
                <w:tcPr>
                  <w:tcW w:w="926" w:type="dxa"/>
                  <w:vMerge w:val="continue"/>
                  <w:tcMar>
                    <w:left w:w="28" w:type="dxa"/>
                    <w:right w:w="28" w:type="dxa"/>
                  </w:tcMar>
                  <w:vAlign w:val="center"/>
                </w:tcPr>
                <w:p w14:paraId="26C80709">
                  <w:pPr>
                    <w:spacing w:line="0" w:lineRule="atLeast"/>
                    <w:jc w:val="center"/>
                    <w:rPr>
                      <w:rFonts w:ascii="Times New Roman" w:hAnsi="Times New Roman" w:eastAsia="等线" w:cs="Times New Roman"/>
                      <w:color w:val="000000"/>
                      <w:kern w:val="0"/>
                      <w:szCs w:val="21"/>
                      <w:highlight w:val="none"/>
                    </w:rPr>
                  </w:pPr>
                </w:p>
              </w:tc>
              <w:tc>
                <w:tcPr>
                  <w:tcW w:w="1090" w:type="dxa"/>
                  <w:vMerge w:val="continue"/>
                  <w:tcMar>
                    <w:left w:w="28" w:type="dxa"/>
                    <w:right w:w="28" w:type="dxa"/>
                  </w:tcMar>
                  <w:vAlign w:val="center"/>
                </w:tcPr>
                <w:p w14:paraId="50D04294">
                  <w:pPr>
                    <w:spacing w:line="0" w:lineRule="atLeast"/>
                    <w:jc w:val="center"/>
                    <w:rPr>
                      <w:rFonts w:ascii="Times New Roman" w:hAnsi="Times New Roman" w:cs="Times New Roman"/>
                      <w:color w:val="000000"/>
                      <w:kern w:val="0"/>
                      <w:szCs w:val="21"/>
                      <w:highlight w:val="none"/>
                    </w:rPr>
                  </w:pPr>
                </w:p>
              </w:tc>
              <w:tc>
                <w:tcPr>
                  <w:tcW w:w="958" w:type="dxa"/>
                  <w:vMerge w:val="continue"/>
                  <w:tcMar>
                    <w:left w:w="28" w:type="dxa"/>
                    <w:right w:w="28" w:type="dxa"/>
                  </w:tcMar>
                  <w:vAlign w:val="center"/>
                </w:tcPr>
                <w:p w14:paraId="607AAF1F">
                  <w:pPr>
                    <w:spacing w:line="0" w:lineRule="atLeast"/>
                    <w:jc w:val="center"/>
                    <w:rPr>
                      <w:rFonts w:ascii="Times New Roman" w:hAnsi="Times New Roman" w:cs="Times New Roman"/>
                      <w:color w:val="000000"/>
                      <w:kern w:val="0"/>
                      <w:szCs w:val="21"/>
                      <w:highlight w:val="none"/>
                    </w:rPr>
                  </w:pPr>
                </w:p>
              </w:tc>
            </w:tr>
            <w:tr w14:paraId="0D9A8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dxa"/>
                  <w:vMerge w:val="continue"/>
                  <w:tcMar>
                    <w:left w:w="28" w:type="dxa"/>
                    <w:right w:w="28" w:type="dxa"/>
                  </w:tcMar>
                  <w:vAlign w:val="center"/>
                </w:tcPr>
                <w:p w14:paraId="6510CF14">
                  <w:pPr>
                    <w:spacing w:line="0" w:lineRule="atLeast"/>
                    <w:jc w:val="center"/>
                    <w:rPr>
                      <w:rFonts w:hint="eastAsia" w:ascii="Times New Roman" w:hAnsi="Times New Roman" w:cs="Times New Roman"/>
                      <w:color w:val="000000"/>
                      <w:kern w:val="0"/>
                      <w:szCs w:val="21"/>
                      <w:highlight w:val="none"/>
                      <w:lang w:val="en-US" w:eastAsia="zh-CN"/>
                    </w:rPr>
                  </w:pPr>
                </w:p>
              </w:tc>
              <w:tc>
                <w:tcPr>
                  <w:tcW w:w="889" w:type="dxa"/>
                  <w:tcMar>
                    <w:left w:w="28" w:type="dxa"/>
                    <w:right w:w="28" w:type="dxa"/>
                  </w:tcMar>
                  <w:vAlign w:val="center"/>
                </w:tcPr>
                <w:p w14:paraId="00791E57">
                  <w:pPr>
                    <w:spacing w:line="0" w:lineRule="atLeast"/>
                    <w:jc w:val="center"/>
                    <w:rPr>
                      <w:rFonts w:ascii="Times New Roman" w:hAnsi="Times New Roman" w:cs="Times New Roman"/>
                      <w:color w:val="000000"/>
                      <w:kern w:val="0"/>
                      <w:szCs w:val="21"/>
                      <w:highlight w:val="none"/>
                    </w:rPr>
                  </w:pPr>
                  <w:r>
                    <w:rPr>
                      <w:rFonts w:hint="eastAsia" w:ascii="Times New Roman" w:hAnsi="Times New Roman" w:cs="Times New Roman"/>
                      <w:color w:val="000000"/>
                      <w:kern w:val="0"/>
                      <w:szCs w:val="21"/>
                      <w:highlight w:val="none"/>
                      <w:lang w:val="en-US" w:eastAsia="zh-CN"/>
                    </w:rPr>
                    <w:t>3</w:t>
                  </w:r>
                  <w:r>
                    <w:rPr>
                      <w:rFonts w:ascii="Times New Roman" w:hAnsi="Times New Roman" w:cs="Times New Roman"/>
                      <w:color w:val="000000"/>
                      <w:kern w:val="0"/>
                      <w:szCs w:val="21"/>
                      <w:highlight w:val="none"/>
                    </w:rPr>
                    <w:t>#</w:t>
                  </w:r>
                  <w:r>
                    <w:rPr>
                      <w:rFonts w:hint="eastAsia" w:ascii="Times New Roman" w:hAnsi="Times New Roman" w:cs="Times New Roman"/>
                      <w:color w:val="000000"/>
                      <w:kern w:val="0"/>
                      <w:szCs w:val="21"/>
                      <w:highlight w:val="none"/>
                      <w:lang w:val="en-US" w:eastAsia="zh-CN"/>
                    </w:rPr>
                    <w:t>厂界下</w:t>
                  </w:r>
                  <w:r>
                    <w:rPr>
                      <w:rFonts w:ascii="Times New Roman" w:hAnsi="Times New Roman" w:cs="Times New Roman"/>
                      <w:color w:val="000000"/>
                      <w:kern w:val="0"/>
                      <w:szCs w:val="21"/>
                      <w:highlight w:val="none"/>
                    </w:rPr>
                    <w:t>风向</w:t>
                  </w:r>
                  <w:r>
                    <w:rPr>
                      <w:rFonts w:hint="eastAsia" w:ascii="Times New Roman" w:hAnsi="Times New Roman" w:cs="Times New Roman"/>
                      <w:color w:val="000000"/>
                      <w:kern w:val="0"/>
                      <w:szCs w:val="21"/>
                      <w:highlight w:val="none"/>
                      <w:lang w:val="en-US" w:eastAsia="zh-CN"/>
                    </w:rPr>
                    <w:t>监测点</w:t>
                  </w:r>
                </w:p>
              </w:tc>
              <w:tc>
                <w:tcPr>
                  <w:tcW w:w="3475" w:type="dxa"/>
                  <w:gridSpan w:val="4"/>
                  <w:tcMar>
                    <w:left w:w="28" w:type="dxa"/>
                    <w:right w:w="28" w:type="dxa"/>
                  </w:tcMar>
                  <w:vAlign w:val="center"/>
                </w:tcPr>
                <w:p w14:paraId="400DB2A1">
                  <w:pPr>
                    <w:spacing w:line="0" w:lineRule="atLeast"/>
                    <w:jc w:val="center"/>
                    <w:rPr>
                      <w:rFonts w:hint="default" w:ascii="Times New Roman" w:hAnsi="Times New Roman" w:eastAsia="等线" w:cs="Times New Roman"/>
                      <w:color w:val="000000"/>
                      <w:kern w:val="0"/>
                      <w:szCs w:val="21"/>
                      <w:highlight w:val="none"/>
                      <w:lang w:val="en-US" w:eastAsia="zh-CN"/>
                    </w:rPr>
                  </w:pPr>
                  <w:r>
                    <w:rPr>
                      <w:rFonts w:hint="eastAsia" w:ascii="Times New Roman" w:hAnsi="Times New Roman" w:eastAsia="等线" w:cs="Times New Roman"/>
                      <w:color w:val="000000"/>
                      <w:kern w:val="0"/>
                      <w:szCs w:val="21"/>
                      <w:highlight w:val="none"/>
                      <w:lang w:val="en-US" w:eastAsia="zh-CN"/>
                    </w:rPr>
                    <w:t>1.05</w:t>
                  </w:r>
                </w:p>
              </w:tc>
              <w:tc>
                <w:tcPr>
                  <w:tcW w:w="926" w:type="dxa"/>
                  <w:vMerge w:val="continue"/>
                  <w:tcMar>
                    <w:left w:w="28" w:type="dxa"/>
                    <w:right w:w="28" w:type="dxa"/>
                  </w:tcMar>
                  <w:vAlign w:val="center"/>
                </w:tcPr>
                <w:p w14:paraId="604F8CC5">
                  <w:pPr>
                    <w:spacing w:line="0" w:lineRule="atLeast"/>
                    <w:jc w:val="center"/>
                    <w:rPr>
                      <w:rFonts w:ascii="Times New Roman" w:hAnsi="Times New Roman" w:eastAsia="等线" w:cs="Times New Roman"/>
                      <w:color w:val="000000"/>
                      <w:kern w:val="0"/>
                      <w:szCs w:val="21"/>
                      <w:highlight w:val="none"/>
                    </w:rPr>
                  </w:pPr>
                </w:p>
              </w:tc>
              <w:tc>
                <w:tcPr>
                  <w:tcW w:w="1090" w:type="dxa"/>
                  <w:vMerge w:val="continue"/>
                  <w:tcMar>
                    <w:left w:w="28" w:type="dxa"/>
                    <w:right w:w="28" w:type="dxa"/>
                  </w:tcMar>
                  <w:vAlign w:val="center"/>
                </w:tcPr>
                <w:p w14:paraId="4C27DB7D">
                  <w:pPr>
                    <w:spacing w:line="0" w:lineRule="atLeast"/>
                    <w:jc w:val="center"/>
                    <w:rPr>
                      <w:rFonts w:ascii="Times New Roman" w:hAnsi="Times New Roman" w:cs="Times New Roman"/>
                      <w:color w:val="000000"/>
                      <w:kern w:val="0"/>
                      <w:szCs w:val="21"/>
                      <w:highlight w:val="none"/>
                    </w:rPr>
                  </w:pPr>
                </w:p>
              </w:tc>
              <w:tc>
                <w:tcPr>
                  <w:tcW w:w="958" w:type="dxa"/>
                  <w:vMerge w:val="continue"/>
                  <w:tcMar>
                    <w:left w:w="28" w:type="dxa"/>
                    <w:right w:w="28" w:type="dxa"/>
                  </w:tcMar>
                  <w:vAlign w:val="center"/>
                </w:tcPr>
                <w:p w14:paraId="27240A10">
                  <w:pPr>
                    <w:spacing w:line="0" w:lineRule="atLeast"/>
                    <w:jc w:val="center"/>
                    <w:rPr>
                      <w:rFonts w:ascii="Times New Roman" w:hAnsi="Times New Roman" w:cs="Times New Roman"/>
                      <w:color w:val="000000"/>
                      <w:kern w:val="0"/>
                      <w:szCs w:val="21"/>
                      <w:highlight w:val="none"/>
                    </w:rPr>
                  </w:pPr>
                </w:p>
              </w:tc>
            </w:tr>
            <w:tr w14:paraId="1FA09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dxa"/>
                  <w:vMerge w:val="continue"/>
                  <w:tcMar>
                    <w:left w:w="28" w:type="dxa"/>
                    <w:right w:w="28" w:type="dxa"/>
                  </w:tcMar>
                  <w:vAlign w:val="center"/>
                </w:tcPr>
                <w:p w14:paraId="08ADF4B4">
                  <w:pPr>
                    <w:spacing w:line="0" w:lineRule="atLeast"/>
                    <w:jc w:val="center"/>
                    <w:rPr>
                      <w:rFonts w:hint="eastAsia" w:ascii="Times New Roman" w:hAnsi="Times New Roman" w:cs="Times New Roman"/>
                      <w:color w:val="000000"/>
                      <w:kern w:val="0"/>
                      <w:szCs w:val="21"/>
                      <w:highlight w:val="none"/>
                      <w:lang w:val="en-US" w:eastAsia="zh-CN"/>
                    </w:rPr>
                  </w:pPr>
                </w:p>
              </w:tc>
              <w:tc>
                <w:tcPr>
                  <w:tcW w:w="889" w:type="dxa"/>
                  <w:tcMar>
                    <w:left w:w="28" w:type="dxa"/>
                    <w:right w:w="28" w:type="dxa"/>
                  </w:tcMar>
                  <w:vAlign w:val="center"/>
                </w:tcPr>
                <w:p w14:paraId="192E745B">
                  <w:pPr>
                    <w:spacing w:line="0" w:lineRule="atLeast"/>
                    <w:jc w:val="center"/>
                    <w:rPr>
                      <w:rFonts w:hint="default" w:ascii="Times New Roman" w:hAnsi="Times New Roman" w:eastAsia="宋体" w:cs="Times New Roman"/>
                      <w:color w:val="000000"/>
                      <w:kern w:val="0"/>
                      <w:szCs w:val="21"/>
                      <w:highlight w:val="none"/>
                      <w:lang w:val="en-US" w:eastAsia="zh-CN"/>
                    </w:rPr>
                  </w:pPr>
                  <w:bookmarkStart w:id="13" w:name="OLE_LINK7"/>
                  <w:r>
                    <w:rPr>
                      <w:rFonts w:hint="eastAsia" w:ascii="Times New Roman" w:hAnsi="Times New Roman" w:cs="Times New Roman"/>
                      <w:color w:val="000000"/>
                      <w:kern w:val="0"/>
                      <w:szCs w:val="21"/>
                      <w:highlight w:val="none"/>
                      <w:lang w:val="en-US" w:eastAsia="zh-CN"/>
                    </w:rPr>
                    <w:t>4#厂区内浓度最高处（检测点）</w:t>
                  </w:r>
                  <w:bookmarkEnd w:id="13"/>
                </w:p>
              </w:tc>
              <w:tc>
                <w:tcPr>
                  <w:tcW w:w="3475" w:type="dxa"/>
                  <w:gridSpan w:val="4"/>
                  <w:tcMar>
                    <w:left w:w="28" w:type="dxa"/>
                    <w:right w:w="28" w:type="dxa"/>
                  </w:tcMar>
                  <w:vAlign w:val="center"/>
                </w:tcPr>
                <w:p w14:paraId="3F7F9D1C">
                  <w:pPr>
                    <w:spacing w:line="0" w:lineRule="atLeast"/>
                    <w:jc w:val="center"/>
                    <w:rPr>
                      <w:rFonts w:hint="default" w:ascii="Times New Roman" w:hAnsi="Times New Roman" w:eastAsia="等线" w:cs="Times New Roman"/>
                      <w:color w:val="000000"/>
                      <w:kern w:val="0"/>
                      <w:szCs w:val="21"/>
                      <w:highlight w:val="none"/>
                      <w:lang w:val="en-US" w:eastAsia="zh-CN"/>
                    </w:rPr>
                  </w:pPr>
                  <w:r>
                    <w:rPr>
                      <w:rFonts w:hint="eastAsia" w:ascii="Times New Roman" w:hAnsi="Times New Roman" w:eastAsia="等线" w:cs="Times New Roman"/>
                      <w:color w:val="000000"/>
                      <w:kern w:val="0"/>
                      <w:szCs w:val="21"/>
                      <w:highlight w:val="none"/>
                      <w:lang w:val="en-US" w:eastAsia="zh-CN"/>
                    </w:rPr>
                    <w:t>2.25</w:t>
                  </w:r>
                </w:p>
              </w:tc>
              <w:tc>
                <w:tcPr>
                  <w:tcW w:w="926" w:type="dxa"/>
                  <w:vMerge w:val="restart"/>
                  <w:shd w:val="clear" w:color="auto" w:fill="auto"/>
                  <w:tcMar>
                    <w:left w:w="28" w:type="dxa"/>
                    <w:right w:w="28" w:type="dxa"/>
                  </w:tcMar>
                  <w:vAlign w:val="center"/>
                </w:tcPr>
                <w:p w14:paraId="762342EE">
                  <w:pPr>
                    <w:spacing w:line="0" w:lineRule="atLeas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kern w:val="0"/>
                      <w:szCs w:val="21"/>
                      <w:highlight w:val="none"/>
                      <w:lang w:val="en-US" w:eastAsia="zh-CN"/>
                    </w:rPr>
                    <w:t>2.68</w:t>
                  </w:r>
                </w:p>
              </w:tc>
              <w:tc>
                <w:tcPr>
                  <w:tcW w:w="1090" w:type="dxa"/>
                  <w:vMerge w:val="restart"/>
                  <w:shd w:val="clear" w:color="auto" w:fill="auto"/>
                  <w:tcMar>
                    <w:left w:w="28" w:type="dxa"/>
                    <w:right w:w="28" w:type="dxa"/>
                  </w:tcMar>
                  <w:vAlign w:val="center"/>
                </w:tcPr>
                <w:p w14:paraId="2F49BD9C">
                  <w:pPr>
                    <w:spacing w:line="0" w:lineRule="atLeast"/>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kern w:val="0"/>
                      <w:szCs w:val="21"/>
                      <w:highlight w:val="none"/>
                      <w:lang w:val="en-US" w:eastAsia="zh-CN"/>
                    </w:rPr>
                    <w:t>10</w:t>
                  </w:r>
                </w:p>
              </w:tc>
              <w:tc>
                <w:tcPr>
                  <w:tcW w:w="958" w:type="dxa"/>
                  <w:vMerge w:val="restart"/>
                  <w:tcMar>
                    <w:left w:w="28" w:type="dxa"/>
                    <w:right w:w="28" w:type="dxa"/>
                  </w:tcMar>
                  <w:vAlign w:val="center"/>
                </w:tcPr>
                <w:p w14:paraId="0F0A8049">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cs="Times New Roman"/>
                      <w:color w:val="000000"/>
                      <w:kern w:val="0"/>
                      <w:szCs w:val="21"/>
                      <w:highlight w:val="none"/>
                      <w:lang w:val="en-US" w:eastAsia="zh-CN"/>
                    </w:rPr>
                    <w:t>达标</w:t>
                  </w:r>
                </w:p>
              </w:tc>
            </w:tr>
            <w:tr w14:paraId="71D6D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dxa"/>
                  <w:vMerge w:val="continue"/>
                  <w:tcMar>
                    <w:left w:w="28" w:type="dxa"/>
                    <w:right w:w="28" w:type="dxa"/>
                  </w:tcMar>
                  <w:vAlign w:val="center"/>
                </w:tcPr>
                <w:p w14:paraId="38059A0A">
                  <w:pPr>
                    <w:spacing w:line="0" w:lineRule="atLeast"/>
                    <w:jc w:val="center"/>
                    <w:rPr>
                      <w:rFonts w:hint="eastAsia" w:ascii="Times New Roman" w:hAnsi="Times New Roman" w:cs="Times New Roman"/>
                      <w:color w:val="000000"/>
                      <w:kern w:val="0"/>
                      <w:szCs w:val="21"/>
                      <w:highlight w:val="none"/>
                      <w:lang w:val="en-US" w:eastAsia="zh-CN"/>
                    </w:rPr>
                  </w:pPr>
                </w:p>
              </w:tc>
              <w:tc>
                <w:tcPr>
                  <w:tcW w:w="889" w:type="dxa"/>
                  <w:tcMar>
                    <w:left w:w="28" w:type="dxa"/>
                    <w:right w:w="28" w:type="dxa"/>
                  </w:tcMar>
                  <w:vAlign w:val="center"/>
                </w:tcPr>
                <w:p w14:paraId="5F726BC3">
                  <w:pPr>
                    <w:spacing w:line="0" w:lineRule="atLeast"/>
                    <w:jc w:val="center"/>
                    <w:rPr>
                      <w:rFonts w:ascii="Times New Roman" w:hAnsi="Times New Roman" w:cs="Times New Roman"/>
                      <w:color w:val="000000"/>
                      <w:kern w:val="0"/>
                      <w:szCs w:val="21"/>
                      <w:highlight w:val="none"/>
                    </w:rPr>
                  </w:pPr>
                  <w:r>
                    <w:rPr>
                      <w:rFonts w:hint="eastAsia" w:ascii="Times New Roman" w:hAnsi="Times New Roman" w:cs="Times New Roman"/>
                      <w:color w:val="000000"/>
                      <w:kern w:val="0"/>
                      <w:szCs w:val="21"/>
                      <w:highlight w:val="none"/>
                      <w:lang w:val="en-US" w:eastAsia="zh-CN"/>
                    </w:rPr>
                    <w:t>5#厂区内浓度最高处（检测点）</w:t>
                  </w:r>
                </w:p>
              </w:tc>
              <w:tc>
                <w:tcPr>
                  <w:tcW w:w="3475" w:type="dxa"/>
                  <w:gridSpan w:val="4"/>
                  <w:tcMar>
                    <w:left w:w="28" w:type="dxa"/>
                    <w:right w:w="28" w:type="dxa"/>
                  </w:tcMar>
                  <w:vAlign w:val="center"/>
                </w:tcPr>
                <w:p w14:paraId="1FD1A708">
                  <w:pPr>
                    <w:spacing w:line="0" w:lineRule="atLeast"/>
                    <w:jc w:val="center"/>
                    <w:rPr>
                      <w:rFonts w:hint="default" w:ascii="Times New Roman" w:hAnsi="Times New Roman" w:eastAsia="等线" w:cs="Times New Roman"/>
                      <w:color w:val="000000"/>
                      <w:kern w:val="0"/>
                      <w:szCs w:val="21"/>
                      <w:highlight w:val="none"/>
                      <w:lang w:val="en-US" w:eastAsia="zh-CN"/>
                    </w:rPr>
                  </w:pPr>
                  <w:r>
                    <w:rPr>
                      <w:rFonts w:hint="eastAsia" w:ascii="Times New Roman" w:hAnsi="Times New Roman" w:eastAsia="等线" w:cs="Times New Roman"/>
                      <w:color w:val="000000"/>
                      <w:kern w:val="0"/>
                      <w:szCs w:val="21"/>
                      <w:highlight w:val="none"/>
                      <w:lang w:val="en-US" w:eastAsia="zh-CN"/>
                    </w:rPr>
                    <w:t>2.29</w:t>
                  </w:r>
                </w:p>
              </w:tc>
              <w:tc>
                <w:tcPr>
                  <w:tcW w:w="926" w:type="dxa"/>
                  <w:vMerge w:val="continue"/>
                  <w:tcMar>
                    <w:left w:w="28" w:type="dxa"/>
                    <w:right w:w="28" w:type="dxa"/>
                  </w:tcMar>
                  <w:vAlign w:val="center"/>
                </w:tcPr>
                <w:p w14:paraId="41D803B7">
                  <w:pPr>
                    <w:spacing w:line="0" w:lineRule="atLeast"/>
                    <w:jc w:val="center"/>
                    <w:rPr>
                      <w:rFonts w:ascii="Times New Roman" w:hAnsi="Times New Roman" w:eastAsia="等线" w:cs="Times New Roman"/>
                      <w:color w:val="000000"/>
                      <w:kern w:val="0"/>
                      <w:szCs w:val="21"/>
                      <w:highlight w:val="none"/>
                    </w:rPr>
                  </w:pPr>
                </w:p>
              </w:tc>
              <w:tc>
                <w:tcPr>
                  <w:tcW w:w="1090" w:type="dxa"/>
                  <w:vMerge w:val="continue"/>
                  <w:tcMar>
                    <w:left w:w="28" w:type="dxa"/>
                    <w:right w:w="28" w:type="dxa"/>
                  </w:tcMar>
                  <w:vAlign w:val="center"/>
                </w:tcPr>
                <w:p w14:paraId="2B0EC4DA">
                  <w:pPr>
                    <w:spacing w:line="0" w:lineRule="atLeast"/>
                    <w:jc w:val="center"/>
                    <w:rPr>
                      <w:rFonts w:ascii="Times New Roman" w:hAnsi="Times New Roman" w:cs="Times New Roman"/>
                      <w:color w:val="000000"/>
                      <w:kern w:val="0"/>
                      <w:szCs w:val="21"/>
                      <w:highlight w:val="none"/>
                    </w:rPr>
                  </w:pPr>
                </w:p>
              </w:tc>
              <w:tc>
                <w:tcPr>
                  <w:tcW w:w="958" w:type="dxa"/>
                  <w:vMerge w:val="continue"/>
                  <w:tcMar>
                    <w:left w:w="28" w:type="dxa"/>
                    <w:right w:w="28" w:type="dxa"/>
                  </w:tcMar>
                  <w:vAlign w:val="center"/>
                </w:tcPr>
                <w:p w14:paraId="714C1289">
                  <w:pPr>
                    <w:spacing w:line="0" w:lineRule="atLeast"/>
                    <w:jc w:val="center"/>
                    <w:rPr>
                      <w:rFonts w:ascii="Times New Roman" w:hAnsi="Times New Roman" w:cs="Times New Roman"/>
                      <w:color w:val="000000"/>
                      <w:kern w:val="0"/>
                      <w:szCs w:val="21"/>
                      <w:highlight w:val="none"/>
                    </w:rPr>
                  </w:pPr>
                </w:p>
              </w:tc>
            </w:tr>
            <w:tr w14:paraId="7A460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dxa"/>
                  <w:vMerge w:val="continue"/>
                  <w:tcMar>
                    <w:left w:w="28" w:type="dxa"/>
                    <w:right w:w="28" w:type="dxa"/>
                  </w:tcMar>
                  <w:vAlign w:val="center"/>
                </w:tcPr>
                <w:p w14:paraId="41F1C57F">
                  <w:pPr>
                    <w:spacing w:line="0" w:lineRule="atLeast"/>
                    <w:jc w:val="center"/>
                    <w:rPr>
                      <w:rFonts w:hint="eastAsia" w:ascii="Times New Roman" w:hAnsi="Times New Roman" w:cs="Times New Roman"/>
                      <w:color w:val="000000"/>
                      <w:kern w:val="0"/>
                      <w:szCs w:val="21"/>
                      <w:highlight w:val="none"/>
                      <w:lang w:val="en-US" w:eastAsia="zh-CN"/>
                    </w:rPr>
                  </w:pPr>
                </w:p>
              </w:tc>
              <w:tc>
                <w:tcPr>
                  <w:tcW w:w="889" w:type="dxa"/>
                  <w:tcMar>
                    <w:left w:w="28" w:type="dxa"/>
                    <w:right w:w="28" w:type="dxa"/>
                  </w:tcMar>
                  <w:vAlign w:val="center"/>
                </w:tcPr>
                <w:p w14:paraId="39D4E0C4">
                  <w:pPr>
                    <w:spacing w:line="0" w:lineRule="atLeast"/>
                    <w:jc w:val="center"/>
                    <w:rPr>
                      <w:rFonts w:ascii="Times New Roman" w:hAnsi="Times New Roman" w:cs="Times New Roman"/>
                      <w:color w:val="000000"/>
                      <w:kern w:val="0"/>
                      <w:szCs w:val="21"/>
                      <w:highlight w:val="none"/>
                    </w:rPr>
                  </w:pPr>
                  <w:r>
                    <w:rPr>
                      <w:rFonts w:hint="eastAsia" w:ascii="Times New Roman" w:hAnsi="Times New Roman" w:cs="Times New Roman"/>
                      <w:color w:val="000000"/>
                      <w:kern w:val="0"/>
                      <w:szCs w:val="21"/>
                      <w:highlight w:val="none"/>
                      <w:lang w:val="en-US" w:eastAsia="zh-CN"/>
                    </w:rPr>
                    <w:t>6#厂区内浓度最高处（检测点）</w:t>
                  </w:r>
                </w:p>
              </w:tc>
              <w:tc>
                <w:tcPr>
                  <w:tcW w:w="3475" w:type="dxa"/>
                  <w:gridSpan w:val="4"/>
                  <w:tcMar>
                    <w:left w:w="28" w:type="dxa"/>
                    <w:right w:w="28" w:type="dxa"/>
                  </w:tcMar>
                  <w:vAlign w:val="center"/>
                </w:tcPr>
                <w:p w14:paraId="629ECFA8">
                  <w:pPr>
                    <w:spacing w:line="0" w:lineRule="atLeast"/>
                    <w:jc w:val="center"/>
                    <w:rPr>
                      <w:rFonts w:hint="default" w:ascii="Times New Roman" w:hAnsi="Times New Roman" w:eastAsia="等线" w:cs="Times New Roman"/>
                      <w:color w:val="000000"/>
                      <w:kern w:val="0"/>
                      <w:szCs w:val="21"/>
                      <w:highlight w:val="none"/>
                      <w:lang w:val="en-US" w:eastAsia="zh-CN"/>
                    </w:rPr>
                  </w:pPr>
                  <w:r>
                    <w:rPr>
                      <w:rFonts w:hint="eastAsia" w:ascii="Times New Roman" w:hAnsi="Times New Roman" w:eastAsia="等线" w:cs="Times New Roman"/>
                      <w:color w:val="000000"/>
                      <w:kern w:val="0"/>
                      <w:szCs w:val="21"/>
                      <w:highlight w:val="none"/>
                      <w:lang w:val="en-US" w:eastAsia="zh-CN"/>
                    </w:rPr>
                    <w:t>2.68</w:t>
                  </w:r>
                </w:p>
              </w:tc>
              <w:tc>
                <w:tcPr>
                  <w:tcW w:w="926" w:type="dxa"/>
                  <w:vMerge w:val="continue"/>
                  <w:tcMar>
                    <w:left w:w="28" w:type="dxa"/>
                    <w:right w:w="28" w:type="dxa"/>
                  </w:tcMar>
                  <w:vAlign w:val="center"/>
                </w:tcPr>
                <w:p w14:paraId="5E992C03">
                  <w:pPr>
                    <w:spacing w:line="0" w:lineRule="atLeast"/>
                    <w:jc w:val="center"/>
                    <w:rPr>
                      <w:rFonts w:ascii="Times New Roman" w:hAnsi="Times New Roman" w:eastAsia="等线" w:cs="Times New Roman"/>
                      <w:color w:val="000000"/>
                      <w:kern w:val="0"/>
                      <w:szCs w:val="21"/>
                      <w:highlight w:val="none"/>
                    </w:rPr>
                  </w:pPr>
                </w:p>
              </w:tc>
              <w:tc>
                <w:tcPr>
                  <w:tcW w:w="1090" w:type="dxa"/>
                  <w:vMerge w:val="continue"/>
                  <w:tcMar>
                    <w:left w:w="28" w:type="dxa"/>
                    <w:right w:w="28" w:type="dxa"/>
                  </w:tcMar>
                  <w:vAlign w:val="center"/>
                </w:tcPr>
                <w:p w14:paraId="137A65A9">
                  <w:pPr>
                    <w:spacing w:line="0" w:lineRule="atLeast"/>
                    <w:jc w:val="center"/>
                    <w:rPr>
                      <w:rFonts w:ascii="Times New Roman" w:hAnsi="Times New Roman" w:cs="Times New Roman"/>
                      <w:color w:val="000000"/>
                      <w:kern w:val="0"/>
                      <w:szCs w:val="21"/>
                      <w:highlight w:val="none"/>
                    </w:rPr>
                  </w:pPr>
                </w:p>
              </w:tc>
              <w:tc>
                <w:tcPr>
                  <w:tcW w:w="958" w:type="dxa"/>
                  <w:vMerge w:val="continue"/>
                  <w:tcMar>
                    <w:left w:w="28" w:type="dxa"/>
                    <w:right w:w="28" w:type="dxa"/>
                  </w:tcMar>
                  <w:vAlign w:val="center"/>
                </w:tcPr>
                <w:p w14:paraId="0FC37825">
                  <w:pPr>
                    <w:spacing w:line="0" w:lineRule="atLeast"/>
                    <w:jc w:val="center"/>
                    <w:rPr>
                      <w:rFonts w:ascii="Times New Roman" w:hAnsi="Times New Roman" w:cs="Times New Roman"/>
                      <w:color w:val="000000"/>
                      <w:kern w:val="0"/>
                      <w:szCs w:val="21"/>
                      <w:highlight w:val="none"/>
                    </w:rPr>
                  </w:pPr>
                </w:p>
              </w:tc>
            </w:tr>
          </w:tbl>
          <w:p w14:paraId="566D3619">
            <w:pPr>
              <w:spacing w:line="360" w:lineRule="auto"/>
              <w:ind w:firstLine="480"/>
              <w:rPr>
                <w:rFonts w:hint="eastAsia"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综上，4t/h生物质锅炉废气和11t/h生物质锅炉废气颗粒物、二氧化硫、氮氧化物有组织排放均满足《锅炉大气污染物排放标准》（DB13∕5161-2020）表1大气污染物排放限值-燃生物质成型燃料锅炉限值要求；蛋白干燥废气和淀粉烘干废气颗粒物有组织排放均满足《大气污染物综合排放标准》（GB 16297-1996）新污染源大气污染物排放限值要求；无组织废气氨、硫化氢、臭气浓度排放满足《恶臭污染物排放标准》（GB 14554-93）表1恶臭污染物厂界标准值；无组织废气非甲烷总烃排放满足《工业企业挥发性有机物排放控制标准》（DB13/2322-2016）表2企业边界大气污染物浓度限值-其他企业限值要求及《挥发性有机物无组织排放控制标准》（GB37822-2019）附录A-表A.1厂区内VOC</w:t>
            </w:r>
            <w:r>
              <w:rPr>
                <w:rFonts w:hint="eastAsia" w:ascii="Times New Roman" w:hAnsi="Times New Roman" w:eastAsia="宋体" w:cs="Times New Roman"/>
                <w:sz w:val="24"/>
                <w:highlight w:val="none"/>
                <w:vertAlign w:val="subscript"/>
                <w:lang w:val="en-US" w:eastAsia="zh-CN"/>
              </w:rPr>
              <w:t>S</w:t>
            </w:r>
            <w:r>
              <w:rPr>
                <w:rFonts w:hint="eastAsia" w:ascii="Times New Roman" w:hAnsi="Times New Roman" w:eastAsia="宋体" w:cs="Times New Roman"/>
                <w:sz w:val="24"/>
                <w:highlight w:val="none"/>
                <w:lang w:val="en-US" w:eastAsia="zh-CN"/>
              </w:rPr>
              <w:t>无组织排放限值。</w:t>
            </w:r>
          </w:p>
          <w:p w14:paraId="372F5291">
            <w:pPr>
              <w:numPr>
                <w:ilvl w:val="0"/>
                <w:numId w:val="0"/>
              </w:numPr>
              <w:spacing w:line="360" w:lineRule="auto"/>
              <w:rPr>
                <w:rFonts w:hint="default" w:ascii="Times New Roman" w:hAnsi="Times New Roman" w:cs="Times New Roman"/>
                <w:b w:val="0"/>
                <w:bCs w:val="0"/>
                <w:sz w:val="24"/>
                <w:szCs w:val="24"/>
                <w:highlight w:val="none"/>
                <w:lang w:val="en-US" w:eastAsia="zh-CN"/>
              </w:rPr>
            </w:pPr>
            <w:r>
              <w:rPr>
                <w:rFonts w:hint="eastAsia" w:ascii="Times New Roman" w:hAnsi="Times New Roman" w:cs="Times New Roman"/>
                <w:b w:val="0"/>
                <w:bCs w:val="0"/>
                <w:sz w:val="24"/>
                <w:szCs w:val="24"/>
                <w:highlight w:val="none"/>
                <w:lang w:val="en-US" w:eastAsia="zh-CN"/>
              </w:rPr>
              <w:t>（2）废水</w:t>
            </w:r>
          </w:p>
          <w:p w14:paraId="3FB7DEA5">
            <w:pPr>
              <w:spacing w:line="360" w:lineRule="auto"/>
              <w:ind w:firstLine="480"/>
              <w:rPr>
                <w:rFonts w:hint="default"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运营期废水主要为原料流动槽和洗涤废水、离心筛提取淀粉后的黄姜废水、薯浆脱水和沉淀池排出的含蛋白质废水、洗涤和精致工序排出的低浓度蛋白质水；</w:t>
            </w:r>
          </w:p>
          <w:p w14:paraId="3F09646C">
            <w:pPr>
              <w:spacing w:line="360" w:lineRule="auto"/>
              <w:ind w:firstLine="480"/>
              <w:rPr>
                <w:rFonts w:hint="eastAsia"/>
                <w:kern w:val="0"/>
                <w:sz w:val="24"/>
                <w:highlight w:val="none"/>
                <w:lang w:val="en-US" w:eastAsia="zh-CN"/>
              </w:rPr>
            </w:pPr>
            <w:r>
              <w:rPr>
                <w:rFonts w:hint="eastAsia" w:ascii="Times New Roman" w:hAnsi="Times New Roman" w:eastAsia="宋体" w:cs="Times New Roman"/>
                <w:sz w:val="24"/>
                <w:highlight w:val="none"/>
                <w:lang w:val="en-US" w:eastAsia="zh-CN"/>
              </w:rPr>
              <w:t>采取的治理措施：企业运营期生产产生的高浓度有机废水，进入</w:t>
            </w:r>
            <w:r>
              <w:rPr>
                <w:rFonts w:hint="eastAsia" w:cs="Times New Roman"/>
                <w:sz w:val="24"/>
                <w:highlight w:val="none"/>
                <w:lang w:val="en-US" w:eastAsia="zh-CN"/>
              </w:rPr>
              <w:t>承德泓辉双合淀粉有限公司污水处理站</w:t>
            </w:r>
            <w:r>
              <w:rPr>
                <w:rFonts w:hint="eastAsia" w:ascii="Times New Roman" w:hAnsi="Times New Roman" w:eastAsia="宋体" w:cs="Times New Roman"/>
                <w:sz w:val="24"/>
                <w:highlight w:val="none"/>
                <w:lang w:val="en-US" w:eastAsia="zh-CN"/>
              </w:rPr>
              <w:t>进行处理，处理工艺为“蛋白回收+絮凝沉淀+水解酸化+PEIC厌氧反应+氨氮吹脱+AO活性污泥+芬顿氧化”，处理达标后排入</w:t>
            </w:r>
            <w:r>
              <w:rPr>
                <w:rFonts w:hint="eastAsia" w:ascii="Times New Roman" w:hAnsi="Times New Roman" w:eastAsia="宋体"/>
                <w:kern w:val="21"/>
                <w:sz w:val="24"/>
                <w:szCs w:val="24"/>
                <w:highlight w:val="none"/>
              </w:rPr>
              <w:t>蚁蚂吐河</w:t>
            </w:r>
            <w:r>
              <w:rPr>
                <w:rFonts w:hint="eastAsia" w:ascii="Times New Roman" w:hAnsi="Times New Roman" w:eastAsia="宋体"/>
                <w:kern w:val="21"/>
                <w:sz w:val="24"/>
                <w:szCs w:val="24"/>
                <w:highlight w:val="none"/>
                <w:lang w:eastAsia="zh-CN"/>
              </w:rPr>
              <w:t>。</w:t>
            </w:r>
            <w:r>
              <w:rPr>
                <w:rFonts w:hint="eastAsia" w:ascii="Times New Roman" w:hAnsi="Times New Roman" w:eastAsia="宋体"/>
                <w:kern w:val="21"/>
                <w:sz w:val="24"/>
                <w:szCs w:val="24"/>
                <w:highlight w:val="none"/>
                <w:lang w:val="en-US" w:eastAsia="zh-CN"/>
              </w:rPr>
              <w:t>由检测报告可知，污水处理站出水满足</w:t>
            </w:r>
            <w:r>
              <w:rPr>
                <w:rFonts w:hint="eastAsia"/>
                <w:kern w:val="0"/>
                <w:sz w:val="24"/>
                <w:highlight w:val="none"/>
                <w:lang w:val="en-US" w:eastAsia="zh-CN"/>
              </w:rPr>
              <w:t>《城镇污水处理厂污染物排放标准》（GB18918-2002）表1中一级A标准。</w:t>
            </w:r>
          </w:p>
          <w:p w14:paraId="69EE6179">
            <w:pPr>
              <w:spacing w:line="360" w:lineRule="auto"/>
              <w:ind w:firstLine="480"/>
              <w:rPr>
                <w:rFonts w:hint="eastAsia"/>
                <w:kern w:val="0"/>
                <w:sz w:val="24"/>
                <w:highlight w:val="none"/>
                <w:lang w:val="en-US" w:eastAsia="zh-CN"/>
              </w:rPr>
            </w:pPr>
            <w:r>
              <w:rPr>
                <w:rFonts w:hint="eastAsia" w:ascii="Times New Roman" w:hAnsi="Times New Roman" w:eastAsia="宋体" w:cs="Times New Roman"/>
                <w:sz w:val="24"/>
                <w:highlight w:val="none"/>
                <w:lang w:val="en-US" w:eastAsia="zh-CN"/>
              </w:rPr>
              <w:t>污染物达标排放情况：企业委托承德卓远环境监测有限公司于2024年9月11日对废水进行监测并出具监测报告：CDZY自行监测【2021】1102号；</w:t>
            </w:r>
            <w:r>
              <w:rPr>
                <w:rFonts w:hint="eastAsia"/>
                <w:kern w:val="0"/>
                <w:sz w:val="24"/>
                <w:highlight w:val="none"/>
                <w:lang w:val="en-US" w:eastAsia="zh-CN"/>
              </w:rPr>
              <w:t>废水检测结果如下；</w:t>
            </w:r>
          </w:p>
          <w:p w14:paraId="640B4ED0">
            <w:pPr>
              <w:pStyle w:val="50"/>
              <w:numPr>
                <w:ilvl w:val="0"/>
                <w:numId w:val="6"/>
              </w:numPr>
              <w:spacing w:line="360" w:lineRule="auto"/>
              <w:ind w:left="0" w:firstLine="0" w:firstLineChars="0"/>
              <w:jc w:val="center"/>
              <w:rPr>
                <w:rFonts w:ascii="宋体" w:hAnsi="宋体" w:eastAsia="宋体"/>
                <w:b/>
                <w:sz w:val="21"/>
                <w:highlight w:val="none"/>
              </w:rPr>
            </w:pPr>
            <w:r>
              <w:rPr>
                <w:rFonts w:hint="eastAsia" w:ascii="宋体" w:hAnsi="宋体" w:eastAsia="宋体"/>
                <w:b/>
                <w:sz w:val="21"/>
                <w:highlight w:val="none"/>
                <w:lang w:val="en-US" w:eastAsia="zh-CN"/>
              </w:rPr>
              <w:t>废水检测结果一览表</w:t>
            </w:r>
          </w:p>
          <w:tbl>
            <w:tblPr>
              <w:tblStyle w:val="2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9"/>
              <w:gridCol w:w="719"/>
              <w:gridCol w:w="1233"/>
              <w:gridCol w:w="1279"/>
              <w:gridCol w:w="1264"/>
              <w:gridCol w:w="879"/>
              <w:gridCol w:w="752"/>
              <w:gridCol w:w="887"/>
            </w:tblGrid>
            <w:tr w14:paraId="0F713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vMerge w:val="restart"/>
                  <w:vAlign w:val="center"/>
                </w:tcPr>
                <w:p w14:paraId="209F7EC8">
                  <w:pPr>
                    <w:spacing w:line="0" w:lineRule="atLeast"/>
                    <w:jc w:val="center"/>
                    <w:rPr>
                      <w:rFonts w:hint="default" w:ascii="Times New Roman" w:hAnsi="Times New Roman" w:eastAsia="宋体" w:cs="Times New Roman"/>
                      <w:b/>
                      <w:bCs/>
                      <w:color w:val="000000"/>
                      <w:kern w:val="0"/>
                      <w:szCs w:val="21"/>
                      <w:highlight w:val="none"/>
                      <w:lang w:val="en-US" w:eastAsia="zh-CN"/>
                    </w:rPr>
                  </w:pPr>
                  <w:r>
                    <w:rPr>
                      <w:rFonts w:hint="eastAsia" w:ascii="Times New Roman" w:hAnsi="Times New Roman" w:eastAsia="宋体" w:cs="Times New Roman"/>
                      <w:b/>
                      <w:bCs/>
                      <w:color w:val="000000"/>
                      <w:kern w:val="0"/>
                      <w:szCs w:val="21"/>
                      <w:highlight w:val="none"/>
                      <w:lang w:val="en-US" w:eastAsia="zh-CN"/>
                    </w:rPr>
                    <w:t>监测指标</w:t>
                  </w:r>
                </w:p>
              </w:tc>
              <w:tc>
                <w:tcPr>
                  <w:tcW w:w="453" w:type="pct"/>
                  <w:vMerge w:val="restart"/>
                  <w:vAlign w:val="center"/>
                </w:tcPr>
                <w:p w14:paraId="2069C22B">
                  <w:pPr>
                    <w:spacing w:line="0" w:lineRule="atLeast"/>
                    <w:jc w:val="center"/>
                    <w:rPr>
                      <w:rFonts w:hint="default" w:ascii="Times New Roman" w:hAnsi="Times New Roman" w:eastAsia="宋体" w:cs="Times New Roman"/>
                      <w:b/>
                      <w:bCs/>
                      <w:color w:val="000000"/>
                      <w:kern w:val="0"/>
                      <w:szCs w:val="21"/>
                      <w:highlight w:val="none"/>
                      <w:lang w:val="en-US" w:eastAsia="zh-CN"/>
                    </w:rPr>
                  </w:pPr>
                  <w:r>
                    <w:rPr>
                      <w:rFonts w:hint="eastAsia" w:ascii="Times New Roman" w:hAnsi="Times New Roman" w:eastAsia="宋体" w:cs="Times New Roman"/>
                      <w:b/>
                      <w:bCs/>
                      <w:color w:val="000000"/>
                      <w:kern w:val="0"/>
                      <w:szCs w:val="21"/>
                      <w:highlight w:val="none"/>
                      <w:lang w:val="en-US" w:eastAsia="zh-CN"/>
                    </w:rPr>
                    <w:t>单位</w:t>
                  </w:r>
                </w:p>
              </w:tc>
              <w:tc>
                <w:tcPr>
                  <w:tcW w:w="2933" w:type="pct"/>
                  <w:gridSpan w:val="4"/>
                  <w:vAlign w:val="center"/>
                </w:tcPr>
                <w:p w14:paraId="5ECD1E94">
                  <w:pPr>
                    <w:spacing w:line="0" w:lineRule="atLeast"/>
                    <w:jc w:val="center"/>
                    <w:rPr>
                      <w:rFonts w:hint="default" w:ascii="Times New Roman" w:hAnsi="Times New Roman" w:eastAsia="宋体" w:cs="Times New Roman"/>
                      <w:b/>
                      <w:bCs/>
                      <w:color w:val="000000"/>
                      <w:kern w:val="0"/>
                      <w:szCs w:val="21"/>
                      <w:highlight w:val="none"/>
                      <w:lang w:val="en-US" w:eastAsia="zh-CN"/>
                    </w:rPr>
                  </w:pPr>
                  <w:r>
                    <w:rPr>
                      <w:rFonts w:hint="eastAsia" w:ascii="Times New Roman" w:hAnsi="Times New Roman" w:eastAsia="宋体" w:cs="Times New Roman"/>
                      <w:b/>
                      <w:bCs/>
                      <w:color w:val="000000"/>
                      <w:kern w:val="0"/>
                      <w:szCs w:val="21"/>
                      <w:highlight w:val="none"/>
                      <w:lang w:val="en-US" w:eastAsia="zh-CN"/>
                    </w:rPr>
                    <w:t>监测结果</w:t>
                  </w:r>
                </w:p>
              </w:tc>
              <w:tc>
                <w:tcPr>
                  <w:tcW w:w="474" w:type="pct"/>
                  <w:vMerge w:val="restart"/>
                  <w:vAlign w:val="center"/>
                </w:tcPr>
                <w:p w14:paraId="1C581FDB">
                  <w:pPr>
                    <w:spacing w:line="0" w:lineRule="atLeast"/>
                    <w:jc w:val="center"/>
                    <w:rPr>
                      <w:rFonts w:hint="default" w:ascii="Times New Roman" w:hAnsi="Times New Roman" w:eastAsia="宋体" w:cs="Times New Roman"/>
                      <w:b/>
                      <w:bCs/>
                      <w:color w:val="000000"/>
                      <w:kern w:val="0"/>
                      <w:szCs w:val="21"/>
                      <w:highlight w:val="none"/>
                      <w:lang w:val="en-US" w:eastAsia="zh-CN"/>
                    </w:rPr>
                  </w:pPr>
                  <w:r>
                    <w:rPr>
                      <w:rFonts w:hint="eastAsia" w:ascii="Times New Roman" w:hAnsi="Times New Roman" w:eastAsia="宋体" w:cs="Times New Roman"/>
                      <w:b/>
                      <w:bCs/>
                      <w:color w:val="000000"/>
                      <w:kern w:val="0"/>
                      <w:szCs w:val="21"/>
                      <w:highlight w:val="none"/>
                      <w:lang w:val="en-US" w:eastAsia="zh-CN"/>
                    </w:rPr>
                    <w:t>标准值</w:t>
                  </w:r>
                </w:p>
              </w:tc>
              <w:tc>
                <w:tcPr>
                  <w:tcW w:w="558" w:type="pct"/>
                  <w:vMerge w:val="restart"/>
                  <w:vAlign w:val="center"/>
                </w:tcPr>
                <w:p w14:paraId="13C067D6">
                  <w:pPr>
                    <w:spacing w:line="0" w:lineRule="atLeast"/>
                    <w:jc w:val="center"/>
                    <w:rPr>
                      <w:rFonts w:hint="default" w:ascii="Times New Roman" w:hAnsi="Times New Roman" w:eastAsia="宋体" w:cs="Times New Roman"/>
                      <w:b/>
                      <w:bCs/>
                      <w:color w:val="000000"/>
                      <w:kern w:val="0"/>
                      <w:szCs w:val="21"/>
                      <w:highlight w:val="none"/>
                      <w:lang w:val="en-US" w:eastAsia="zh-CN"/>
                    </w:rPr>
                  </w:pPr>
                  <w:r>
                    <w:rPr>
                      <w:rFonts w:hint="eastAsia" w:ascii="Times New Roman" w:hAnsi="Times New Roman" w:eastAsia="宋体" w:cs="Times New Roman"/>
                      <w:b/>
                      <w:bCs/>
                      <w:color w:val="000000"/>
                      <w:kern w:val="0"/>
                      <w:szCs w:val="21"/>
                      <w:highlight w:val="none"/>
                      <w:lang w:val="en-US" w:eastAsia="zh-CN"/>
                    </w:rPr>
                    <w:t>达标情况</w:t>
                  </w:r>
                </w:p>
              </w:tc>
            </w:tr>
            <w:tr w14:paraId="22F25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vMerge w:val="continue"/>
                  <w:vAlign w:val="center"/>
                </w:tcPr>
                <w:p w14:paraId="0C791F09">
                  <w:pPr>
                    <w:spacing w:line="0" w:lineRule="atLeast"/>
                    <w:jc w:val="center"/>
                    <w:rPr>
                      <w:rFonts w:hint="default" w:ascii="Times New Roman" w:hAnsi="Times New Roman" w:eastAsia="宋体" w:cs="Times New Roman"/>
                      <w:color w:val="000000"/>
                      <w:kern w:val="0"/>
                      <w:szCs w:val="21"/>
                      <w:highlight w:val="none"/>
                      <w:lang w:val="en-US" w:eastAsia="zh-CN"/>
                    </w:rPr>
                  </w:pPr>
                </w:p>
              </w:tc>
              <w:tc>
                <w:tcPr>
                  <w:tcW w:w="453" w:type="pct"/>
                  <w:vMerge w:val="continue"/>
                  <w:vAlign w:val="center"/>
                </w:tcPr>
                <w:p w14:paraId="0E8DD512">
                  <w:pPr>
                    <w:spacing w:line="0" w:lineRule="atLeast"/>
                    <w:jc w:val="center"/>
                    <w:rPr>
                      <w:rFonts w:hint="default" w:ascii="Times New Roman" w:hAnsi="Times New Roman" w:eastAsia="宋体" w:cs="Times New Roman"/>
                      <w:color w:val="000000"/>
                      <w:kern w:val="0"/>
                      <w:szCs w:val="21"/>
                      <w:highlight w:val="none"/>
                      <w:lang w:val="en-US" w:eastAsia="zh-CN"/>
                    </w:rPr>
                  </w:pPr>
                </w:p>
              </w:tc>
              <w:tc>
                <w:tcPr>
                  <w:tcW w:w="777" w:type="pct"/>
                  <w:vAlign w:val="center"/>
                </w:tcPr>
                <w:p w14:paraId="189DE229">
                  <w:pPr>
                    <w:spacing w:line="0" w:lineRule="atLeast"/>
                    <w:jc w:val="center"/>
                    <w:rPr>
                      <w:rFonts w:hint="default" w:ascii="Times New Roman" w:hAnsi="Times New Roman" w:eastAsia="宋体" w:cs="Times New Roman"/>
                      <w:b/>
                      <w:bCs/>
                      <w:color w:val="000000"/>
                      <w:kern w:val="0"/>
                      <w:szCs w:val="21"/>
                      <w:highlight w:val="none"/>
                      <w:lang w:val="en-US" w:eastAsia="zh-CN"/>
                    </w:rPr>
                  </w:pPr>
                  <w:r>
                    <w:rPr>
                      <w:rFonts w:hint="eastAsia" w:ascii="Times New Roman" w:hAnsi="Times New Roman" w:eastAsia="宋体" w:cs="Times New Roman"/>
                      <w:b/>
                      <w:bCs/>
                      <w:color w:val="000000"/>
                      <w:kern w:val="0"/>
                      <w:szCs w:val="21"/>
                      <w:highlight w:val="none"/>
                      <w:lang w:val="en-US" w:eastAsia="zh-CN"/>
                    </w:rPr>
                    <w:t>第一次</w:t>
                  </w:r>
                </w:p>
              </w:tc>
              <w:tc>
                <w:tcPr>
                  <w:tcW w:w="806" w:type="pct"/>
                  <w:vAlign w:val="center"/>
                </w:tcPr>
                <w:p w14:paraId="7D549952">
                  <w:pPr>
                    <w:spacing w:line="0" w:lineRule="atLeast"/>
                    <w:jc w:val="center"/>
                    <w:rPr>
                      <w:rFonts w:hint="default" w:ascii="Times New Roman" w:hAnsi="Times New Roman" w:eastAsia="宋体" w:cs="Times New Roman"/>
                      <w:b/>
                      <w:bCs/>
                      <w:color w:val="000000"/>
                      <w:kern w:val="0"/>
                      <w:szCs w:val="21"/>
                      <w:highlight w:val="none"/>
                      <w:lang w:val="en-US" w:eastAsia="zh-CN"/>
                    </w:rPr>
                  </w:pPr>
                  <w:r>
                    <w:rPr>
                      <w:rFonts w:hint="eastAsia" w:ascii="Times New Roman" w:hAnsi="Times New Roman" w:eastAsia="宋体" w:cs="Times New Roman"/>
                      <w:b/>
                      <w:bCs/>
                      <w:color w:val="000000"/>
                      <w:kern w:val="0"/>
                      <w:szCs w:val="21"/>
                      <w:highlight w:val="none"/>
                      <w:lang w:val="en-US" w:eastAsia="zh-CN"/>
                    </w:rPr>
                    <w:t>第二次</w:t>
                  </w:r>
                </w:p>
              </w:tc>
              <w:tc>
                <w:tcPr>
                  <w:tcW w:w="796" w:type="pct"/>
                  <w:vAlign w:val="center"/>
                </w:tcPr>
                <w:p w14:paraId="124643F6">
                  <w:pPr>
                    <w:spacing w:line="0" w:lineRule="atLeast"/>
                    <w:jc w:val="center"/>
                    <w:rPr>
                      <w:rFonts w:hint="default" w:ascii="Times New Roman" w:hAnsi="Times New Roman" w:eastAsia="宋体" w:cs="Times New Roman"/>
                      <w:b/>
                      <w:bCs/>
                      <w:color w:val="000000"/>
                      <w:kern w:val="0"/>
                      <w:szCs w:val="21"/>
                      <w:highlight w:val="none"/>
                      <w:lang w:val="en-US" w:eastAsia="zh-CN"/>
                    </w:rPr>
                  </w:pPr>
                  <w:r>
                    <w:rPr>
                      <w:rFonts w:hint="eastAsia" w:ascii="Times New Roman" w:hAnsi="Times New Roman" w:eastAsia="宋体" w:cs="Times New Roman"/>
                      <w:b/>
                      <w:bCs/>
                      <w:color w:val="000000"/>
                      <w:kern w:val="0"/>
                      <w:szCs w:val="21"/>
                      <w:highlight w:val="none"/>
                      <w:lang w:val="en-US" w:eastAsia="zh-CN"/>
                    </w:rPr>
                    <w:t>第三次</w:t>
                  </w:r>
                </w:p>
              </w:tc>
              <w:tc>
                <w:tcPr>
                  <w:tcW w:w="553" w:type="pct"/>
                  <w:vAlign w:val="center"/>
                </w:tcPr>
                <w:p w14:paraId="0BBC81CA">
                  <w:pPr>
                    <w:spacing w:line="0" w:lineRule="atLeast"/>
                    <w:jc w:val="center"/>
                    <w:rPr>
                      <w:rFonts w:hint="default" w:ascii="Times New Roman" w:hAnsi="Times New Roman" w:eastAsia="宋体" w:cs="Times New Roman"/>
                      <w:b/>
                      <w:bCs/>
                      <w:color w:val="000000"/>
                      <w:kern w:val="0"/>
                      <w:szCs w:val="21"/>
                      <w:highlight w:val="none"/>
                      <w:lang w:val="en-US" w:eastAsia="zh-CN"/>
                    </w:rPr>
                  </w:pPr>
                  <w:r>
                    <w:rPr>
                      <w:rFonts w:hint="eastAsia" w:ascii="Times New Roman" w:hAnsi="Times New Roman" w:eastAsia="宋体" w:cs="Times New Roman"/>
                      <w:b/>
                      <w:bCs/>
                      <w:color w:val="000000"/>
                      <w:kern w:val="0"/>
                      <w:szCs w:val="21"/>
                      <w:highlight w:val="none"/>
                      <w:lang w:val="en-US" w:eastAsia="zh-CN"/>
                    </w:rPr>
                    <w:t>均值/范围</w:t>
                  </w:r>
                </w:p>
              </w:tc>
              <w:tc>
                <w:tcPr>
                  <w:tcW w:w="474" w:type="pct"/>
                  <w:vMerge w:val="continue"/>
                  <w:vAlign w:val="center"/>
                </w:tcPr>
                <w:p w14:paraId="2BE9EAA1">
                  <w:pPr>
                    <w:spacing w:line="0" w:lineRule="atLeast"/>
                    <w:jc w:val="center"/>
                    <w:rPr>
                      <w:rFonts w:hint="default" w:ascii="Times New Roman" w:hAnsi="Times New Roman" w:eastAsia="宋体" w:cs="Times New Roman"/>
                      <w:color w:val="000000"/>
                      <w:kern w:val="0"/>
                      <w:szCs w:val="21"/>
                      <w:highlight w:val="none"/>
                      <w:lang w:val="en-US" w:eastAsia="zh-CN"/>
                    </w:rPr>
                  </w:pPr>
                </w:p>
              </w:tc>
              <w:tc>
                <w:tcPr>
                  <w:tcW w:w="558" w:type="pct"/>
                  <w:vMerge w:val="continue"/>
                  <w:vAlign w:val="center"/>
                </w:tcPr>
                <w:p w14:paraId="3409D0B1">
                  <w:pPr>
                    <w:spacing w:line="0" w:lineRule="atLeast"/>
                    <w:jc w:val="center"/>
                    <w:rPr>
                      <w:rFonts w:hint="default" w:ascii="Times New Roman" w:hAnsi="Times New Roman" w:eastAsia="宋体" w:cs="Times New Roman"/>
                      <w:color w:val="000000"/>
                      <w:kern w:val="0"/>
                      <w:szCs w:val="21"/>
                      <w:highlight w:val="none"/>
                      <w:lang w:val="en-US" w:eastAsia="zh-CN"/>
                    </w:rPr>
                  </w:pPr>
                </w:p>
              </w:tc>
            </w:tr>
            <w:tr w14:paraId="5A58C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vAlign w:val="center"/>
                </w:tcPr>
                <w:p w14:paraId="2443A941">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pH值</w:t>
                  </w:r>
                </w:p>
              </w:tc>
              <w:tc>
                <w:tcPr>
                  <w:tcW w:w="453" w:type="pct"/>
                  <w:vAlign w:val="center"/>
                </w:tcPr>
                <w:p w14:paraId="1B9B8FD8">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w:t>
                  </w:r>
                </w:p>
              </w:tc>
              <w:tc>
                <w:tcPr>
                  <w:tcW w:w="777" w:type="pct"/>
                  <w:vAlign w:val="center"/>
                </w:tcPr>
                <w:p w14:paraId="44F5C78E">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7.3（17.5℃）</w:t>
                  </w:r>
                </w:p>
              </w:tc>
              <w:tc>
                <w:tcPr>
                  <w:tcW w:w="806" w:type="pct"/>
                  <w:vAlign w:val="center"/>
                </w:tcPr>
                <w:p w14:paraId="1D1B37CD">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7.3（18.1℃）</w:t>
                  </w:r>
                </w:p>
              </w:tc>
              <w:tc>
                <w:tcPr>
                  <w:tcW w:w="796" w:type="pct"/>
                  <w:vAlign w:val="center"/>
                </w:tcPr>
                <w:p w14:paraId="372A9981">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7.3（18.0℃）</w:t>
                  </w:r>
                </w:p>
              </w:tc>
              <w:tc>
                <w:tcPr>
                  <w:tcW w:w="553" w:type="pct"/>
                  <w:vAlign w:val="center"/>
                </w:tcPr>
                <w:p w14:paraId="555517F3">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7.3-7.4</w:t>
                  </w:r>
                </w:p>
              </w:tc>
              <w:tc>
                <w:tcPr>
                  <w:tcW w:w="474" w:type="pct"/>
                  <w:vAlign w:val="center"/>
                </w:tcPr>
                <w:p w14:paraId="74A3792A">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6-9</w:t>
                  </w:r>
                </w:p>
              </w:tc>
              <w:tc>
                <w:tcPr>
                  <w:tcW w:w="558" w:type="pct"/>
                  <w:vAlign w:val="center"/>
                </w:tcPr>
                <w:p w14:paraId="3A0EC1FD">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达标</w:t>
                  </w:r>
                </w:p>
              </w:tc>
            </w:tr>
            <w:tr w14:paraId="082AD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trPr>
              <w:tc>
                <w:tcPr>
                  <w:tcW w:w="579" w:type="pct"/>
                  <w:vAlign w:val="center"/>
                </w:tcPr>
                <w:p w14:paraId="6FD120C5">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悬浮物</w:t>
                  </w:r>
                </w:p>
              </w:tc>
              <w:tc>
                <w:tcPr>
                  <w:tcW w:w="453" w:type="pct"/>
                  <w:vAlign w:val="center"/>
                </w:tcPr>
                <w:p w14:paraId="234EC2AD">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mg/L</w:t>
                  </w:r>
                </w:p>
              </w:tc>
              <w:tc>
                <w:tcPr>
                  <w:tcW w:w="777" w:type="pct"/>
                  <w:vAlign w:val="center"/>
                </w:tcPr>
                <w:p w14:paraId="36088988">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5</w:t>
                  </w:r>
                </w:p>
              </w:tc>
              <w:tc>
                <w:tcPr>
                  <w:tcW w:w="806" w:type="pct"/>
                  <w:vAlign w:val="center"/>
                </w:tcPr>
                <w:p w14:paraId="26C3C021">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7</w:t>
                  </w:r>
                </w:p>
              </w:tc>
              <w:tc>
                <w:tcPr>
                  <w:tcW w:w="796" w:type="pct"/>
                  <w:vAlign w:val="center"/>
                </w:tcPr>
                <w:p w14:paraId="50A8424B">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8</w:t>
                  </w:r>
                </w:p>
              </w:tc>
              <w:tc>
                <w:tcPr>
                  <w:tcW w:w="553" w:type="pct"/>
                  <w:vAlign w:val="center"/>
                </w:tcPr>
                <w:p w14:paraId="13BC0E4B">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7</w:t>
                  </w:r>
                </w:p>
              </w:tc>
              <w:tc>
                <w:tcPr>
                  <w:tcW w:w="474" w:type="pct"/>
                  <w:vAlign w:val="center"/>
                </w:tcPr>
                <w:p w14:paraId="1458E9BD">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10</w:t>
                  </w:r>
                </w:p>
              </w:tc>
              <w:tc>
                <w:tcPr>
                  <w:tcW w:w="558" w:type="pct"/>
                  <w:vAlign w:val="center"/>
                </w:tcPr>
                <w:p w14:paraId="2E233941">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达标</w:t>
                  </w:r>
                </w:p>
              </w:tc>
            </w:tr>
            <w:tr w14:paraId="2C8F1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vAlign w:val="center"/>
                </w:tcPr>
                <w:p w14:paraId="5C9E14A9">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总磷（以P计）</w:t>
                  </w:r>
                </w:p>
              </w:tc>
              <w:tc>
                <w:tcPr>
                  <w:tcW w:w="453" w:type="pct"/>
                  <w:vAlign w:val="center"/>
                </w:tcPr>
                <w:p w14:paraId="560AFE82">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mg/L</w:t>
                  </w:r>
                </w:p>
              </w:tc>
              <w:tc>
                <w:tcPr>
                  <w:tcW w:w="777" w:type="pct"/>
                  <w:vAlign w:val="center"/>
                </w:tcPr>
                <w:p w14:paraId="179D38DA">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0.07</w:t>
                  </w:r>
                </w:p>
              </w:tc>
              <w:tc>
                <w:tcPr>
                  <w:tcW w:w="806" w:type="pct"/>
                  <w:vAlign w:val="center"/>
                </w:tcPr>
                <w:p w14:paraId="39F33711">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0.05</w:t>
                  </w:r>
                </w:p>
              </w:tc>
              <w:tc>
                <w:tcPr>
                  <w:tcW w:w="796" w:type="pct"/>
                  <w:vAlign w:val="center"/>
                </w:tcPr>
                <w:p w14:paraId="4E6DD302">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0.06</w:t>
                  </w:r>
                </w:p>
              </w:tc>
              <w:tc>
                <w:tcPr>
                  <w:tcW w:w="553" w:type="pct"/>
                  <w:vAlign w:val="center"/>
                </w:tcPr>
                <w:p w14:paraId="4B28BB50">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0.06</w:t>
                  </w:r>
                </w:p>
              </w:tc>
              <w:tc>
                <w:tcPr>
                  <w:tcW w:w="474" w:type="pct"/>
                  <w:vAlign w:val="center"/>
                </w:tcPr>
                <w:p w14:paraId="7116D07D">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0.5</w:t>
                  </w:r>
                </w:p>
              </w:tc>
              <w:tc>
                <w:tcPr>
                  <w:tcW w:w="558" w:type="pct"/>
                  <w:vAlign w:val="center"/>
                </w:tcPr>
                <w:p w14:paraId="0787DE92">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达标</w:t>
                  </w:r>
                </w:p>
              </w:tc>
            </w:tr>
            <w:tr w14:paraId="559A7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vAlign w:val="center"/>
                </w:tcPr>
                <w:p w14:paraId="0FD76EA0">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化学需氧量</w:t>
                  </w:r>
                </w:p>
              </w:tc>
              <w:tc>
                <w:tcPr>
                  <w:tcW w:w="453" w:type="pct"/>
                  <w:vAlign w:val="center"/>
                </w:tcPr>
                <w:p w14:paraId="4589A637">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mg/L</w:t>
                  </w:r>
                </w:p>
              </w:tc>
              <w:tc>
                <w:tcPr>
                  <w:tcW w:w="777" w:type="pct"/>
                  <w:vAlign w:val="center"/>
                </w:tcPr>
                <w:p w14:paraId="4B9D8DD4">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31</w:t>
                  </w:r>
                </w:p>
              </w:tc>
              <w:tc>
                <w:tcPr>
                  <w:tcW w:w="806" w:type="pct"/>
                  <w:vAlign w:val="center"/>
                </w:tcPr>
                <w:p w14:paraId="1677457F">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27</w:t>
                  </w:r>
                </w:p>
              </w:tc>
              <w:tc>
                <w:tcPr>
                  <w:tcW w:w="796" w:type="pct"/>
                  <w:vAlign w:val="center"/>
                </w:tcPr>
                <w:p w14:paraId="302F3474">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29</w:t>
                  </w:r>
                </w:p>
              </w:tc>
              <w:tc>
                <w:tcPr>
                  <w:tcW w:w="553" w:type="pct"/>
                  <w:vAlign w:val="center"/>
                </w:tcPr>
                <w:p w14:paraId="534703ED">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29</w:t>
                  </w:r>
                </w:p>
              </w:tc>
              <w:tc>
                <w:tcPr>
                  <w:tcW w:w="474" w:type="pct"/>
                  <w:vAlign w:val="center"/>
                </w:tcPr>
                <w:p w14:paraId="7C25FB2E">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50</w:t>
                  </w:r>
                </w:p>
              </w:tc>
              <w:tc>
                <w:tcPr>
                  <w:tcW w:w="558" w:type="pct"/>
                  <w:vAlign w:val="center"/>
                </w:tcPr>
                <w:p w14:paraId="7583D907">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达标</w:t>
                  </w:r>
                </w:p>
              </w:tc>
            </w:tr>
            <w:tr w14:paraId="5ABCA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vAlign w:val="center"/>
                </w:tcPr>
                <w:p w14:paraId="6D73AC02">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五日生化需氧量</w:t>
                  </w:r>
                </w:p>
              </w:tc>
              <w:tc>
                <w:tcPr>
                  <w:tcW w:w="453" w:type="pct"/>
                  <w:vAlign w:val="center"/>
                </w:tcPr>
                <w:p w14:paraId="5E0258B5">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mg/L</w:t>
                  </w:r>
                </w:p>
              </w:tc>
              <w:tc>
                <w:tcPr>
                  <w:tcW w:w="777" w:type="pct"/>
                  <w:vAlign w:val="center"/>
                </w:tcPr>
                <w:p w14:paraId="7CC86D98">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7.8</w:t>
                  </w:r>
                </w:p>
              </w:tc>
              <w:tc>
                <w:tcPr>
                  <w:tcW w:w="806" w:type="pct"/>
                  <w:vAlign w:val="center"/>
                </w:tcPr>
                <w:p w14:paraId="026E7A15">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7.0</w:t>
                  </w:r>
                </w:p>
              </w:tc>
              <w:tc>
                <w:tcPr>
                  <w:tcW w:w="796" w:type="pct"/>
                  <w:vAlign w:val="center"/>
                </w:tcPr>
                <w:p w14:paraId="57F5BA88">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7.5</w:t>
                  </w:r>
                </w:p>
              </w:tc>
              <w:tc>
                <w:tcPr>
                  <w:tcW w:w="553" w:type="pct"/>
                  <w:vAlign w:val="center"/>
                </w:tcPr>
                <w:p w14:paraId="1EA0A526">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7.4</w:t>
                  </w:r>
                </w:p>
              </w:tc>
              <w:tc>
                <w:tcPr>
                  <w:tcW w:w="474" w:type="pct"/>
                  <w:vAlign w:val="center"/>
                </w:tcPr>
                <w:p w14:paraId="13539B27">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10</w:t>
                  </w:r>
                </w:p>
              </w:tc>
              <w:tc>
                <w:tcPr>
                  <w:tcW w:w="558" w:type="pct"/>
                  <w:vAlign w:val="center"/>
                </w:tcPr>
                <w:p w14:paraId="62616A1F">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达标</w:t>
                  </w:r>
                </w:p>
              </w:tc>
            </w:tr>
            <w:tr w14:paraId="349F5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vAlign w:val="center"/>
                </w:tcPr>
                <w:p w14:paraId="415AD9FE">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氨氮（以N计）</w:t>
                  </w:r>
                </w:p>
              </w:tc>
              <w:tc>
                <w:tcPr>
                  <w:tcW w:w="453" w:type="pct"/>
                  <w:vAlign w:val="center"/>
                </w:tcPr>
                <w:p w14:paraId="03A05B57">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mg/L</w:t>
                  </w:r>
                </w:p>
              </w:tc>
              <w:tc>
                <w:tcPr>
                  <w:tcW w:w="777" w:type="pct"/>
                  <w:vAlign w:val="center"/>
                </w:tcPr>
                <w:p w14:paraId="7E7E3157">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1.22</w:t>
                  </w:r>
                </w:p>
              </w:tc>
              <w:tc>
                <w:tcPr>
                  <w:tcW w:w="806" w:type="pct"/>
                  <w:vAlign w:val="center"/>
                </w:tcPr>
                <w:p w14:paraId="516F0770">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1.20</w:t>
                  </w:r>
                </w:p>
              </w:tc>
              <w:tc>
                <w:tcPr>
                  <w:tcW w:w="796" w:type="pct"/>
                  <w:vAlign w:val="center"/>
                </w:tcPr>
                <w:p w14:paraId="00CA8422">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1.19</w:t>
                  </w:r>
                </w:p>
              </w:tc>
              <w:tc>
                <w:tcPr>
                  <w:tcW w:w="553" w:type="pct"/>
                  <w:vAlign w:val="center"/>
                </w:tcPr>
                <w:p w14:paraId="469A5BD1">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1.20</w:t>
                  </w:r>
                </w:p>
              </w:tc>
              <w:tc>
                <w:tcPr>
                  <w:tcW w:w="474" w:type="pct"/>
                  <w:vAlign w:val="center"/>
                </w:tcPr>
                <w:p w14:paraId="7E43023D">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5</w:t>
                  </w:r>
                </w:p>
              </w:tc>
              <w:tc>
                <w:tcPr>
                  <w:tcW w:w="558" w:type="pct"/>
                  <w:vAlign w:val="center"/>
                </w:tcPr>
                <w:p w14:paraId="6EDCF710">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达标</w:t>
                  </w:r>
                </w:p>
              </w:tc>
            </w:tr>
            <w:tr w14:paraId="7D14E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vAlign w:val="center"/>
                </w:tcPr>
                <w:p w14:paraId="48C6B638">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总氮（以N计）</w:t>
                  </w:r>
                </w:p>
              </w:tc>
              <w:tc>
                <w:tcPr>
                  <w:tcW w:w="453" w:type="pct"/>
                  <w:vAlign w:val="center"/>
                </w:tcPr>
                <w:p w14:paraId="710E9DFA">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mg/L</w:t>
                  </w:r>
                </w:p>
              </w:tc>
              <w:tc>
                <w:tcPr>
                  <w:tcW w:w="777" w:type="pct"/>
                  <w:vAlign w:val="center"/>
                </w:tcPr>
                <w:p w14:paraId="43BD50EF">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9.24</w:t>
                  </w:r>
                </w:p>
              </w:tc>
              <w:tc>
                <w:tcPr>
                  <w:tcW w:w="806" w:type="pct"/>
                  <w:vAlign w:val="center"/>
                </w:tcPr>
                <w:p w14:paraId="53DC047A">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9.41</w:t>
                  </w:r>
                </w:p>
              </w:tc>
              <w:tc>
                <w:tcPr>
                  <w:tcW w:w="796" w:type="pct"/>
                  <w:vAlign w:val="center"/>
                </w:tcPr>
                <w:p w14:paraId="0B7F795C">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9.08</w:t>
                  </w:r>
                </w:p>
              </w:tc>
              <w:tc>
                <w:tcPr>
                  <w:tcW w:w="553" w:type="pct"/>
                  <w:vAlign w:val="center"/>
                </w:tcPr>
                <w:p w14:paraId="2E447BB4">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9.24</w:t>
                  </w:r>
                </w:p>
              </w:tc>
              <w:tc>
                <w:tcPr>
                  <w:tcW w:w="474" w:type="pct"/>
                  <w:vAlign w:val="center"/>
                </w:tcPr>
                <w:p w14:paraId="6C52649B">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15</w:t>
                  </w:r>
                </w:p>
              </w:tc>
              <w:tc>
                <w:tcPr>
                  <w:tcW w:w="558" w:type="pct"/>
                  <w:vAlign w:val="center"/>
                </w:tcPr>
                <w:p w14:paraId="4CCC8ACB">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达标</w:t>
                  </w:r>
                </w:p>
              </w:tc>
            </w:tr>
          </w:tbl>
          <w:p w14:paraId="71AEB342">
            <w:pPr>
              <w:pStyle w:val="14"/>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kern w:val="2"/>
                <w:sz w:val="24"/>
                <w:szCs w:val="24"/>
                <w:highlight w:val="none"/>
                <w:lang w:val="en-US" w:eastAsia="zh-CN" w:bidi="ar-SA"/>
              </w:rPr>
            </w:pPr>
            <w:r>
              <w:rPr>
                <w:rFonts w:hint="eastAsia" w:ascii="Times New Roman" w:hAnsi="Times New Roman" w:eastAsia="宋体" w:cs="Times New Roman"/>
                <w:kern w:val="2"/>
                <w:sz w:val="24"/>
                <w:szCs w:val="24"/>
                <w:highlight w:val="none"/>
                <w:lang w:val="en-US" w:eastAsia="zh-CN" w:bidi="ar-SA"/>
              </w:rPr>
              <w:t>综上，污水处理站出水满足《城镇污水处理厂污染物排放标准》（GB18918-2002）表1中一级A标准。</w:t>
            </w:r>
          </w:p>
          <w:p w14:paraId="11FA333E">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sz w:val="24"/>
                <w:szCs w:val="24"/>
                <w:highlight w:val="none"/>
                <w:lang w:val="en-US" w:eastAsia="zh-CN"/>
              </w:rPr>
            </w:pPr>
            <w:r>
              <w:rPr>
                <w:rFonts w:hint="eastAsia" w:ascii="Times New Roman" w:hAnsi="Times New Roman" w:cs="Times New Roman"/>
                <w:b w:val="0"/>
                <w:bCs w:val="0"/>
                <w:sz w:val="24"/>
                <w:szCs w:val="24"/>
                <w:highlight w:val="none"/>
                <w:lang w:val="en-US" w:eastAsia="zh-CN"/>
              </w:rPr>
              <w:t>（3）噪声</w:t>
            </w:r>
          </w:p>
          <w:p w14:paraId="6204C775">
            <w:pPr>
              <w:pStyle w:val="14"/>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kern w:val="2"/>
                <w:sz w:val="24"/>
                <w:szCs w:val="24"/>
                <w:highlight w:val="none"/>
                <w:lang w:val="en-US" w:eastAsia="zh-CN" w:bidi="ar-SA"/>
              </w:rPr>
            </w:pPr>
            <w:r>
              <w:rPr>
                <w:rFonts w:hint="eastAsia" w:ascii="Times New Roman" w:hAnsi="Times New Roman" w:eastAsia="宋体" w:cs="Times New Roman"/>
                <w:kern w:val="2"/>
                <w:sz w:val="24"/>
                <w:szCs w:val="24"/>
                <w:highlight w:val="none"/>
                <w:lang w:val="en-US" w:eastAsia="zh-CN" w:bidi="ar-SA"/>
              </w:rPr>
              <w:t>运营期噪声主要为干燥机、磋磨机、过滤机等设备噪声以及风机、泵类、车辆运输等；</w:t>
            </w:r>
          </w:p>
          <w:p w14:paraId="00BC107E">
            <w:pPr>
              <w:pStyle w:val="14"/>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kern w:val="2"/>
                <w:sz w:val="24"/>
                <w:szCs w:val="24"/>
                <w:highlight w:val="none"/>
                <w:lang w:val="en-US" w:eastAsia="zh-CN" w:bidi="ar-SA"/>
              </w:rPr>
            </w:pPr>
            <w:r>
              <w:rPr>
                <w:rFonts w:hint="eastAsia" w:ascii="Times New Roman" w:hAnsi="Times New Roman" w:eastAsia="宋体" w:cs="Times New Roman"/>
                <w:kern w:val="2"/>
                <w:sz w:val="24"/>
                <w:szCs w:val="24"/>
                <w:highlight w:val="none"/>
                <w:lang w:val="en-US" w:eastAsia="zh-CN" w:bidi="ar-SA"/>
              </w:rPr>
              <w:t>采取的治理措施：生产设备、风机、泵类均位于封闭的生产车间内；设备基础减震；车辆减速慢行。</w:t>
            </w:r>
          </w:p>
          <w:p w14:paraId="400B0733">
            <w:pPr>
              <w:pStyle w:val="14"/>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kern w:val="0"/>
                <w:sz w:val="24"/>
                <w:highlight w:val="none"/>
                <w:lang w:val="en-US" w:eastAsia="zh-CN"/>
              </w:rPr>
            </w:pPr>
            <w:r>
              <w:rPr>
                <w:rFonts w:hint="eastAsia" w:ascii="Times New Roman" w:hAnsi="Times New Roman" w:eastAsia="宋体" w:cs="Times New Roman"/>
                <w:kern w:val="2"/>
                <w:sz w:val="24"/>
                <w:szCs w:val="24"/>
                <w:highlight w:val="none"/>
                <w:lang w:val="en-US" w:eastAsia="zh-CN" w:bidi="ar-SA"/>
              </w:rPr>
              <w:t>污染物达标排放情况：</w:t>
            </w:r>
            <w:r>
              <w:rPr>
                <w:rFonts w:hint="eastAsia" w:ascii="Times New Roman" w:hAnsi="Times New Roman" w:eastAsia="宋体" w:cs="Times New Roman"/>
                <w:sz w:val="24"/>
                <w:highlight w:val="none"/>
                <w:lang w:val="en-US" w:eastAsia="zh-CN"/>
              </w:rPr>
              <w:t>企业委托承德卓远环境监测有限公司于2024年9月11日对噪声进行监测并出具监测报告：CDZY自行监测【2021】1102号；</w:t>
            </w:r>
            <w:r>
              <w:rPr>
                <w:rFonts w:hint="eastAsia"/>
                <w:kern w:val="0"/>
                <w:sz w:val="24"/>
                <w:highlight w:val="none"/>
                <w:lang w:val="en-US" w:eastAsia="zh-CN"/>
              </w:rPr>
              <w:t>废水检测结果如下；</w:t>
            </w:r>
          </w:p>
          <w:p w14:paraId="40CEC55F">
            <w:pPr>
              <w:pStyle w:val="50"/>
              <w:numPr>
                <w:ilvl w:val="0"/>
                <w:numId w:val="6"/>
              </w:numPr>
              <w:spacing w:line="360" w:lineRule="auto"/>
              <w:ind w:left="0" w:firstLine="0" w:firstLineChars="0"/>
              <w:jc w:val="center"/>
              <w:rPr>
                <w:rFonts w:ascii="宋体" w:hAnsi="宋体" w:eastAsia="宋体"/>
                <w:b/>
                <w:sz w:val="21"/>
                <w:highlight w:val="none"/>
              </w:rPr>
            </w:pPr>
            <w:r>
              <w:rPr>
                <w:rFonts w:hint="eastAsia" w:ascii="宋体" w:hAnsi="宋体" w:eastAsia="宋体"/>
                <w:b/>
                <w:sz w:val="21"/>
                <w:highlight w:val="none"/>
                <w:lang w:val="en-US" w:eastAsia="zh-CN"/>
              </w:rPr>
              <w:t>噪声检测结果一览表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5"/>
              <w:gridCol w:w="557"/>
              <w:gridCol w:w="2233"/>
              <w:gridCol w:w="1697"/>
              <w:gridCol w:w="1093"/>
              <w:gridCol w:w="1395"/>
            </w:tblGrid>
            <w:tr w14:paraId="78454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1395" w:type="dxa"/>
                  <w:vAlign w:val="center"/>
                </w:tcPr>
                <w:p w14:paraId="6CF32A9C">
                  <w:pPr>
                    <w:spacing w:line="0" w:lineRule="atLeast"/>
                    <w:jc w:val="center"/>
                    <w:rPr>
                      <w:rFonts w:hint="default" w:ascii="Times New Roman" w:hAnsi="Times New Roman" w:eastAsia="宋体" w:cs="Times New Roman"/>
                      <w:b/>
                      <w:bCs/>
                      <w:color w:val="000000"/>
                      <w:kern w:val="0"/>
                      <w:szCs w:val="21"/>
                      <w:highlight w:val="none"/>
                      <w:lang w:val="en-US" w:eastAsia="zh-CN"/>
                    </w:rPr>
                  </w:pPr>
                  <w:r>
                    <w:rPr>
                      <w:rFonts w:hint="eastAsia" w:ascii="Times New Roman" w:hAnsi="Times New Roman" w:eastAsia="宋体" w:cs="Times New Roman"/>
                      <w:b/>
                      <w:bCs/>
                      <w:color w:val="000000"/>
                      <w:kern w:val="0"/>
                      <w:szCs w:val="21"/>
                      <w:highlight w:val="none"/>
                      <w:lang w:val="en-US" w:eastAsia="zh-CN"/>
                    </w:rPr>
                    <w:t>检测点位</w:t>
                  </w:r>
                </w:p>
              </w:tc>
              <w:tc>
                <w:tcPr>
                  <w:tcW w:w="2790" w:type="dxa"/>
                  <w:gridSpan w:val="2"/>
                  <w:vAlign w:val="center"/>
                </w:tcPr>
                <w:p w14:paraId="25DB1259">
                  <w:pPr>
                    <w:spacing w:line="0" w:lineRule="atLeast"/>
                    <w:jc w:val="center"/>
                    <w:rPr>
                      <w:rFonts w:hint="default" w:ascii="Times New Roman" w:hAnsi="Times New Roman" w:eastAsia="宋体" w:cs="Times New Roman"/>
                      <w:b/>
                      <w:bCs/>
                      <w:color w:val="000000"/>
                      <w:kern w:val="0"/>
                      <w:szCs w:val="21"/>
                      <w:highlight w:val="none"/>
                      <w:lang w:val="en-US" w:eastAsia="zh-CN"/>
                    </w:rPr>
                  </w:pPr>
                  <w:r>
                    <w:rPr>
                      <w:rFonts w:hint="eastAsia" w:ascii="Times New Roman" w:hAnsi="Times New Roman" w:eastAsia="宋体" w:cs="Times New Roman"/>
                      <w:b/>
                      <w:bCs/>
                      <w:color w:val="000000"/>
                      <w:kern w:val="0"/>
                      <w:szCs w:val="21"/>
                      <w:highlight w:val="none"/>
                      <w:lang w:val="en-US" w:eastAsia="zh-CN"/>
                    </w:rPr>
                    <w:t>测量时段</w:t>
                  </w:r>
                </w:p>
              </w:tc>
              <w:tc>
                <w:tcPr>
                  <w:tcW w:w="1697" w:type="dxa"/>
                  <w:vAlign w:val="center"/>
                </w:tcPr>
                <w:p w14:paraId="0C8FFE9E">
                  <w:pPr>
                    <w:spacing w:line="0" w:lineRule="atLeast"/>
                    <w:jc w:val="center"/>
                    <w:rPr>
                      <w:rFonts w:hint="eastAsia" w:ascii="Times New Roman" w:hAnsi="Times New Roman" w:eastAsia="宋体" w:cs="Times New Roman"/>
                      <w:b/>
                      <w:bCs/>
                      <w:color w:val="000000"/>
                      <w:kern w:val="0"/>
                      <w:szCs w:val="21"/>
                      <w:highlight w:val="none"/>
                      <w:lang w:val="en-US" w:eastAsia="zh-CN"/>
                    </w:rPr>
                  </w:pPr>
                  <w:r>
                    <w:rPr>
                      <w:rFonts w:hint="eastAsia" w:ascii="Times New Roman" w:hAnsi="Times New Roman" w:eastAsia="宋体" w:cs="Times New Roman"/>
                      <w:b/>
                      <w:bCs/>
                      <w:color w:val="000000"/>
                      <w:kern w:val="0"/>
                      <w:szCs w:val="21"/>
                      <w:highlight w:val="none"/>
                      <w:lang w:val="en-US" w:eastAsia="zh-CN"/>
                    </w:rPr>
                    <w:t>测量结果Leq</w:t>
                  </w:r>
                </w:p>
                <w:p w14:paraId="335E261C">
                  <w:pPr>
                    <w:spacing w:line="0" w:lineRule="atLeast"/>
                    <w:jc w:val="center"/>
                    <w:rPr>
                      <w:rFonts w:hint="default" w:ascii="Times New Roman" w:hAnsi="Times New Roman" w:eastAsia="宋体" w:cs="Times New Roman"/>
                      <w:b/>
                      <w:bCs/>
                      <w:color w:val="000000"/>
                      <w:kern w:val="0"/>
                      <w:szCs w:val="21"/>
                      <w:highlight w:val="none"/>
                      <w:lang w:val="en-US" w:eastAsia="zh-CN"/>
                    </w:rPr>
                  </w:pPr>
                  <w:r>
                    <w:rPr>
                      <w:rFonts w:hint="eastAsia" w:ascii="Times New Roman" w:hAnsi="Times New Roman" w:eastAsia="宋体" w:cs="Times New Roman"/>
                      <w:b/>
                      <w:bCs/>
                      <w:color w:val="000000"/>
                      <w:kern w:val="0"/>
                      <w:szCs w:val="21"/>
                      <w:highlight w:val="none"/>
                      <w:lang w:val="en-US" w:eastAsia="zh-CN"/>
                    </w:rPr>
                    <w:t>dB（A）</w:t>
                  </w:r>
                </w:p>
              </w:tc>
              <w:tc>
                <w:tcPr>
                  <w:tcW w:w="1093" w:type="dxa"/>
                  <w:vAlign w:val="center"/>
                </w:tcPr>
                <w:p w14:paraId="7F6AA2E0">
                  <w:pPr>
                    <w:spacing w:line="0" w:lineRule="atLeast"/>
                    <w:jc w:val="center"/>
                    <w:rPr>
                      <w:rFonts w:hint="default" w:ascii="Times New Roman" w:hAnsi="Times New Roman" w:eastAsia="宋体" w:cs="Times New Roman"/>
                      <w:b/>
                      <w:bCs/>
                      <w:color w:val="000000"/>
                      <w:kern w:val="0"/>
                      <w:szCs w:val="21"/>
                      <w:highlight w:val="none"/>
                      <w:lang w:val="en-US" w:eastAsia="zh-CN"/>
                    </w:rPr>
                  </w:pPr>
                  <w:r>
                    <w:rPr>
                      <w:rFonts w:hint="eastAsia" w:ascii="Times New Roman" w:hAnsi="Times New Roman" w:eastAsia="宋体" w:cs="Times New Roman"/>
                      <w:b/>
                      <w:bCs/>
                      <w:color w:val="000000"/>
                      <w:kern w:val="0"/>
                      <w:szCs w:val="21"/>
                      <w:highlight w:val="none"/>
                      <w:lang w:val="en-US" w:eastAsia="zh-CN"/>
                    </w:rPr>
                    <w:t>标准限值dB（A）</w:t>
                  </w:r>
                </w:p>
              </w:tc>
              <w:tc>
                <w:tcPr>
                  <w:tcW w:w="1395" w:type="dxa"/>
                  <w:vAlign w:val="center"/>
                </w:tcPr>
                <w:p w14:paraId="4AA5AD47">
                  <w:pPr>
                    <w:spacing w:line="0" w:lineRule="atLeast"/>
                    <w:jc w:val="center"/>
                    <w:rPr>
                      <w:rFonts w:hint="default" w:ascii="Times New Roman" w:hAnsi="Times New Roman" w:eastAsia="宋体" w:cs="Times New Roman"/>
                      <w:b/>
                      <w:bCs/>
                      <w:color w:val="000000"/>
                      <w:kern w:val="0"/>
                      <w:szCs w:val="21"/>
                      <w:highlight w:val="none"/>
                      <w:lang w:val="en-US" w:eastAsia="zh-CN"/>
                    </w:rPr>
                  </w:pPr>
                  <w:r>
                    <w:rPr>
                      <w:rFonts w:hint="eastAsia" w:ascii="Times New Roman" w:hAnsi="Times New Roman" w:eastAsia="宋体" w:cs="Times New Roman"/>
                      <w:b/>
                      <w:bCs/>
                      <w:color w:val="000000"/>
                      <w:kern w:val="0"/>
                      <w:szCs w:val="21"/>
                      <w:highlight w:val="none"/>
                      <w:lang w:val="en-US" w:eastAsia="zh-CN"/>
                    </w:rPr>
                    <w:t>达标情况</w:t>
                  </w:r>
                </w:p>
              </w:tc>
            </w:tr>
            <w:tr w14:paraId="22384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5" w:type="dxa"/>
                  <w:vAlign w:val="center"/>
                </w:tcPr>
                <w:p w14:paraId="75FEBF21">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1#南厂界</w:t>
                  </w:r>
                </w:p>
              </w:tc>
              <w:tc>
                <w:tcPr>
                  <w:tcW w:w="557" w:type="dxa"/>
                  <w:vMerge w:val="restart"/>
                  <w:vAlign w:val="center"/>
                </w:tcPr>
                <w:p w14:paraId="69DCBB8F">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昼间</w:t>
                  </w:r>
                </w:p>
              </w:tc>
              <w:tc>
                <w:tcPr>
                  <w:tcW w:w="2233" w:type="dxa"/>
                  <w:vAlign w:val="center"/>
                </w:tcPr>
                <w:p w14:paraId="6ECB033F">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11时20分-11时30分</w:t>
                  </w:r>
                </w:p>
              </w:tc>
              <w:tc>
                <w:tcPr>
                  <w:tcW w:w="1697" w:type="dxa"/>
                  <w:vAlign w:val="center"/>
                </w:tcPr>
                <w:p w14:paraId="51E93DA3">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56</w:t>
                  </w:r>
                </w:p>
              </w:tc>
              <w:tc>
                <w:tcPr>
                  <w:tcW w:w="1093" w:type="dxa"/>
                  <w:vAlign w:val="center"/>
                </w:tcPr>
                <w:p w14:paraId="0B211DB5">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60</w:t>
                  </w:r>
                </w:p>
              </w:tc>
              <w:tc>
                <w:tcPr>
                  <w:tcW w:w="1395" w:type="dxa"/>
                  <w:vAlign w:val="center"/>
                </w:tcPr>
                <w:p w14:paraId="15E7092E">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达标</w:t>
                  </w:r>
                </w:p>
              </w:tc>
            </w:tr>
            <w:tr w14:paraId="0EDE0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5" w:type="dxa"/>
                  <w:vAlign w:val="center"/>
                </w:tcPr>
                <w:p w14:paraId="44489D22">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2#东厂界</w:t>
                  </w:r>
                </w:p>
              </w:tc>
              <w:tc>
                <w:tcPr>
                  <w:tcW w:w="557" w:type="dxa"/>
                  <w:vMerge w:val="continue"/>
                  <w:vAlign w:val="center"/>
                </w:tcPr>
                <w:p w14:paraId="6344F6F6">
                  <w:pPr>
                    <w:spacing w:line="0" w:lineRule="atLeast"/>
                    <w:jc w:val="center"/>
                    <w:rPr>
                      <w:rFonts w:hint="default" w:ascii="Times New Roman" w:hAnsi="Times New Roman" w:eastAsia="宋体" w:cs="Times New Roman"/>
                      <w:color w:val="000000"/>
                      <w:kern w:val="0"/>
                      <w:szCs w:val="21"/>
                      <w:highlight w:val="none"/>
                      <w:lang w:val="en-US" w:eastAsia="zh-CN"/>
                    </w:rPr>
                  </w:pPr>
                </w:p>
              </w:tc>
              <w:tc>
                <w:tcPr>
                  <w:tcW w:w="2233" w:type="dxa"/>
                  <w:vAlign w:val="center"/>
                </w:tcPr>
                <w:p w14:paraId="02201611">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11时36分-11时46分</w:t>
                  </w:r>
                </w:p>
              </w:tc>
              <w:tc>
                <w:tcPr>
                  <w:tcW w:w="1697" w:type="dxa"/>
                  <w:vAlign w:val="center"/>
                </w:tcPr>
                <w:p w14:paraId="1F5502E1">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54</w:t>
                  </w:r>
                </w:p>
              </w:tc>
              <w:tc>
                <w:tcPr>
                  <w:tcW w:w="1093" w:type="dxa"/>
                  <w:vAlign w:val="center"/>
                </w:tcPr>
                <w:p w14:paraId="343BF77A">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60</w:t>
                  </w:r>
                </w:p>
              </w:tc>
              <w:tc>
                <w:tcPr>
                  <w:tcW w:w="1395" w:type="dxa"/>
                  <w:vAlign w:val="center"/>
                </w:tcPr>
                <w:p w14:paraId="6C01065B">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达标</w:t>
                  </w:r>
                </w:p>
              </w:tc>
            </w:tr>
            <w:tr w14:paraId="42383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5" w:type="dxa"/>
                  <w:vAlign w:val="center"/>
                </w:tcPr>
                <w:p w14:paraId="4824F085">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3#北厂界</w:t>
                  </w:r>
                </w:p>
              </w:tc>
              <w:tc>
                <w:tcPr>
                  <w:tcW w:w="557" w:type="dxa"/>
                  <w:vMerge w:val="continue"/>
                  <w:vAlign w:val="center"/>
                </w:tcPr>
                <w:p w14:paraId="64CFA50F">
                  <w:pPr>
                    <w:spacing w:line="0" w:lineRule="atLeast"/>
                    <w:jc w:val="center"/>
                    <w:rPr>
                      <w:rFonts w:hint="default" w:ascii="Times New Roman" w:hAnsi="Times New Roman" w:eastAsia="宋体" w:cs="Times New Roman"/>
                      <w:color w:val="000000"/>
                      <w:kern w:val="0"/>
                      <w:szCs w:val="21"/>
                      <w:highlight w:val="none"/>
                      <w:lang w:val="en-US" w:eastAsia="zh-CN"/>
                    </w:rPr>
                  </w:pPr>
                </w:p>
              </w:tc>
              <w:tc>
                <w:tcPr>
                  <w:tcW w:w="2233" w:type="dxa"/>
                  <w:vAlign w:val="center"/>
                </w:tcPr>
                <w:p w14:paraId="233EB154">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11时50分-12时00分</w:t>
                  </w:r>
                </w:p>
              </w:tc>
              <w:tc>
                <w:tcPr>
                  <w:tcW w:w="1697" w:type="dxa"/>
                  <w:vAlign w:val="center"/>
                </w:tcPr>
                <w:p w14:paraId="080FE131">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51</w:t>
                  </w:r>
                </w:p>
              </w:tc>
              <w:tc>
                <w:tcPr>
                  <w:tcW w:w="1093" w:type="dxa"/>
                  <w:vAlign w:val="center"/>
                </w:tcPr>
                <w:p w14:paraId="028BF5B5">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60</w:t>
                  </w:r>
                </w:p>
              </w:tc>
              <w:tc>
                <w:tcPr>
                  <w:tcW w:w="1395" w:type="dxa"/>
                  <w:vAlign w:val="center"/>
                </w:tcPr>
                <w:p w14:paraId="76770B8A">
                  <w:pPr>
                    <w:spacing w:line="0" w:lineRule="atLeast"/>
                    <w:jc w:val="center"/>
                    <w:rPr>
                      <w:rFonts w:hint="default" w:ascii="Times New Roman" w:hAnsi="Times New Roman" w:eastAsia="宋体" w:cs="Times New Roman"/>
                      <w:color w:val="000000"/>
                      <w:kern w:val="0"/>
                      <w:szCs w:val="21"/>
                      <w:highlight w:val="none"/>
                      <w:lang w:val="en-US" w:eastAsia="zh-CN"/>
                    </w:rPr>
                  </w:pPr>
                  <w:r>
                    <w:rPr>
                      <w:rFonts w:hint="eastAsia" w:ascii="Times New Roman" w:hAnsi="Times New Roman" w:eastAsia="宋体" w:cs="Times New Roman"/>
                      <w:color w:val="000000"/>
                      <w:kern w:val="0"/>
                      <w:szCs w:val="21"/>
                      <w:highlight w:val="none"/>
                      <w:lang w:val="en-US" w:eastAsia="zh-CN"/>
                    </w:rPr>
                    <w:t>达标</w:t>
                  </w:r>
                </w:p>
              </w:tc>
            </w:tr>
          </w:tbl>
          <w:p w14:paraId="7832D217">
            <w:pPr>
              <w:pStyle w:val="14"/>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综上，由于西厂界紧邻山区未进行检测，南厂界、东厂界、北厂界昼间噪声满足《工业企业厂界环境噪声排放标准》（GB 12348-2008）2类标准。</w:t>
            </w:r>
          </w:p>
          <w:p w14:paraId="3B469998">
            <w:pPr>
              <w:keepNext w:val="0"/>
              <w:keepLines w:val="0"/>
              <w:pageBreakBefore w:val="0"/>
              <w:widowControl w:val="0"/>
              <w:numPr>
                <w:ilvl w:val="0"/>
                <w:numId w:val="9"/>
              </w:numPr>
              <w:kinsoku/>
              <w:wordWrap/>
              <w:overflowPunct/>
              <w:topLinePunct w:val="0"/>
              <w:autoSpaceDE/>
              <w:autoSpaceDN/>
              <w:bidi w:val="0"/>
              <w:adjustRightInd/>
              <w:snapToGrid/>
              <w:spacing w:line="360" w:lineRule="auto"/>
              <w:textAlignment w:val="auto"/>
              <w:rPr>
                <w:rFonts w:hint="eastAsia" w:ascii="Times New Roman" w:hAnsi="Times New Roman" w:cs="Times New Roman"/>
                <w:b w:val="0"/>
                <w:bCs w:val="0"/>
                <w:sz w:val="24"/>
                <w:szCs w:val="24"/>
                <w:highlight w:val="none"/>
                <w:lang w:val="en-US" w:eastAsia="zh-CN"/>
              </w:rPr>
            </w:pPr>
            <w:r>
              <w:rPr>
                <w:rFonts w:hint="eastAsia" w:ascii="Times New Roman" w:hAnsi="Times New Roman" w:cs="Times New Roman"/>
                <w:b w:val="0"/>
                <w:bCs w:val="0"/>
                <w:sz w:val="24"/>
                <w:szCs w:val="24"/>
                <w:highlight w:val="none"/>
                <w:lang w:val="en-US" w:eastAsia="zh-CN"/>
              </w:rPr>
              <w:t>固废</w:t>
            </w:r>
          </w:p>
          <w:p w14:paraId="68659670">
            <w:pPr>
              <w:pStyle w:val="14"/>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kern w:val="2"/>
                <w:sz w:val="24"/>
                <w:szCs w:val="24"/>
                <w:highlight w:val="none"/>
                <w:lang w:val="en-US" w:eastAsia="zh-CN" w:bidi="ar-SA"/>
              </w:rPr>
            </w:pPr>
            <w:r>
              <w:rPr>
                <w:rFonts w:hint="eastAsia" w:ascii="Times New Roman" w:hAnsi="Times New Roman" w:eastAsia="宋体" w:cs="Times New Roman"/>
                <w:kern w:val="2"/>
                <w:sz w:val="24"/>
                <w:szCs w:val="24"/>
                <w:highlight w:val="none"/>
                <w:lang w:val="en-US" w:eastAsia="zh-CN" w:bidi="ar-SA"/>
              </w:rPr>
              <w:t>运营期产生的固体废物主要为：锅炉</w:t>
            </w:r>
            <w:r>
              <w:rPr>
                <w:rFonts w:hint="eastAsia" w:cs="Times New Roman"/>
                <w:kern w:val="2"/>
                <w:sz w:val="24"/>
                <w:szCs w:val="24"/>
                <w:highlight w:val="none"/>
                <w:lang w:val="en-US" w:eastAsia="zh-CN" w:bidi="ar-SA"/>
              </w:rPr>
              <w:t>炉灰</w:t>
            </w:r>
            <w:r>
              <w:rPr>
                <w:rFonts w:hint="eastAsia" w:ascii="Times New Roman" w:hAnsi="Times New Roman" w:eastAsia="宋体" w:cs="Times New Roman"/>
                <w:kern w:val="2"/>
                <w:sz w:val="24"/>
                <w:szCs w:val="24"/>
                <w:highlight w:val="none"/>
                <w:lang w:val="en-US" w:eastAsia="zh-CN" w:bidi="ar-SA"/>
              </w:rPr>
              <w:t>、</w:t>
            </w:r>
            <w:r>
              <w:rPr>
                <w:rFonts w:hint="eastAsia" w:cs="Times New Roman"/>
                <w:kern w:val="2"/>
                <w:sz w:val="24"/>
                <w:szCs w:val="24"/>
                <w:highlight w:val="none"/>
                <w:lang w:val="en-US" w:eastAsia="zh-CN" w:bidi="ar-SA"/>
              </w:rPr>
              <w:t>污水处理站</w:t>
            </w:r>
            <w:r>
              <w:rPr>
                <w:rFonts w:hint="eastAsia" w:ascii="Times New Roman" w:hAnsi="Times New Roman" w:eastAsia="宋体" w:cs="Times New Roman"/>
                <w:kern w:val="2"/>
                <w:sz w:val="24"/>
                <w:szCs w:val="24"/>
                <w:highlight w:val="none"/>
                <w:lang w:val="en-US" w:eastAsia="zh-CN" w:bidi="ar-SA"/>
              </w:rPr>
              <w:t>产生的生化污泥、</w:t>
            </w:r>
            <w:r>
              <w:rPr>
                <w:rFonts w:hint="eastAsia" w:cs="Times New Roman"/>
                <w:kern w:val="2"/>
                <w:sz w:val="24"/>
                <w:szCs w:val="24"/>
                <w:highlight w:val="none"/>
                <w:lang w:val="en-US" w:eastAsia="zh-CN" w:bidi="ar-SA"/>
              </w:rPr>
              <w:t>废离子交换树脂、废机油、废机油桶</w:t>
            </w:r>
            <w:r>
              <w:rPr>
                <w:rFonts w:hint="eastAsia" w:ascii="Times New Roman" w:hAnsi="Times New Roman" w:eastAsia="宋体" w:cs="Times New Roman"/>
                <w:kern w:val="2"/>
                <w:sz w:val="24"/>
                <w:szCs w:val="24"/>
                <w:highlight w:val="none"/>
                <w:lang w:val="en-US" w:eastAsia="zh-CN" w:bidi="ar-SA"/>
              </w:rPr>
              <w:t>。</w:t>
            </w:r>
          </w:p>
          <w:p w14:paraId="5F26A71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highlight w:val="none"/>
                <w:lang w:val="en-US" w:eastAsia="zh-CN"/>
              </w:rPr>
            </w:pPr>
            <w:r>
              <w:rPr>
                <w:rFonts w:hint="eastAsia" w:ascii="Times New Roman" w:hAnsi="Times New Roman" w:eastAsia="宋体" w:cs="Times New Roman"/>
                <w:kern w:val="2"/>
                <w:sz w:val="24"/>
                <w:szCs w:val="24"/>
                <w:highlight w:val="none"/>
                <w:lang w:val="en-US" w:eastAsia="zh-CN" w:bidi="ar-SA"/>
              </w:rPr>
              <w:t>采取的治理措施：锅炉</w:t>
            </w:r>
            <w:r>
              <w:rPr>
                <w:rFonts w:hint="eastAsia" w:cs="Times New Roman"/>
                <w:kern w:val="2"/>
                <w:sz w:val="24"/>
                <w:szCs w:val="24"/>
                <w:highlight w:val="none"/>
                <w:lang w:val="en-US" w:eastAsia="zh-CN" w:bidi="ar-SA"/>
              </w:rPr>
              <w:t>炉灰年产8t/a，运到砖厂用作制砖原料</w:t>
            </w:r>
            <w:r>
              <w:rPr>
                <w:rFonts w:hint="eastAsia" w:ascii="Times New Roman" w:hAnsi="Times New Roman" w:eastAsia="宋体" w:cs="Times New Roman"/>
                <w:kern w:val="2"/>
                <w:sz w:val="24"/>
                <w:szCs w:val="24"/>
                <w:highlight w:val="none"/>
                <w:lang w:val="en-US" w:eastAsia="zh-CN" w:bidi="ar-SA"/>
              </w:rPr>
              <w:t>；</w:t>
            </w:r>
            <w:r>
              <w:rPr>
                <w:rFonts w:hint="eastAsia" w:cs="Times New Roman"/>
                <w:kern w:val="2"/>
                <w:sz w:val="24"/>
                <w:szCs w:val="24"/>
                <w:highlight w:val="none"/>
                <w:lang w:val="en-US" w:eastAsia="zh-CN" w:bidi="ar-SA"/>
              </w:rPr>
              <w:t>污水处理站</w:t>
            </w:r>
            <w:r>
              <w:rPr>
                <w:rFonts w:hint="eastAsia" w:ascii="Times New Roman" w:hAnsi="Times New Roman" w:eastAsia="宋体" w:cs="Times New Roman"/>
                <w:kern w:val="2"/>
                <w:sz w:val="24"/>
                <w:szCs w:val="24"/>
                <w:highlight w:val="none"/>
                <w:lang w:val="en-US" w:eastAsia="zh-CN" w:bidi="ar-SA"/>
              </w:rPr>
              <w:t>产生的生化污泥</w:t>
            </w:r>
            <w:r>
              <w:rPr>
                <w:rFonts w:hint="eastAsia" w:ascii="Times New Roman" w:hAnsi="Times New Roman" w:cs="Times New Roman"/>
                <w:kern w:val="2"/>
                <w:sz w:val="24"/>
                <w:szCs w:val="24"/>
                <w:highlight w:val="none"/>
                <w:lang w:val="en-US" w:eastAsia="zh-CN" w:bidi="ar-SA"/>
              </w:rPr>
              <w:t>产生量为5t/a，</w:t>
            </w:r>
            <w:r>
              <w:rPr>
                <w:rFonts w:hint="eastAsia" w:ascii="Times New Roman" w:hAnsi="Times New Roman" w:eastAsia="宋体" w:cs="Times New Roman"/>
                <w:kern w:val="2"/>
                <w:sz w:val="24"/>
                <w:szCs w:val="24"/>
                <w:highlight w:val="none"/>
                <w:lang w:val="en-US" w:eastAsia="zh-CN" w:bidi="ar-SA"/>
              </w:rPr>
              <w:t>作为农肥加以利用；</w:t>
            </w:r>
            <w:r>
              <w:rPr>
                <w:rFonts w:hint="eastAsia" w:cs="Times New Roman"/>
                <w:kern w:val="2"/>
                <w:sz w:val="24"/>
                <w:szCs w:val="24"/>
                <w:highlight w:val="none"/>
                <w:lang w:val="en-US" w:eastAsia="zh-CN" w:bidi="ar-SA"/>
              </w:rPr>
              <w:t>废离子交换树脂产产生量为10kg/a，由厂家定期回收；废机油、废机油桶产生量分别为4L/a、2个/a，暂存于厂区危废间内，定期由承德双然环保科技有限公司收集转运</w:t>
            </w:r>
            <w:r>
              <w:rPr>
                <w:rFonts w:hint="eastAsia" w:ascii="Times New Roman" w:hAnsi="Times New Roman" w:eastAsia="宋体" w:cs="Times New Roman"/>
                <w:kern w:val="2"/>
                <w:sz w:val="24"/>
                <w:szCs w:val="24"/>
                <w:highlight w:val="none"/>
                <w:lang w:val="en-US" w:eastAsia="zh-CN" w:bidi="ar-SA"/>
              </w:rPr>
              <w:t>。</w:t>
            </w:r>
          </w:p>
          <w:p w14:paraId="2526978C">
            <w:pPr>
              <w:spacing w:line="360" w:lineRule="auto"/>
              <w:rPr>
                <w:highlight w:val="none"/>
              </w:rPr>
            </w:pPr>
            <w:r>
              <w:rPr>
                <w:rFonts w:hint="eastAsia" w:ascii="Times New Roman" w:hAnsi="Times New Roman" w:cs="Times New Roman"/>
                <w:b/>
                <w:bCs/>
                <w:sz w:val="24"/>
                <w:highlight w:val="none"/>
                <w:lang w:val="en-US" w:eastAsia="zh-CN"/>
              </w:rPr>
              <w:t>3</w:t>
            </w:r>
            <w:r>
              <w:rPr>
                <w:rFonts w:ascii="Times New Roman" w:hAnsi="Times New Roman" w:cs="Times New Roman"/>
                <w:b/>
                <w:bCs/>
                <w:sz w:val="24"/>
                <w:highlight w:val="none"/>
              </w:rPr>
              <w:t>、</w:t>
            </w:r>
            <w:r>
              <w:rPr>
                <w:rFonts w:ascii="Times New Roman" w:hAnsi="Times New Roman" w:cs="Times New Roman"/>
                <w:b/>
                <w:sz w:val="24"/>
                <w:highlight w:val="none"/>
              </w:rPr>
              <w:t>与本项目有关的原有污染情况及主要环境问题:</w:t>
            </w:r>
          </w:p>
          <w:p w14:paraId="2FE2A714">
            <w:pPr>
              <w:spacing w:line="360" w:lineRule="auto"/>
              <w:ind w:firstLine="480" w:firstLineChars="200"/>
              <w:rPr>
                <w:rFonts w:hint="default"/>
                <w:highlight w:val="none"/>
                <w:lang w:val="en-US" w:eastAsia="zh-CN"/>
              </w:rPr>
            </w:pPr>
            <w:r>
              <w:rPr>
                <w:rFonts w:hint="eastAsia"/>
                <w:sz w:val="24"/>
                <w:highlight w:val="none"/>
              </w:rPr>
              <w:t>承德泓辉双合淀粉</w:t>
            </w:r>
            <w:r>
              <w:rPr>
                <w:rFonts w:hint="eastAsia"/>
                <w:sz w:val="24"/>
                <w:highlight w:val="none"/>
                <w:lang w:val="en-US" w:eastAsia="zh-CN"/>
              </w:rPr>
              <w:t>有</w:t>
            </w:r>
            <w:r>
              <w:rPr>
                <w:rFonts w:hint="eastAsia"/>
                <w:sz w:val="24"/>
                <w:highlight w:val="none"/>
              </w:rPr>
              <w:t>限公司</w:t>
            </w:r>
            <w:r>
              <w:rPr>
                <w:rFonts w:hint="eastAsia"/>
                <w:sz w:val="24"/>
                <w:highlight w:val="none"/>
                <w:lang w:val="en-US" w:eastAsia="zh-CN"/>
              </w:rPr>
              <w:t>现有两台生物质锅炉，分别为4t/h和11t/h，4t/h生物质锅炉用于供暖，11t/h生物质锅炉用于生产；</w:t>
            </w:r>
            <w:bookmarkStart w:id="14" w:name="OLE_LINK8"/>
            <w:r>
              <w:rPr>
                <w:rFonts w:hint="eastAsia" w:cs="Times New Roman"/>
                <w:bCs/>
                <w:color w:val="000000"/>
                <w:sz w:val="24"/>
                <w:highlight w:val="none"/>
                <w:lang w:val="en-US" w:eastAsia="zh-CN"/>
              </w:rPr>
              <w:t>承德泓辉双合淀粉有限公司污水处理站</w:t>
            </w:r>
            <w:r>
              <w:rPr>
                <w:rFonts w:hint="eastAsia" w:ascii="Times New Roman" w:hAnsi="Times New Roman" w:eastAsia="宋体" w:cs="Times New Roman"/>
                <w:bCs/>
                <w:color w:val="000000"/>
                <w:sz w:val="24"/>
                <w:highlight w:val="none"/>
                <w:lang w:val="en-US" w:eastAsia="zh-CN"/>
              </w:rPr>
              <w:t>PEIC厌氧反应器中厌氧微生物的分解</w:t>
            </w:r>
            <w:r>
              <w:rPr>
                <w:rFonts w:hint="eastAsia" w:cs="Times New Roman"/>
                <w:bCs/>
                <w:color w:val="000000"/>
                <w:sz w:val="24"/>
                <w:highlight w:val="none"/>
                <w:lang w:val="en-US" w:eastAsia="zh-CN"/>
              </w:rPr>
              <w:t>产生的</w:t>
            </w:r>
            <w:r>
              <w:rPr>
                <w:rFonts w:hint="eastAsia"/>
                <w:sz w:val="24"/>
                <w:highlight w:val="none"/>
                <w:lang w:val="en-US" w:eastAsia="zh-CN"/>
              </w:rPr>
              <w:t>沼气</w:t>
            </w:r>
            <w:bookmarkEnd w:id="14"/>
            <w:r>
              <w:rPr>
                <w:rFonts w:hint="eastAsia"/>
                <w:sz w:val="24"/>
                <w:highlight w:val="none"/>
                <w:lang w:val="en-US" w:eastAsia="zh-CN"/>
              </w:rPr>
              <w:t>临时贮存于沼气储罐内，本次新增1台2t/h</w:t>
            </w:r>
            <w:r>
              <w:rPr>
                <w:rFonts w:hint="eastAsia" w:ascii="Times New Roman" w:hAnsi="Times New Roman" w:eastAsia="宋体" w:cs="Times New Roman"/>
                <w:sz w:val="24"/>
                <w:highlight w:val="none"/>
                <w:lang w:val="en-US" w:eastAsia="zh-CN"/>
              </w:rPr>
              <w:t>沼气锅炉对对其进行处理；本项目</w:t>
            </w:r>
            <w:r>
              <w:rPr>
                <w:rFonts w:hint="eastAsia" w:cs="Times New Roman"/>
                <w:sz w:val="24"/>
                <w:highlight w:val="none"/>
                <w:lang w:val="en-US" w:eastAsia="zh-CN"/>
              </w:rPr>
              <w:t>无现有环境问题。</w:t>
            </w:r>
          </w:p>
          <w:p w14:paraId="423AB85A">
            <w:pPr>
              <w:pStyle w:val="14"/>
              <w:ind w:left="0" w:leftChars="0" w:firstLine="0" w:firstLineChars="0"/>
              <w:rPr>
                <w:rFonts w:hint="default"/>
                <w:highlight w:val="none"/>
                <w:lang w:val="en-US" w:eastAsia="zh-CN"/>
              </w:rPr>
            </w:pPr>
          </w:p>
        </w:tc>
      </w:tr>
    </w:tbl>
    <w:p w14:paraId="1A5D69BB">
      <w:pPr>
        <w:pStyle w:val="19"/>
        <w:jc w:val="center"/>
        <w:rPr>
          <w:rFonts w:ascii="黑体" w:hAnsi="黑体" w:eastAsia="黑体"/>
          <w:snapToGrid w:val="0"/>
          <w:sz w:val="36"/>
          <w:szCs w:val="36"/>
          <w:highlight w:val="green"/>
        </w:rPr>
        <w:sectPr>
          <w:pgSz w:w="11906" w:h="16838"/>
          <w:pgMar w:top="1701" w:right="1531" w:bottom="1701" w:left="1531" w:header="851" w:footer="851" w:gutter="0"/>
          <w:cols w:space="720" w:num="1"/>
          <w:docGrid w:linePitch="312" w:charSpace="0"/>
        </w:sectPr>
      </w:pPr>
    </w:p>
    <w:p w14:paraId="62EC6DB1">
      <w:pPr>
        <w:pStyle w:val="19"/>
        <w:adjustRightInd w:val="0"/>
        <w:snapToGrid w:val="0"/>
        <w:spacing w:before="0" w:beforeAutospacing="0" w:after="0" w:afterAutospacing="0" w:line="14" w:lineRule="auto"/>
        <w:jc w:val="center"/>
        <w:rPr>
          <w:rFonts w:ascii="黑体" w:hAnsi="黑体" w:eastAsia="黑体"/>
          <w:snapToGrid w:val="0"/>
          <w:sz w:val="30"/>
          <w:szCs w:val="30"/>
          <w:highlight w:val="green"/>
        </w:rPr>
      </w:pPr>
    </w:p>
    <w:p w14:paraId="23391910">
      <w:pPr>
        <w:pStyle w:val="19"/>
        <w:spacing w:before="120" w:beforeLines="50" w:beforeAutospacing="0" w:after="240" w:afterLines="100" w:afterAutospacing="0"/>
        <w:jc w:val="center"/>
        <w:outlineLvl w:val="0"/>
        <w:rPr>
          <w:rFonts w:ascii="黑体" w:hAnsi="黑体" w:eastAsia="黑体"/>
          <w:snapToGrid w:val="0"/>
          <w:sz w:val="30"/>
          <w:szCs w:val="30"/>
        </w:rPr>
      </w:pPr>
      <w:r>
        <w:rPr>
          <w:rFonts w:hint="eastAsia" w:ascii="黑体" w:hAnsi="黑体" w:eastAsia="黑体"/>
          <w:snapToGrid w:val="0"/>
          <w:sz w:val="30"/>
          <w:szCs w:val="30"/>
        </w:rPr>
        <w:t>三、区域环境质量现状、环境保护目标及评价标准</w:t>
      </w:r>
    </w:p>
    <w:tbl>
      <w:tblPr>
        <w:tblStyle w:val="23"/>
        <w:tblW w:w="89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23"/>
        <w:gridCol w:w="8367"/>
      </w:tblGrid>
      <w:tr w14:paraId="588D6D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00" w:type="dxa"/>
            <w:vAlign w:val="center"/>
          </w:tcPr>
          <w:p w14:paraId="608334A8">
            <w:pPr>
              <w:adjustRightInd w:val="0"/>
              <w:snapToGrid w:val="0"/>
              <w:jc w:val="center"/>
              <w:rPr>
                <w:rFonts w:ascii="宋体" w:hAnsi="宋体" w:cs="宋体"/>
                <w:kern w:val="0"/>
                <w:sz w:val="24"/>
                <w:highlight w:val="none"/>
              </w:rPr>
            </w:pPr>
            <w:r>
              <w:rPr>
                <w:rFonts w:hint="eastAsia" w:ascii="宋体" w:hAnsi="宋体" w:cs="宋体"/>
                <w:kern w:val="0"/>
                <w:sz w:val="24"/>
                <w:highlight w:val="none"/>
              </w:rPr>
              <w:t>区域</w:t>
            </w:r>
          </w:p>
          <w:p w14:paraId="2487F390">
            <w:pPr>
              <w:adjustRightInd w:val="0"/>
              <w:snapToGrid w:val="0"/>
              <w:jc w:val="center"/>
              <w:rPr>
                <w:rFonts w:ascii="宋体" w:hAnsi="宋体" w:cs="宋体"/>
                <w:kern w:val="0"/>
                <w:sz w:val="24"/>
                <w:highlight w:val="none"/>
              </w:rPr>
            </w:pPr>
            <w:r>
              <w:rPr>
                <w:rFonts w:hint="eastAsia" w:ascii="宋体" w:hAnsi="宋体" w:cs="宋体"/>
                <w:kern w:val="0"/>
                <w:sz w:val="24"/>
                <w:highlight w:val="none"/>
              </w:rPr>
              <w:t>环境</w:t>
            </w:r>
          </w:p>
          <w:p w14:paraId="0E97AFAF">
            <w:pPr>
              <w:adjustRightInd w:val="0"/>
              <w:snapToGrid w:val="0"/>
              <w:jc w:val="center"/>
              <w:rPr>
                <w:rFonts w:ascii="宋体" w:hAnsi="宋体" w:cs="宋体"/>
                <w:kern w:val="0"/>
                <w:sz w:val="24"/>
                <w:highlight w:val="none"/>
              </w:rPr>
            </w:pPr>
            <w:r>
              <w:rPr>
                <w:rFonts w:hint="eastAsia" w:ascii="宋体" w:hAnsi="宋体" w:cs="宋体"/>
                <w:kern w:val="0"/>
                <w:sz w:val="24"/>
                <w:highlight w:val="none"/>
              </w:rPr>
              <w:t>质量</w:t>
            </w:r>
          </w:p>
          <w:p w14:paraId="6C3B9447">
            <w:pPr>
              <w:adjustRightInd w:val="0"/>
              <w:snapToGrid w:val="0"/>
              <w:jc w:val="center"/>
              <w:rPr>
                <w:rFonts w:ascii="宋体" w:hAnsi="宋体" w:cs="宋体"/>
                <w:kern w:val="0"/>
                <w:sz w:val="24"/>
                <w:highlight w:val="none"/>
              </w:rPr>
            </w:pPr>
            <w:r>
              <w:rPr>
                <w:rFonts w:hint="eastAsia" w:ascii="宋体" w:hAnsi="宋体" w:cs="宋体"/>
                <w:kern w:val="0"/>
                <w:sz w:val="24"/>
                <w:highlight w:val="none"/>
              </w:rPr>
              <w:t>现状</w:t>
            </w:r>
          </w:p>
        </w:tc>
        <w:tc>
          <w:tcPr>
            <w:tcW w:w="8190" w:type="dxa"/>
            <w:vAlign w:val="center"/>
          </w:tcPr>
          <w:p w14:paraId="44B4617A">
            <w:pPr>
              <w:spacing w:before="120" w:beforeLines="50" w:line="360" w:lineRule="auto"/>
              <w:ind w:firstLine="482"/>
              <w:rPr>
                <w:b/>
                <w:sz w:val="24"/>
                <w:highlight w:val="none"/>
              </w:rPr>
            </w:pPr>
            <w:r>
              <w:rPr>
                <w:b/>
                <w:sz w:val="24"/>
                <w:highlight w:val="none"/>
              </w:rPr>
              <w:t>1．</w:t>
            </w:r>
            <w:r>
              <w:rPr>
                <w:rFonts w:hint="eastAsia"/>
                <w:b/>
                <w:sz w:val="24"/>
                <w:highlight w:val="none"/>
              </w:rPr>
              <w:t>环境空气质量现状</w:t>
            </w:r>
          </w:p>
          <w:p w14:paraId="5D5E12C9">
            <w:pPr>
              <w:spacing w:line="360" w:lineRule="auto"/>
              <w:ind w:firstLine="480"/>
              <w:rPr>
                <w:sz w:val="24"/>
                <w:highlight w:val="none"/>
              </w:rPr>
            </w:pPr>
            <w:r>
              <w:rPr>
                <w:rFonts w:hint="eastAsia"/>
                <w:sz w:val="24"/>
                <w:highlight w:val="none"/>
              </w:rPr>
              <w:t>（</w:t>
            </w:r>
            <w:r>
              <w:rPr>
                <w:sz w:val="24"/>
                <w:highlight w:val="none"/>
              </w:rPr>
              <w:t>1</w:t>
            </w:r>
            <w:r>
              <w:rPr>
                <w:rFonts w:hint="eastAsia"/>
                <w:sz w:val="24"/>
                <w:highlight w:val="none"/>
              </w:rPr>
              <w:t>）大气污染物基本项目环境空气质量现状</w:t>
            </w:r>
          </w:p>
          <w:p w14:paraId="23EC690B">
            <w:pPr>
              <w:spacing w:line="360" w:lineRule="auto"/>
              <w:ind w:firstLine="480"/>
              <w:rPr>
                <w:sz w:val="24"/>
                <w:highlight w:val="none"/>
              </w:rPr>
            </w:pPr>
            <w:r>
              <w:rPr>
                <w:rFonts w:hint="eastAsia"/>
                <w:sz w:val="24"/>
                <w:highlight w:val="none"/>
              </w:rPr>
              <w:t>项目所在区域环境空气质量执行《环境空气质量标准》（</w:t>
            </w:r>
            <w:r>
              <w:rPr>
                <w:sz w:val="24"/>
                <w:highlight w:val="none"/>
              </w:rPr>
              <w:t>GB3095-2012</w:t>
            </w:r>
            <w:r>
              <w:rPr>
                <w:rFonts w:hint="eastAsia"/>
                <w:sz w:val="24"/>
                <w:highlight w:val="none"/>
              </w:rPr>
              <w:t>）及其修改单中二级标准要求。</w:t>
            </w:r>
          </w:p>
          <w:p w14:paraId="7D0381E2">
            <w:pPr>
              <w:spacing w:line="360" w:lineRule="auto"/>
              <w:ind w:firstLine="480"/>
              <w:rPr>
                <w:sz w:val="24"/>
                <w:highlight w:val="none"/>
              </w:rPr>
            </w:pPr>
            <w:r>
              <w:rPr>
                <w:rFonts w:hint="eastAsia"/>
                <w:sz w:val="24"/>
                <w:highlight w:val="none"/>
              </w:rPr>
              <w:t>本次评价</w:t>
            </w:r>
            <w:r>
              <w:rPr>
                <w:sz w:val="24"/>
                <w:highlight w:val="none"/>
              </w:rPr>
              <w:t>引用</w:t>
            </w:r>
            <w:r>
              <w:rPr>
                <w:rFonts w:hint="eastAsia"/>
                <w:sz w:val="24"/>
                <w:highlight w:val="none"/>
              </w:rPr>
              <w:t>《关于</w:t>
            </w:r>
            <w:r>
              <w:rPr>
                <w:sz w:val="24"/>
                <w:highlight w:val="none"/>
              </w:rPr>
              <w:t>2023</w:t>
            </w:r>
            <w:r>
              <w:rPr>
                <w:rFonts w:hint="eastAsia"/>
                <w:sz w:val="24"/>
                <w:highlight w:val="none"/>
              </w:rPr>
              <w:t>年</w:t>
            </w:r>
            <w:r>
              <w:rPr>
                <w:sz w:val="24"/>
                <w:highlight w:val="none"/>
              </w:rPr>
              <w:t>12</w:t>
            </w:r>
            <w:r>
              <w:rPr>
                <w:rFonts w:hint="eastAsia"/>
                <w:sz w:val="24"/>
                <w:highlight w:val="none"/>
              </w:rPr>
              <w:t>月份全市空气质量预警监测结果的通报》（承气领办〔</w:t>
            </w:r>
            <w:r>
              <w:rPr>
                <w:sz w:val="24"/>
                <w:highlight w:val="none"/>
              </w:rPr>
              <w:t>2024</w:t>
            </w:r>
            <w:r>
              <w:rPr>
                <w:rFonts w:hint="eastAsia"/>
                <w:sz w:val="24"/>
                <w:highlight w:val="none"/>
              </w:rPr>
              <w:t>〕</w:t>
            </w:r>
            <w:r>
              <w:rPr>
                <w:sz w:val="24"/>
                <w:highlight w:val="none"/>
              </w:rPr>
              <w:t>12</w:t>
            </w:r>
            <w:r>
              <w:rPr>
                <w:rFonts w:hint="eastAsia"/>
                <w:sz w:val="24"/>
                <w:highlight w:val="none"/>
              </w:rPr>
              <w:t>号）</w:t>
            </w:r>
            <w:r>
              <w:rPr>
                <w:sz w:val="24"/>
                <w:highlight w:val="none"/>
              </w:rPr>
              <w:t>中</w:t>
            </w:r>
            <w:r>
              <w:rPr>
                <w:rFonts w:hint="eastAsia"/>
                <w:sz w:val="24"/>
                <w:highlight w:val="none"/>
                <w:lang w:val="en-US" w:eastAsia="zh-CN"/>
              </w:rPr>
              <w:t>围场满族蒙古族自治县</w:t>
            </w:r>
            <w:r>
              <w:rPr>
                <w:rFonts w:hint="eastAsia"/>
                <w:sz w:val="24"/>
                <w:highlight w:val="none"/>
              </w:rPr>
              <w:t>环境空气大气</w:t>
            </w:r>
            <w:r>
              <w:rPr>
                <w:sz w:val="24"/>
                <w:highlight w:val="none"/>
              </w:rPr>
              <w:t>污染物</w:t>
            </w:r>
            <w:r>
              <w:rPr>
                <w:rFonts w:hint="eastAsia"/>
                <w:sz w:val="24"/>
                <w:highlight w:val="none"/>
              </w:rPr>
              <w:t>基本项目</w:t>
            </w:r>
            <w:r>
              <w:rPr>
                <w:sz w:val="24"/>
                <w:highlight w:val="none"/>
              </w:rPr>
              <w:t>中的PM</w:t>
            </w:r>
            <w:r>
              <w:rPr>
                <w:sz w:val="24"/>
                <w:highlight w:val="none"/>
                <w:vertAlign w:val="subscript"/>
              </w:rPr>
              <w:t>2.5</w:t>
            </w:r>
            <w:r>
              <w:rPr>
                <w:sz w:val="24"/>
                <w:highlight w:val="none"/>
              </w:rPr>
              <w:t>、PM</w:t>
            </w:r>
            <w:r>
              <w:rPr>
                <w:sz w:val="24"/>
                <w:highlight w:val="none"/>
                <w:vertAlign w:val="subscript"/>
              </w:rPr>
              <w:t>10</w:t>
            </w:r>
            <w:r>
              <w:rPr>
                <w:sz w:val="24"/>
                <w:highlight w:val="none"/>
              </w:rPr>
              <w:t>、SO</w:t>
            </w:r>
            <w:r>
              <w:rPr>
                <w:sz w:val="24"/>
                <w:highlight w:val="none"/>
                <w:vertAlign w:val="subscript"/>
              </w:rPr>
              <w:t>2</w:t>
            </w:r>
            <w:r>
              <w:rPr>
                <w:sz w:val="24"/>
                <w:highlight w:val="none"/>
              </w:rPr>
              <w:t>、CO、O</w:t>
            </w:r>
            <w:r>
              <w:rPr>
                <w:sz w:val="24"/>
                <w:highlight w:val="none"/>
                <w:vertAlign w:val="subscript"/>
              </w:rPr>
              <w:t>3</w:t>
            </w:r>
            <w:r>
              <w:rPr>
                <w:sz w:val="24"/>
                <w:highlight w:val="none"/>
              </w:rPr>
              <w:t>、NO</w:t>
            </w:r>
            <w:r>
              <w:rPr>
                <w:sz w:val="24"/>
                <w:highlight w:val="none"/>
                <w:vertAlign w:val="subscript"/>
              </w:rPr>
              <w:t>2</w:t>
            </w:r>
            <w:r>
              <w:rPr>
                <w:sz w:val="24"/>
                <w:highlight w:val="none"/>
              </w:rPr>
              <w:t>现状监测统计资料，来说明建设项目拟建地区的环境空气质量现状，结果见</w:t>
            </w:r>
            <w:r>
              <w:rPr>
                <w:rFonts w:hint="eastAsia"/>
                <w:sz w:val="24"/>
                <w:highlight w:val="none"/>
              </w:rPr>
              <w:t>下</w:t>
            </w:r>
            <w:r>
              <w:rPr>
                <w:sz w:val="24"/>
                <w:highlight w:val="none"/>
              </w:rPr>
              <w:t>表。</w:t>
            </w:r>
          </w:p>
          <w:p w14:paraId="0A9AA547">
            <w:pPr>
              <w:pStyle w:val="49"/>
              <w:numPr>
                <w:ilvl w:val="0"/>
                <w:numId w:val="10"/>
              </w:numPr>
              <w:spacing w:line="360" w:lineRule="auto"/>
              <w:ind w:left="0" w:firstLine="0"/>
              <w:rPr>
                <w:rFonts w:eastAsia="宋体"/>
                <w:b/>
                <w:highlight w:val="none"/>
              </w:rPr>
            </w:pPr>
            <w:r>
              <w:rPr>
                <w:rFonts w:hint="eastAsia" w:eastAsia="宋体"/>
                <w:b/>
                <w:highlight w:val="none"/>
              </w:rPr>
              <w:t>20</w:t>
            </w:r>
            <w:r>
              <w:rPr>
                <w:rFonts w:eastAsia="宋体"/>
                <w:b/>
                <w:highlight w:val="none"/>
              </w:rPr>
              <w:t>23</w:t>
            </w:r>
            <w:r>
              <w:rPr>
                <w:rFonts w:hint="eastAsia" w:eastAsia="宋体"/>
                <w:b/>
                <w:highlight w:val="none"/>
              </w:rPr>
              <w:t>年围场满族蒙古族自治县环境空气质量监测结果</w:t>
            </w:r>
          </w:p>
          <w:tbl>
            <w:tblPr>
              <w:tblStyle w:val="23"/>
              <w:tblW w:w="7904" w:type="dxa"/>
              <w:jc w:val="center"/>
              <w:tblLayout w:type="autofit"/>
              <w:tblCellMar>
                <w:top w:w="0" w:type="dxa"/>
                <w:left w:w="108" w:type="dxa"/>
                <w:bottom w:w="0" w:type="dxa"/>
                <w:right w:w="108" w:type="dxa"/>
              </w:tblCellMar>
            </w:tblPr>
            <w:tblGrid>
              <w:gridCol w:w="1140"/>
              <w:gridCol w:w="1064"/>
              <w:gridCol w:w="755"/>
              <w:gridCol w:w="755"/>
              <w:gridCol w:w="755"/>
              <w:gridCol w:w="755"/>
              <w:gridCol w:w="755"/>
              <w:gridCol w:w="764"/>
              <w:gridCol w:w="1161"/>
            </w:tblGrid>
            <w:tr w14:paraId="4E5CA517">
              <w:tblPrEx>
                <w:tblCellMar>
                  <w:top w:w="0" w:type="dxa"/>
                  <w:left w:w="108" w:type="dxa"/>
                  <w:bottom w:w="0" w:type="dxa"/>
                  <w:right w:w="108" w:type="dxa"/>
                </w:tblCellMar>
              </w:tblPrEx>
              <w:trPr>
                <w:cantSplit/>
                <w:trHeight w:val="340" w:hRule="atLeast"/>
                <w:jc w:val="center"/>
              </w:trPr>
              <w:tc>
                <w:tcPr>
                  <w:tcW w:w="1140" w:type="dxa"/>
                  <w:vMerge w:val="restart"/>
                  <w:tcBorders>
                    <w:top w:val="single" w:color="auto" w:sz="4" w:space="0"/>
                    <w:left w:val="single" w:color="auto" w:sz="4" w:space="0"/>
                    <w:bottom w:val="single" w:color="auto" w:sz="4" w:space="0"/>
                    <w:right w:val="single" w:color="auto" w:sz="4" w:space="0"/>
                  </w:tcBorders>
                  <w:vAlign w:val="center"/>
                </w:tcPr>
                <w:p w14:paraId="69C3571A">
                  <w:pPr>
                    <w:jc w:val="center"/>
                    <w:rPr>
                      <w:b/>
                      <w:bCs/>
                      <w:highlight w:val="none"/>
                    </w:rPr>
                  </w:pPr>
                  <w:r>
                    <w:rPr>
                      <w:b/>
                      <w:bCs/>
                      <w:highlight w:val="none"/>
                    </w:rPr>
                    <w:t>县区</w:t>
                  </w:r>
                </w:p>
              </w:tc>
              <w:tc>
                <w:tcPr>
                  <w:tcW w:w="1064" w:type="dxa"/>
                  <w:vMerge w:val="restart"/>
                  <w:tcBorders>
                    <w:top w:val="single" w:color="auto" w:sz="4" w:space="0"/>
                    <w:left w:val="nil"/>
                    <w:bottom w:val="single" w:color="auto" w:sz="4" w:space="0"/>
                    <w:right w:val="single" w:color="auto" w:sz="4" w:space="0"/>
                  </w:tcBorders>
                  <w:vAlign w:val="center"/>
                </w:tcPr>
                <w:p w14:paraId="05F17723">
                  <w:pPr>
                    <w:jc w:val="center"/>
                    <w:rPr>
                      <w:b/>
                      <w:bCs/>
                      <w:highlight w:val="none"/>
                    </w:rPr>
                  </w:pPr>
                  <w:r>
                    <w:rPr>
                      <w:b/>
                      <w:bCs/>
                      <w:highlight w:val="none"/>
                    </w:rPr>
                    <w:t>环境空气质量综合指数</w:t>
                  </w:r>
                </w:p>
              </w:tc>
              <w:tc>
                <w:tcPr>
                  <w:tcW w:w="4539" w:type="dxa"/>
                  <w:gridSpan w:val="6"/>
                  <w:tcBorders>
                    <w:top w:val="single" w:color="auto" w:sz="4" w:space="0"/>
                    <w:left w:val="nil"/>
                    <w:bottom w:val="single" w:color="auto" w:sz="4" w:space="0"/>
                    <w:right w:val="single" w:color="auto" w:sz="4" w:space="0"/>
                  </w:tcBorders>
                  <w:vAlign w:val="center"/>
                </w:tcPr>
                <w:p w14:paraId="1B742267">
                  <w:pPr>
                    <w:jc w:val="center"/>
                    <w:rPr>
                      <w:b/>
                      <w:bCs/>
                      <w:highlight w:val="none"/>
                    </w:rPr>
                  </w:pPr>
                  <w:r>
                    <w:rPr>
                      <w:b/>
                      <w:bCs/>
                      <w:highlight w:val="none"/>
                    </w:rPr>
                    <w:t>各污染物浓度</w:t>
                  </w:r>
                </w:p>
              </w:tc>
              <w:tc>
                <w:tcPr>
                  <w:tcW w:w="1161" w:type="dxa"/>
                  <w:vMerge w:val="restart"/>
                  <w:tcBorders>
                    <w:top w:val="single" w:color="auto" w:sz="4" w:space="0"/>
                    <w:left w:val="nil"/>
                    <w:right w:val="single" w:color="auto" w:sz="4" w:space="0"/>
                  </w:tcBorders>
                  <w:vAlign w:val="center"/>
                </w:tcPr>
                <w:p w14:paraId="51589518">
                  <w:pPr>
                    <w:jc w:val="center"/>
                    <w:rPr>
                      <w:b/>
                      <w:bCs/>
                      <w:highlight w:val="none"/>
                    </w:rPr>
                  </w:pPr>
                  <w:r>
                    <w:rPr>
                      <w:b/>
                      <w:bCs/>
                      <w:highlight w:val="none"/>
                    </w:rPr>
                    <w:t>首要污染物</w:t>
                  </w:r>
                </w:p>
              </w:tc>
            </w:tr>
            <w:tr w14:paraId="0B83E8EE">
              <w:tblPrEx>
                <w:tblCellMar>
                  <w:top w:w="0" w:type="dxa"/>
                  <w:left w:w="108" w:type="dxa"/>
                  <w:bottom w:w="0" w:type="dxa"/>
                  <w:right w:w="108" w:type="dxa"/>
                </w:tblCellMar>
              </w:tblPrEx>
              <w:trPr>
                <w:cantSplit/>
                <w:trHeight w:val="372" w:hRule="atLeast"/>
                <w:jc w:val="center"/>
              </w:trPr>
              <w:tc>
                <w:tcPr>
                  <w:tcW w:w="1140" w:type="dxa"/>
                  <w:vMerge w:val="continue"/>
                  <w:tcBorders>
                    <w:top w:val="single" w:color="auto" w:sz="4" w:space="0"/>
                    <w:left w:val="single" w:color="auto" w:sz="4" w:space="0"/>
                    <w:bottom w:val="single" w:color="auto" w:sz="4" w:space="0"/>
                    <w:right w:val="single" w:color="auto" w:sz="4" w:space="0"/>
                  </w:tcBorders>
                  <w:vAlign w:val="center"/>
                </w:tcPr>
                <w:p w14:paraId="5336485C">
                  <w:pPr>
                    <w:jc w:val="center"/>
                    <w:rPr>
                      <w:b/>
                      <w:bCs/>
                      <w:highlight w:val="none"/>
                    </w:rPr>
                  </w:pPr>
                </w:p>
              </w:tc>
              <w:tc>
                <w:tcPr>
                  <w:tcW w:w="1064" w:type="dxa"/>
                  <w:vMerge w:val="continue"/>
                  <w:tcBorders>
                    <w:top w:val="single" w:color="auto" w:sz="4" w:space="0"/>
                    <w:left w:val="nil"/>
                    <w:bottom w:val="single" w:color="auto" w:sz="4" w:space="0"/>
                    <w:right w:val="single" w:color="auto" w:sz="4" w:space="0"/>
                  </w:tcBorders>
                  <w:vAlign w:val="center"/>
                </w:tcPr>
                <w:p w14:paraId="6482C590">
                  <w:pPr>
                    <w:jc w:val="center"/>
                    <w:rPr>
                      <w:b/>
                      <w:bCs/>
                      <w:highlight w:val="none"/>
                    </w:rPr>
                  </w:pPr>
                </w:p>
              </w:tc>
              <w:tc>
                <w:tcPr>
                  <w:tcW w:w="755" w:type="dxa"/>
                  <w:tcBorders>
                    <w:top w:val="single" w:color="auto" w:sz="4" w:space="0"/>
                    <w:left w:val="nil"/>
                    <w:bottom w:val="single" w:color="auto" w:sz="4" w:space="0"/>
                    <w:right w:val="single" w:color="auto" w:sz="4" w:space="0"/>
                  </w:tcBorders>
                  <w:vAlign w:val="center"/>
                </w:tcPr>
                <w:p w14:paraId="07E224D8">
                  <w:pPr>
                    <w:jc w:val="center"/>
                    <w:rPr>
                      <w:b/>
                      <w:bCs/>
                      <w:highlight w:val="none"/>
                    </w:rPr>
                  </w:pPr>
                  <w:r>
                    <w:rPr>
                      <w:b/>
                      <w:bCs/>
                      <w:highlight w:val="none"/>
                    </w:rPr>
                    <w:t>PM</w:t>
                  </w:r>
                  <w:r>
                    <w:rPr>
                      <w:b/>
                      <w:bCs/>
                      <w:highlight w:val="none"/>
                      <w:vertAlign w:val="subscript"/>
                    </w:rPr>
                    <w:t>2.5</w:t>
                  </w:r>
                </w:p>
              </w:tc>
              <w:tc>
                <w:tcPr>
                  <w:tcW w:w="755" w:type="dxa"/>
                  <w:tcBorders>
                    <w:top w:val="single" w:color="auto" w:sz="4" w:space="0"/>
                    <w:left w:val="nil"/>
                    <w:bottom w:val="single" w:color="auto" w:sz="4" w:space="0"/>
                    <w:right w:val="single" w:color="auto" w:sz="4" w:space="0"/>
                  </w:tcBorders>
                  <w:vAlign w:val="center"/>
                </w:tcPr>
                <w:p w14:paraId="09AC2BCB">
                  <w:pPr>
                    <w:topLinePunct/>
                    <w:adjustRightInd w:val="0"/>
                    <w:snapToGrid w:val="0"/>
                    <w:jc w:val="center"/>
                    <w:textAlignment w:val="center"/>
                    <w:rPr>
                      <w:b/>
                      <w:bCs/>
                      <w:highlight w:val="none"/>
                    </w:rPr>
                  </w:pPr>
                  <w:r>
                    <w:rPr>
                      <w:b/>
                      <w:bCs/>
                      <w:highlight w:val="none"/>
                    </w:rPr>
                    <w:t>PM</w:t>
                  </w:r>
                  <w:r>
                    <w:rPr>
                      <w:b/>
                      <w:bCs/>
                      <w:highlight w:val="none"/>
                      <w:vertAlign w:val="subscript"/>
                    </w:rPr>
                    <w:t>10</w:t>
                  </w:r>
                </w:p>
              </w:tc>
              <w:tc>
                <w:tcPr>
                  <w:tcW w:w="755" w:type="dxa"/>
                  <w:tcBorders>
                    <w:top w:val="single" w:color="auto" w:sz="4" w:space="0"/>
                    <w:left w:val="nil"/>
                    <w:bottom w:val="single" w:color="auto" w:sz="4" w:space="0"/>
                    <w:right w:val="single" w:color="auto" w:sz="4" w:space="0"/>
                  </w:tcBorders>
                  <w:vAlign w:val="center"/>
                </w:tcPr>
                <w:p w14:paraId="2D18BC80">
                  <w:pPr>
                    <w:topLinePunct/>
                    <w:adjustRightInd w:val="0"/>
                    <w:snapToGrid w:val="0"/>
                    <w:jc w:val="center"/>
                    <w:textAlignment w:val="center"/>
                    <w:rPr>
                      <w:b/>
                      <w:bCs/>
                      <w:highlight w:val="none"/>
                    </w:rPr>
                  </w:pPr>
                  <w:r>
                    <w:rPr>
                      <w:b/>
                      <w:bCs/>
                      <w:highlight w:val="none"/>
                    </w:rPr>
                    <w:t>SO</w:t>
                  </w:r>
                  <w:r>
                    <w:rPr>
                      <w:b/>
                      <w:bCs/>
                      <w:highlight w:val="none"/>
                      <w:vertAlign w:val="subscript"/>
                    </w:rPr>
                    <w:t>2</w:t>
                  </w:r>
                </w:p>
              </w:tc>
              <w:tc>
                <w:tcPr>
                  <w:tcW w:w="755" w:type="dxa"/>
                  <w:tcBorders>
                    <w:top w:val="single" w:color="auto" w:sz="4" w:space="0"/>
                    <w:left w:val="nil"/>
                    <w:bottom w:val="single" w:color="auto" w:sz="4" w:space="0"/>
                    <w:right w:val="single" w:color="auto" w:sz="4" w:space="0"/>
                  </w:tcBorders>
                  <w:vAlign w:val="center"/>
                </w:tcPr>
                <w:p w14:paraId="2904455B">
                  <w:pPr>
                    <w:topLinePunct/>
                    <w:adjustRightInd w:val="0"/>
                    <w:snapToGrid w:val="0"/>
                    <w:jc w:val="center"/>
                    <w:textAlignment w:val="center"/>
                    <w:rPr>
                      <w:b/>
                      <w:bCs/>
                      <w:highlight w:val="none"/>
                    </w:rPr>
                  </w:pPr>
                  <w:r>
                    <w:rPr>
                      <w:b/>
                      <w:bCs/>
                      <w:highlight w:val="none"/>
                    </w:rPr>
                    <w:t>CO</w:t>
                  </w:r>
                </w:p>
              </w:tc>
              <w:tc>
                <w:tcPr>
                  <w:tcW w:w="755" w:type="dxa"/>
                  <w:tcBorders>
                    <w:top w:val="single" w:color="auto" w:sz="4" w:space="0"/>
                    <w:left w:val="nil"/>
                    <w:bottom w:val="single" w:color="auto" w:sz="4" w:space="0"/>
                    <w:right w:val="single" w:color="auto" w:sz="4" w:space="0"/>
                  </w:tcBorders>
                  <w:vAlign w:val="center"/>
                </w:tcPr>
                <w:p w14:paraId="23E57925">
                  <w:pPr>
                    <w:topLinePunct/>
                    <w:adjustRightInd w:val="0"/>
                    <w:snapToGrid w:val="0"/>
                    <w:jc w:val="center"/>
                    <w:textAlignment w:val="center"/>
                    <w:rPr>
                      <w:b/>
                      <w:bCs/>
                      <w:highlight w:val="none"/>
                    </w:rPr>
                  </w:pPr>
                  <w:r>
                    <w:rPr>
                      <w:b/>
                      <w:bCs/>
                      <w:highlight w:val="none"/>
                    </w:rPr>
                    <w:t>O</w:t>
                  </w:r>
                  <w:r>
                    <w:rPr>
                      <w:b/>
                      <w:bCs/>
                      <w:highlight w:val="none"/>
                      <w:vertAlign w:val="subscript"/>
                    </w:rPr>
                    <w:t>3</w:t>
                  </w:r>
                </w:p>
              </w:tc>
              <w:tc>
                <w:tcPr>
                  <w:tcW w:w="764" w:type="dxa"/>
                  <w:tcBorders>
                    <w:top w:val="single" w:color="auto" w:sz="4" w:space="0"/>
                    <w:left w:val="nil"/>
                    <w:bottom w:val="single" w:color="auto" w:sz="4" w:space="0"/>
                    <w:right w:val="single" w:color="auto" w:sz="4" w:space="0"/>
                  </w:tcBorders>
                  <w:vAlign w:val="center"/>
                </w:tcPr>
                <w:p w14:paraId="3565460D">
                  <w:pPr>
                    <w:topLinePunct/>
                    <w:adjustRightInd w:val="0"/>
                    <w:snapToGrid w:val="0"/>
                    <w:jc w:val="center"/>
                    <w:textAlignment w:val="center"/>
                    <w:rPr>
                      <w:b/>
                      <w:bCs/>
                      <w:highlight w:val="none"/>
                    </w:rPr>
                  </w:pPr>
                  <w:r>
                    <w:rPr>
                      <w:b/>
                      <w:bCs/>
                      <w:highlight w:val="none"/>
                    </w:rPr>
                    <w:t>NO</w:t>
                  </w:r>
                  <w:r>
                    <w:rPr>
                      <w:b/>
                      <w:bCs/>
                      <w:highlight w:val="none"/>
                      <w:vertAlign w:val="subscript"/>
                    </w:rPr>
                    <w:t>2</w:t>
                  </w:r>
                </w:p>
              </w:tc>
              <w:tc>
                <w:tcPr>
                  <w:tcW w:w="1161" w:type="dxa"/>
                  <w:vMerge w:val="continue"/>
                  <w:tcBorders>
                    <w:left w:val="nil"/>
                    <w:bottom w:val="single" w:color="auto" w:sz="4" w:space="0"/>
                    <w:right w:val="single" w:color="auto" w:sz="4" w:space="0"/>
                  </w:tcBorders>
                  <w:vAlign w:val="center"/>
                </w:tcPr>
                <w:p w14:paraId="093D30C0">
                  <w:pPr>
                    <w:topLinePunct/>
                    <w:adjustRightInd w:val="0"/>
                    <w:snapToGrid w:val="0"/>
                    <w:jc w:val="center"/>
                    <w:textAlignment w:val="center"/>
                    <w:rPr>
                      <w:b/>
                      <w:bCs/>
                      <w:highlight w:val="none"/>
                    </w:rPr>
                  </w:pPr>
                </w:p>
              </w:tc>
            </w:tr>
            <w:tr w14:paraId="1FC29D9A">
              <w:tblPrEx>
                <w:tblCellMar>
                  <w:top w:w="0" w:type="dxa"/>
                  <w:left w:w="108" w:type="dxa"/>
                  <w:bottom w:w="0" w:type="dxa"/>
                  <w:right w:w="108" w:type="dxa"/>
                </w:tblCellMar>
              </w:tblPrEx>
              <w:trPr>
                <w:cantSplit/>
                <w:trHeight w:val="288" w:hRule="atLeast"/>
                <w:jc w:val="center"/>
              </w:trPr>
              <w:tc>
                <w:tcPr>
                  <w:tcW w:w="1140" w:type="dxa"/>
                  <w:tcBorders>
                    <w:top w:val="single" w:color="auto" w:sz="4" w:space="0"/>
                    <w:left w:val="single" w:color="auto" w:sz="4" w:space="0"/>
                    <w:bottom w:val="single" w:color="auto" w:sz="4" w:space="0"/>
                    <w:right w:val="single" w:color="auto" w:sz="4" w:space="0"/>
                  </w:tcBorders>
                  <w:vAlign w:val="center"/>
                </w:tcPr>
                <w:p w14:paraId="5E8BA842">
                  <w:pPr>
                    <w:jc w:val="center"/>
                    <w:rPr>
                      <w:rFonts w:hint="default" w:eastAsia="宋体"/>
                      <w:bCs/>
                      <w:highlight w:val="none"/>
                      <w:lang w:val="en-US" w:eastAsia="zh-CN"/>
                    </w:rPr>
                  </w:pPr>
                  <w:r>
                    <w:rPr>
                      <w:rFonts w:hint="eastAsia"/>
                      <w:bCs/>
                      <w:highlight w:val="none"/>
                      <w:lang w:val="en-US" w:eastAsia="zh-CN"/>
                    </w:rPr>
                    <w:t>围场满族蒙古族自治县</w:t>
                  </w:r>
                </w:p>
              </w:tc>
              <w:tc>
                <w:tcPr>
                  <w:tcW w:w="1064" w:type="dxa"/>
                  <w:tcBorders>
                    <w:top w:val="single" w:color="auto" w:sz="4" w:space="0"/>
                    <w:left w:val="nil"/>
                    <w:bottom w:val="single" w:color="auto" w:sz="4" w:space="0"/>
                    <w:right w:val="single" w:color="auto" w:sz="4" w:space="0"/>
                  </w:tcBorders>
                  <w:vAlign w:val="center"/>
                </w:tcPr>
                <w:p w14:paraId="2EC2D5DA">
                  <w:pPr>
                    <w:jc w:val="center"/>
                    <w:rPr>
                      <w:rFonts w:hint="default" w:eastAsia="宋体"/>
                      <w:bCs/>
                      <w:highlight w:val="none"/>
                      <w:lang w:val="en-US" w:eastAsia="zh-CN"/>
                    </w:rPr>
                  </w:pPr>
                  <w:r>
                    <w:rPr>
                      <w:rFonts w:hint="eastAsia"/>
                      <w:color w:val="000000"/>
                      <w:szCs w:val="21"/>
                      <w:highlight w:val="none"/>
                      <w:lang w:val="en-US" w:eastAsia="zh-CN"/>
                    </w:rPr>
                    <w:t>2.82</w:t>
                  </w:r>
                </w:p>
              </w:tc>
              <w:tc>
                <w:tcPr>
                  <w:tcW w:w="755" w:type="dxa"/>
                  <w:tcBorders>
                    <w:top w:val="single" w:color="auto" w:sz="4" w:space="0"/>
                    <w:left w:val="nil"/>
                    <w:bottom w:val="single" w:color="auto" w:sz="4" w:space="0"/>
                    <w:right w:val="single" w:color="auto" w:sz="4" w:space="0"/>
                  </w:tcBorders>
                  <w:vAlign w:val="center"/>
                </w:tcPr>
                <w:p w14:paraId="0392D8ED">
                  <w:pPr>
                    <w:jc w:val="center"/>
                    <w:rPr>
                      <w:rFonts w:hint="default" w:eastAsia="宋体"/>
                      <w:bCs/>
                      <w:color w:val="000000" w:themeColor="text1"/>
                      <w:highlight w:val="none"/>
                      <w:lang w:val="en-US" w:eastAsia="zh-CN"/>
                      <w14:textFill>
                        <w14:solidFill>
                          <w14:schemeClr w14:val="tx1"/>
                        </w14:solidFill>
                      </w14:textFill>
                    </w:rPr>
                  </w:pPr>
                  <w:r>
                    <w:rPr>
                      <w:rFonts w:hint="eastAsia"/>
                      <w:bCs/>
                      <w:color w:val="000000" w:themeColor="text1"/>
                      <w:highlight w:val="none"/>
                      <w:lang w:val="en-US" w:eastAsia="zh-CN"/>
                      <w14:textFill>
                        <w14:solidFill>
                          <w14:schemeClr w14:val="tx1"/>
                        </w14:solidFill>
                      </w14:textFill>
                    </w:rPr>
                    <w:t>18</w:t>
                  </w:r>
                </w:p>
              </w:tc>
              <w:tc>
                <w:tcPr>
                  <w:tcW w:w="755" w:type="dxa"/>
                  <w:tcBorders>
                    <w:top w:val="single" w:color="auto" w:sz="4" w:space="0"/>
                    <w:left w:val="nil"/>
                    <w:bottom w:val="single" w:color="auto" w:sz="4" w:space="0"/>
                    <w:right w:val="single" w:color="auto" w:sz="4" w:space="0"/>
                  </w:tcBorders>
                  <w:vAlign w:val="center"/>
                </w:tcPr>
                <w:p w14:paraId="3398AF93">
                  <w:pPr>
                    <w:widowControl/>
                    <w:jc w:val="center"/>
                    <w:rPr>
                      <w:bCs/>
                      <w:color w:val="000000" w:themeColor="text1"/>
                      <w:highlight w:val="none"/>
                      <w14:textFill>
                        <w14:solidFill>
                          <w14:schemeClr w14:val="tx1"/>
                        </w14:solidFill>
                      </w14:textFill>
                    </w:rPr>
                  </w:pPr>
                  <w:r>
                    <w:rPr>
                      <w:rFonts w:hint="eastAsia"/>
                      <w:szCs w:val="21"/>
                      <w:highlight w:val="none"/>
                      <w:lang w:val="en-US" w:eastAsia="zh-CN"/>
                    </w:rPr>
                    <w:t>4</w:t>
                  </w:r>
                  <w:r>
                    <w:rPr>
                      <w:szCs w:val="21"/>
                      <w:highlight w:val="none"/>
                    </w:rPr>
                    <w:t>1</w:t>
                  </w:r>
                </w:p>
              </w:tc>
              <w:tc>
                <w:tcPr>
                  <w:tcW w:w="755" w:type="dxa"/>
                  <w:tcBorders>
                    <w:top w:val="single" w:color="auto" w:sz="4" w:space="0"/>
                    <w:left w:val="nil"/>
                    <w:bottom w:val="single" w:color="auto" w:sz="4" w:space="0"/>
                    <w:right w:val="single" w:color="auto" w:sz="4" w:space="0"/>
                  </w:tcBorders>
                  <w:vAlign w:val="center"/>
                </w:tcPr>
                <w:p w14:paraId="03946C14">
                  <w:pPr>
                    <w:widowControl/>
                    <w:jc w:val="center"/>
                    <w:rPr>
                      <w:rFonts w:hint="eastAsia" w:eastAsia="宋体"/>
                      <w:bCs/>
                      <w:color w:val="000000" w:themeColor="text1"/>
                      <w:highlight w:val="none"/>
                      <w:lang w:val="en-US" w:eastAsia="zh-CN"/>
                      <w14:textFill>
                        <w14:solidFill>
                          <w14:schemeClr w14:val="tx1"/>
                        </w14:solidFill>
                      </w14:textFill>
                    </w:rPr>
                  </w:pPr>
                  <w:r>
                    <w:rPr>
                      <w:rFonts w:hint="eastAsia"/>
                      <w:bCs/>
                      <w:color w:val="000000" w:themeColor="text1"/>
                      <w:highlight w:val="none"/>
                      <w:lang w:val="en-US" w:eastAsia="zh-CN"/>
                      <w14:textFill>
                        <w14:solidFill>
                          <w14:schemeClr w14:val="tx1"/>
                        </w14:solidFill>
                      </w14:textFill>
                    </w:rPr>
                    <w:t>8</w:t>
                  </w:r>
                </w:p>
              </w:tc>
              <w:tc>
                <w:tcPr>
                  <w:tcW w:w="755" w:type="dxa"/>
                  <w:tcBorders>
                    <w:top w:val="single" w:color="auto" w:sz="4" w:space="0"/>
                    <w:left w:val="nil"/>
                    <w:right w:val="single" w:color="auto" w:sz="4" w:space="0"/>
                  </w:tcBorders>
                  <w:vAlign w:val="center"/>
                </w:tcPr>
                <w:p w14:paraId="7002EE4A">
                  <w:pPr>
                    <w:widowControl/>
                    <w:jc w:val="center"/>
                    <w:rPr>
                      <w:rFonts w:hint="default" w:eastAsia="宋体"/>
                      <w:bCs/>
                      <w:color w:val="000000" w:themeColor="text1"/>
                      <w:highlight w:val="none"/>
                      <w:lang w:val="en-US" w:eastAsia="zh-CN"/>
                      <w14:textFill>
                        <w14:solidFill>
                          <w14:schemeClr w14:val="tx1"/>
                        </w14:solidFill>
                      </w14:textFill>
                    </w:rPr>
                  </w:pPr>
                  <w:r>
                    <w:rPr>
                      <w:rFonts w:hint="eastAsia"/>
                      <w:bCs/>
                      <w:color w:val="000000" w:themeColor="text1"/>
                      <w:highlight w:val="none"/>
                      <w:lang w:val="en-US" w:eastAsia="zh-CN"/>
                      <w14:textFill>
                        <w14:solidFill>
                          <w14:schemeClr w14:val="tx1"/>
                        </w14:solidFill>
                      </w14:textFill>
                    </w:rPr>
                    <w:t>0.8</w:t>
                  </w:r>
                </w:p>
              </w:tc>
              <w:tc>
                <w:tcPr>
                  <w:tcW w:w="755" w:type="dxa"/>
                  <w:tcBorders>
                    <w:top w:val="single" w:color="auto" w:sz="4" w:space="0"/>
                    <w:left w:val="nil"/>
                    <w:right w:val="single" w:color="auto" w:sz="4" w:space="0"/>
                  </w:tcBorders>
                  <w:vAlign w:val="center"/>
                </w:tcPr>
                <w:p w14:paraId="3B7C8179">
                  <w:pPr>
                    <w:widowControl/>
                    <w:jc w:val="center"/>
                    <w:rPr>
                      <w:rFonts w:hint="default" w:eastAsia="宋体"/>
                      <w:bCs/>
                      <w:color w:val="000000" w:themeColor="text1"/>
                      <w:highlight w:val="none"/>
                      <w:lang w:val="en-US" w:eastAsia="zh-CN"/>
                      <w14:textFill>
                        <w14:solidFill>
                          <w14:schemeClr w14:val="tx1"/>
                        </w14:solidFill>
                      </w14:textFill>
                    </w:rPr>
                  </w:pPr>
                  <w:r>
                    <w:rPr>
                      <w:szCs w:val="21"/>
                      <w:highlight w:val="none"/>
                    </w:rPr>
                    <w:t>1</w:t>
                  </w:r>
                  <w:r>
                    <w:rPr>
                      <w:rFonts w:hint="eastAsia"/>
                      <w:szCs w:val="21"/>
                      <w:highlight w:val="none"/>
                      <w:lang w:val="en-US" w:eastAsia="zh-CN"/>
                    </w:rPr>
                    <w:t>46</w:t>
                  </w:r>
                </w:p>
              </w:tc>
              <w:tc>
                <w:tcPr>
                  <w:tcW w:w="764" w:type="dxa"/>
                  <w:tcBorders>
                    <w:top w:val="single" w:color="auto" w:sz="4" w:space="0"/>
                    <w:left w:val="nil"/>
                    <w:right w:val="single" w:color="auto" w:sz="4" w:space="0"/>
                  </w:tcBorders>
                  <w:vAlign w:val="center"/>
                </w:tcPr>
                <w:p w14:paraId="327FCAB6">
                  <w:pPr>
                    <w:widowControl/>
                    <w:jc w:val="center"/>
                    <w:rPr>
                      <w:rFonts w:hint="default" w:eastAsia="宋体"/>
                      <w:bCs/>
                      <w:highlight w:val="none"/>
                      <w:lang w:val="en-US" w:eastAsia="zh-CN"/>
                    </w:rPr>
                  </w:pPr>
                  <w:r>
                    <w:rPr>
                      <w:rFonts w:hint="eastAsia"/>
                      <w:bCs/>
                      <w:highlight w:val="none"/>
                      <w:lang w:val="en-US" w:eastAsia="zh-CN"/>
                    </w:rPr>
                    <w:t>19</w:t>
                  </w:r>
                </w:p>
              </w:tc>
              <w:tc>
                <w:tcPr>
                  <w:tcW w:w="1161" w:type="dxa"/>
                  <w:tcBorders>
                    <w:top w:val="single" w:color="auto" w:sz="4" w:space="0"/>
                    <w:left w:val="nil"/>
                    <w:right w:val="single" w:color="auto" w:sz="4" w:space="0"/>
                  </w:tcBorders>
                  <w:vAlign w:val="center"/>
                </w:tcPr>
                <w:p w14:paraId="6B907418">
                  <w:pPr>
                    <w:widowControl/>
                    <w:jc w:val="center"/>
                    <w:rPr>
                      <w:b/>
                      <w:bCs/>
                      <w:highlight w:val="none"/>
                    </w:rPr>
                  </w:pPr>
                  <w:r>
                    <w:rPr>
                      <w:b/>
                      <w:color w:val="000000"/>
                      <w:szCs w:val="21"/>
                      <w:highlight w:val="none"/>
                    </w:rPr>
                    <w:t>O</w:t>
                  </w:r>
                  <w:r>
                    <w:rPr>
                      <w:b/>
                      <w:color w:val="000000"/>
                      <w:szCs w:val="21"/>
                      <w:highlight w:val="none"/>
                      <w:vertAlign w:val="subscript"/>
                    </w:rPr>
                    <w:t>3</w:t>
                  </w:r>
                </w:p>
              </w:tc>
            </w:tr>
            <w:tr w14:paraId="36FDBAFD">
              <w:tblPrEx>
                <w:tblCellMar>
                  <w:top w:w="0" w:type="dxa"/>
                  <w:left w:w="108" w:type="dxa"/>
                  <w:bottom w:w="0" w:type="dxa"/>
                  <w:right w:w="108" w:type="dxa"/>
                </w:tblCellMar>
              </w:tblPrEx>
              <w:trPr>
                <w:cantSplit/>
                <w:trHeight w:val="315" w:hRule="atLeast"/>
                <w:jc w:val="center"/>
              </w:trPr>
              <w:tc>
                <w:tcPr>
                  <w:tcW w:w="2204" w:type="dxa"/>
                  <w:gridSpan w:val="2"/>
                  <w:tcBorders>
                    <w:top w:val="single" w:color="auto" w:sz="4" w:space="0"/>
                    <w:left w:val="single" w:color="auto" w:sz="4" w:space="0"/>
                    <w:bottom w:val="single" w:color="auto" w:sz="4" w:space="0"/>
                    <w:right w:val="single" w:color="auto" w:sz="4" w:space="0"/>
                  </w:tcBorders>
                  <w:vAlign w:val="center"/>
                </w:tcPr>
                <w:p w14:paraId="0824F18B">
                  <w:pPr>
                    <w:jc w:val="center"/>
                    <w:rPr>
                      <w:bCs/>
                      <w:highlight w:val="none"/>
                    </w:rPr>
                  </w:pPr>
                  <w:r>
                    <w:rPr>
                      <w:bCs/>
                      <w:highlight w:val="none"/>
                    </w:rPr>
                    <w:t>年均浓度限值</w:t>
                  </w:r>
                </w:p>
              </w:tc>
              <w:tc>
                <w:tcPr>
                  <w:tcW w:w="755" w:type="dxa"/>
                  <w:tcBorders>
                    <w:top w:val="single" w:color="auto" w:sz="4" w:space="0"/>
                    <w:left w:val="nil"/>
                    <w:bottom w:val="single" w:color="auto" w:sz="4" w:space="0"/>
                    <w:right w:val="single" w:color="auto" w:sz="4" w:space="0"/>
                  </w:tcBorders>
                  <w:vAlign w:val="center"/>
                </w:tcPr>
                <w:p w14:paraId="0C5317BF">
                  <w:pPr>
                    <w:jc w:val="center"/>
                    <w:rPr>
                      <w:bCs/>
                      <w:highlight w:val="none"/>
                    </w:rPr>
                  </w:pPr>
                  <w:r>
                    <w:rPr>
                      <w:bCs/>
                      <w:highlight w:val="none"/>
                    </w:rPr>
                    <w:t>35</w:t>
                  </w:r>
                </w:p>
              </w:tc>
              <w:tc>
                <w:tcPr>
                  <w:tcW w:w="755" w:type="dxa"/>
                  <w:tcBorders>
                    <w:top w:val="single" w:color="auto" w:sz="4" w:space="0"/>
                    <w:left w:val="nil"/>
                    <w:bottom w:val="single" w:color="auto" w:sz="4" w:space="0"/>
                    <w:right w:val="single" w:color="auto" w:sz="4" w:space="0"/>
                  </w:tcBorders>
                  <w:vAlign w:val="center"/>
                </w:tcPr>
                <w:p w14:paraId="6AC2C157">
                  <w:pPr>
                    <w:widowControl/>
                    <w:jc w:val="center"/>
                    <w:rPr>
                      <w:bCs/>
                      <w:highlight w:val="none"/>
                    </w:rPr>
                  </w:pPr>
                  <w:r>
                    <w:rPr>
                      <w:bCs/>
                      <w:highlight w:val="none"/>
                    </w:rPr>
                    <w:t>70</w:t>
                  </w:r>
                </w:p>
              </w:tc>
              <w:tc>
                <w:tcPr>
                  <w:tcW w:w="755" w:type="dxa"/>
                  <w:tcBorders>
                    <w:top w:val="single" w:color="auto" w:sz="4" w:space="0"/>
                    <w:left w:val="nil"/>
                    <w:bottom w:val="single" w:color="auto" w:sz="4" w:space="0"/>
                    <w:right w:val="single" w:color="auto" w:sz="4" w:space="0"/>
                  </w:tcBorders>
                  <w:vAlign w:val="center"/>
                </w:tcPr>
                <w:p w14:paraId="4C802755">
                  <w:pPr>
                    <w:jc w:val="center"/>
                    <w:rPr>
                      <w:bCs/>
                      <w:highlight w:val="none"/>
                    </w:rPr>
                  </w:pPr>
                  <w:r>
                    <w:rPr>
                      <w:bCs/>
                      <w:highlight w:val="none"/>
                    </w:rPr>
                    <w:t>60</w:t>
                  </w:r>
                </w:p>
              </w:tc>
              <w:tc>
                <w:tcPr>
                  <w:tcW w:w="755" w:type="dxa"/>
                  <w:tcBorders>
                    <w:top w:val="single" w:color="auto" w:sz="4" w:space="0"/>
                    <w:left w:val="nil"/>
                    <w:bottom w:val="single" w:color="auto" w:sz="4" w:space="0"/>
                    <w:right w:val="single" w:color="auto" w:sz="4" w:space="0"/>
                  </w:tcBorders>
                  <w:vAlign w:val="center"/>
                </w:tcPr>
                <w:p w14:paraId="6B71C3F7">
                  <w:pPr>
                    <w:jc w:val="center"/>
                    <w:rPr>
                      <w:bCs/>
                      <w:highlight w:val="none"/>
                    </w:rPr>
                  </w:pPr>
                  <w:r>
                    <w:rPr>
                      <w:bCs/>
                      <w:highlight w:val="none"/>
                    </w:rPr>
                    <w:t>4</w:t>
                  </w:r>
                </w:p>
              </w:tc>
              <w:tc>
                <w:tcPr>
                  <w:tcW w:w="755" w:type="dxa"/>
                  <w:tcBorders>
                    <w:top w:val="single" w:color="auto" w:sz="4" w:space="0"/>
                    <w:left w:val="nil"/>
                    <w:bottom w:val="single" w:color="auto" w:sz="4" w:space="0"/>
                    <w:right w:val="single" w:color="auto" w:sz="4" w:space="0"/>
                  </w:tcBorders>
                  <w:vAlign w:val="center"/>
                </w:tcPr>
                <w:p w14:paraId="0677BDA4">
                  <w:pPr>
                    <w:jc w:val="center"/>
                    <w:rPr>
                      <w:bCs/>
                      <w:highlight w:val="none"/>
                    </w:rPr>
                  </w:pPr>
                  <w:r>
                    <w:rPr>
                      <w:bCs/>
                      <w:highlight w:val="none"/>
                    </w:rPr>
                    <w:t>160</w:t>
                  </w:r>
                </w:p>
              </w:tc>
              <w:tc>
                <w:tcPr>
                  <w:tcW w:w="764" w:type="dxa"/>
                  <w:tcBorders>
                    <w:top w:val="single" w:color="auto" w:sz="4" w:space="0"/>
                    <w:left w:val="nil"/>
                    <w:bottom w:val="single" w:color="auto" w:sz="4" w:space="0"/>
                    <w:right w:val="single" w:color="auto" w:sz="4" w:space="0"/>
                  </w:tcBorders>
                  <w:vAlign w:val="center"/>
                </w:tcPr>
                <w:p w14:paraId="3AB2E710">
                  <w:pPr>
                    <w:jc w:val="center"/>
                    <w:rPr>
                      <w:bCs/>
                      <w:highlight w:val="none"/>
                    </w:rPr>
                  </w:pPr>
                  <w:r>
                    <w:rPr>
                      <w:bCs/>
                      <w:highlight w:val="none"/>
                    </w:rPr>
                    <w:t>40</w:t>
                  </w:r>
                </w:p>
              </w:tc>
              <w:tc>
                <w:tcPr>
                  <w:tcW w:w="1161" w:type="dxa"/>
                  <w:tcBorders>
                    <w:top w:val="single" w:color="auto" w:sz="4" w:space="0"/>
                    <w:left w:val="nil"/>
                    <w:bottom w:val="single" w:color="auto" w:sz="4" w:space="0"/>
                    <w:right w:val="single" w:color="auto" w:sz="4" w:space="0"/>
                  </w:tcBorders>
                  <w:vAlign w:val="center"/>
                </w:tcPr>
                <w:p w14:paraId="7C572A46">
                  <w:pPr>
                    <w:jc w:val="center"/>
                    <w:rPr>
                      <w:bCs/>
                      <w:highlight w:val="none"/>
                    </w:rPr>
                  </w:pPr>
                  <w:r>
                    <w:rPr>
                      <w:bCs/>
                      <w:highlight w:val="none"/>
                    </w:rPr>
                    <w:t>/</w:t>
                  </w:r>
                </w:p>
              </w:tc>
            </w:tr>
          </w:tbl>
          <w:p w14:paraId="3EFB439E">
            <w:pPr>
              <w:spacing w:line="360" w:lineRule="auto"/>
              <w:ind w:firstLine="361"/>
              <w:rPr>
                <w:rFonts w:ascii="宋体" w:hAnsi="宋体"/>
                <w:highlight w:val="none"/>
              </w:rPr>
            </w:pPr>
            <w:r>
              <w:rPr>
                <w:b/>
                <w:bCs/>
                <w:sz w:val="18"/>
                <w:highlight w:val="none"/>
              </w:rPr>
              <w:t>注：</w:t>
            </w:r>
            <w:r>
              <w:rPr>
                <w:rFonts w:hint="eastAsia"/>
                <w:b/>
                <w:bCs/>
                <w:sz w:val="18"/>
                <w:highlight w:val="none"/>
              </w:rPr>
              <w:t>1.CO的浓度单位是mg/m</w:t>
            </w:r>
            <w:r>
              <w:rPr>
                <w:rFonts w:hint="eastAsia"/>
                <w:b/>
                <w:bCs/>
                <w:sz w:val="18"/>
                <w:highlight w:val="none"/>
                <w:vertAlign w:val="superscript"/>
              </w:rPr>
              <w:t>3</w:t>
            </w:r>
            <w:r>
              <w:rPr>
                <w:rFonts w:hint="eastAsia"/>
                <w:b/>
                <w:bCs/>
                <w:sz w:val="18"/>
                <w:highlight w:val="none"/>
              </w:rPr>
              <w:t>，PM</w:t>
            </w:r>
            <w:r>
              <w:rPr>
                <w:rFonts w:hint="eastAsia"/>
                <w:b/>
                <w:bCs/>
                <w:sz w:val="18"/>
                <w:highlight w:val="none"/>
                <w:vertAlign w:val="subscript"/>
              </w:rPr>
              <w:t>2.5</w:t>
            </w:r>
            <w:r>
              <w:rPr>
                <w:rFonts w:hint="eastAsia"/>
                <w:b/>
                <w:bCs/>
                <w:sz w:val="18"/>
                <w:highlight w:val="none"/>
              </w:rPr>
              <w:t>、PM</w:t>
            </w:r>
            <w:r>
              <w:rPr>
                <w:rFonts w:hint="eastAsia"/>
                <w:b/>
                <w:bCs/>
                <w:sz w:val="18"/>
                <w:highlight w:val="none"/>
                <w:vertAlign w:val="subscript"/>
              </w:rPr>
              <w:t>10</w:t>
            </w:r>
            <w:r>
              <w:rPr>
                <w:rFonts w:hint="eastAsia"/>
                <w:b/>
                <w:bCs/>
                <w:sz w:val="18"/>
                <w:highlight w:val="none"/>
              </w:rPr>
              <w:t>、NO</w:t>
            </w:r>
            <w:r>
              <w:rPr>
                <w:rFonts w:hint="eastAsia"/>
                <w:b/>
                <w:bCs/>
                <w:sz w:val="18"/>
                <w:highlight w:val="none"/>
                <w:vertAlign w:val="subscript"/>
              </w:rPr>
              <w:t>2</w:t>
            </w:r>
            <w:r>
              <w:rPr>
                <w:rFonts w:hint="eastAsia"/>
                <w:b/>
                <w:bCs/>
                <w:sz w:val="18"/>
                <w:highlight w:val="none"/>
              </w:rPr>
              <w:t>、SO</w:t>
            </w:r>
            <w:r>
              <w:rPr>
                <w:rFonts w:hint="eastAsia"/>
                <w:b/>
                <w:bCs/>
                <w:sz w:val="18"/>
                <w:highlight w:val="none"/>
                <w:vertAlign w:val="subscript"/>
              </w:rPr>
              <w:t>2</w:t>
            </w:r>
            <w:r>
              <w:rPr>
                <w:rFonts w:hint="eastAsia"/>
                <w:b/>
                <w:bCs/>
                <w:sz w:val="18"/>
                <w:highlight w:val="none"/>
              </w:rPr>
              <w:t>、O</w:t>
            </w:r>
            <w:r>
              <w:rPr>
                <w:rFonts w:hint="eastAsia"/>
                <w:b/>
                <w:bCs/>
                <w:sz w:val="18"/>
                <w:highlight w:val="none"/>
                <w:vertAlign w:val="subscript"/>
              </w:rPr>
              <w:t>3</w:t>
            </w:r>
            <w:r>
              <w:rPr>
                <w:rFonts w:hint="eastAsia"/>
                <w:b/>
                <w:bCs/>
                <w:sz w:val="18"/>
                <w:highlight w:val="none"/>
              </w:rPr>
              <w:t>的浓度单位是μg/m</w:t>
            </w:r>
            <w:r>
              <w:rPr>
                <w:rFonts w:hint="eastAsia"/>
                <w:b/>
                <w:bCs/>
                <w:sz w:val="18"/>
                <w:highlight w:val="none"/>
                <w:vertAlign w:val="superscript"/>
              </w:rPr>
              <w:t>3</w:t>
            </w:r>
            <w:r>
              <w:rPr>
                <w:rFonts w:hint="eastAsia"/>
                <w:b/>
                <w:bCs/>
                <w:sz w:val="18"/>
                <w:highlight w:val="none"/>
              </w:rPr>
              <w:t>；2.CO</w:t>
            </w:r>
            <w:r>
              <w:rPr>
                <w:b/>
                <w:bCs/>
                <w:sz w:val="18"/>
                <w:highlight w:val="none"/>
              </w:rPr>
              <w:t>为24小时平均第</w:t>
            </w:r>
            <w:r>
              <w:rPr>
                <w:rFonts w:hint="eastAsia"/>
                <w:b/>
                <w:bCs/>
                <w:sz w:val="18"/>
                <w:highlight w:val="none"/>
              </w:rPr>
              <w:t>95百分位数，</w:t>
            </w:r>
            <w:r>
              <w:rPr>
                <w:b/>
                <w:bCs/>
                <w:sz w:val="18"/>
                <w:highlight w:val="none"/>
              </w:rPr>
              <w:t>O</w:t>
            </w:r>
            <w:r>
              <w:rPr>
                <w:b/>
                <w:bCs/>
                <w:sz w:val="18"/>
                <w:highlight w:val="none"/>
                <w:vertAlign w:val="subscript"/>
              </w:rPr>
              <w:t>3</w:t>
            </w:r>
            <w:r>
              <w:rPr>
                <w:b/>
                <w:bCs/>
                <w:sz w:val="18"/>
                <w:highlight w:val="none"/>
              </w:rPr>
              <w:t>为日最大8小时平均</w:t>
            </w:r>
            <w:r>
              <w:rPr>
                <w:rFonts w:hint="eastAsia"/>
                <w:b/>
                <w:bCs/>
                <w:sz w:val="18"/>
                <w:highlight w:val="none"/>
              </w:rPr>
              <w:t>第90百分位数。</w:t>
            </w:r>
          </w:p>
          <w:p w14:paraId="47A7912D">
            <w:pPr>
              <w:spacing w:line="360" w:lineRule="auto"/>
              <w:ind w:firstLine="480"/>
              <w:rPr>
                <w:sz w:val="24"/>
                <w:highlight w:val="none"/>
              </w:rPr>
            </w:pPr>
            <w:bookmarkStart w:id="15" w:name="_Toc426554617"/>
            <w:r>
              <w:rPr>
                <w:rFonts w:hint="eastAsia"/>
                <w:sz w:val="24"/>
                <w:highlight w:val="none"/>
              </w:rPr>
              <w:t>区域环境质量现在评价表列表如下：</w:t>
            </w:r>
          </w:p>
          <w:p w14:paraId="41BE1E5A">
            <w:pPr>
              <w:pStyle w:val="49"/>
              <w:numPr>
                <w:ilvl w:val="0"/>
                <w:numId w:val="10"/>
              </w:numPr>
              <w:spacing w:line="360" w:lineRule="auto"/>
              <w:ind w:left="0" w:firstLine="0"/>
              <w:rPr>
                <w:rFonts w:eastAsia="宋体"/>
                <w:b/>
                <w:highlight w:val="none"/>
              </w:rPr>
            </w:pPr>
            <w:r>
              <w:rPr>
                <w:rFonts w:hint="eastAsia" w:eastAsia="宋体"/>
                <w:b/>
                <w:highlight w:val="none"/>
              </w:rPr>
              <w:t>区域环境空气质量现状评价表（围场满族蒙古族自治县）</w:t>
            </w:r>
          </w:p>
          <w:tbl>
            <w:tblPr>
              <w:tblStyle w:val="23"/>
              <w:tblW w:w="81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8"/>
              <w:gridCol w:w="1651"/>
              <w:gridCol w:w="881"/>
              <w:gridCol w:w="881"/>
              <w:gridCol w:w="881"/>
              <w:gridCol w:w="881"/>
              <w:gridCol w:w="897"/>
              <w:gridCol w:w="881"/>
            </w:tblGrid>
            <w:tr w14:paraId="71E03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730" w:type="pct"/>
                  <w:tcBorders>
                    <w:top w:val="single" w:color="auto" w:sz="4" w:space="0"/>
                    <w:left w:val="single" w:color="auto" w:sz="4" w:space="0"/>
                    <w:bottom w:val="single" w:color="auto" w:sz="4" w:space="0"/>
                    <w:right w:val="single" w:color="auto" w:sz="4" w:space="0"/>
                  </w:tcBorders>
                  <w:vAlign w:val="center"/>
                </w:tcPr>
                <w:p w14:paraId="0633FB14">
                  <w:pPr>
                    <w:pStyle w:val="74"/>
                    <w:rPr>
                      <w:rFonts w:cs="Times New Roman"/>
                      <w:b/>
                      <w:highlight w:val="none"/>
                    </w:rPr>
                  </w:pPr>
                  <w:r>
                    <w:rPr>
                      <w:rFonts w:hint="eastAsia" w:cs="Times New Roman"/>
                      <w:b/>
                      <w:highlight w:val="none"/>
                    </w:rPr>
                    <w:t>年份</w:t>
                  </w:r>
                </w:p>
              </w:tc>
              <w:tc>
                <w:tcPr>
                  <w:tcW w:w="1014" w:type="pct"/>
                  <w:tcBorders>
                    <w:top w:val="single" w:color="auto" w:sz="4" w:space="0"/>
                    <w:left w:val="single" w:color="auto" w:sz="4" w:space="0"/>
                    <w:bottom w:val="single" w:color="auto" w:sz="4" w:space="0"/>
                    <w:right w:val="single" w:color="auto" w:sz="4" w:space="0"/>
                  </w:tcBorders>
                  <w:vAlign w:val="center"/>
                </w:tcPr>
                <w:p w14:paraId="1333D588">
                  <w:pPr>
                    <w:pStyle w:val="74"/>
                    <w:rPr>
                      <w:rFonts w:cs="Times New Roman"/>
                      <w:b/>
                      <w:highlight w:val="none"/>
                    </w:rPr>
                  </w:pPr>
                  <w:r>
                    <w:rPr>
                      <w:rFonts w:hint="eastAsia" w:cs="Times New Roman"/>
                      <w:b/>
                      <w:highlight w:val="none"/>
                    </w:rPr>
                    <w:t>环境空气质量综合指数</w:t>
                  </w:r>
                </w:p>
              </w:tc>
              <w:tc>
                <w:tcPr>
                  <w:tcW w:w="541" w:type="pct"/>
                  <w:tcBorders>
                    <w:top w:val="single" w:color="auto" w:sz="4" w:space="0"/>
                    <w:left w:val="single" w:color="auto" w:sz="4" w:space="0"/>
                    <w:bottom w:val="single" w:color="auto" w:sz="4" w:space="0"/>
                    <w:right w:val="single" w:color="auto" w:sz="4" w:space="0"/>
                  </w:tcBorders>
                  <w:vAlign w:val="center"/>
                </w:tcPr>
                <w:p w14:paraId="46937CC6">
                  <w:pPr>
                    <w:pStyle w:val="74"/>
                    <w:rPr>
                      <w:rFonts w:cs="Times New Roman"/>
                      <w:b/>
                      <w:highlight w:val="none"/>
                    </w:rPr>
                  </w:pPr>
                  <w:r>
                    <w:rPr>
                      <w:rFonts w:cs="Times New Roman"/>
                      <w:b/>
                      <w:highlight w:val="none"/>
                    </w:rPr>
                    <w:t>PM</w:t>
                  </w:r>
                  <w:r>
                    <w:rPr>
                      <w:rFonts w:cs="Times New Roman"/>
                      <w:b/>
                      <w:highlight w:val="none"/>
                      <w:vertAlign w:val="subscript"/>
                    </w:rPr>
                    <w:t>2.5</w:t>
                  </w:r>
                </w:p>
              </w:tc>
              <w:tc>
                <w:tcPr>
                  <w:tcW w:w="541" w:type="pct"/>
                  <w:tcBorders>
                    <w:top w:val="single" w:color="auto" w:sz="4" w:space="0"/>
                    <w:left w:val="single" w:color="auto" w:sz="4" w:space="0"/>
                    <w:bottom w:val="single" w:color="auto" w:sz="4" w:space="0"/>
                    <w:right w:val="single" w:color="auto" w:sz="4" w:space="0"/>
                  </w:tcBorders>
                  <w:vAlign w:val="center"/>
                </w:tcPr>
                <w:p w14:paraId="2326A4E1">
                  <w:pPr>
                    <w:pStyle w:val="74"/>
                    <w:rPr>
                      <w:rFonts w:cs="Times New Roman"/>
                      <w:b/>
                      <w:highlight w:val="none"/>
                    </w:rPr>
                  </w:pPr>
                  <w:r>
                    <w:rPr>
                      <w:rFonts w:cs="Times New Roman"/>
                      <w:b/>
                      <w:highlight w:val="none"/>
                    </w:rPr>
                    <w:t>PM</w:t>
                  </w:r>
                  <w:r>
                    <w:rPr>
                      <w:rFonts w:cs="Times New Roman"/>
                      <w:b/>
                      <w:highlight w:val="none"/>
                      <w:vertAlign w:val="subscript"/>
                    </w:rPr>
                    <w:t>10</w:t>
                  </w:r>
                </w:p>
              </w:tc>
              <w:tc>
                <w:tcPr>
                  <w:tcW w:w="541" w:type="pct"/>
                  <w:tcBorders>
                    <w:top w:val="single" w:color="auto" w:sz="4" w:space="0"/>
                    <w:left w:val="single" w:color="auto" w:sz="4" w:space="0"/>
                    <w:bottom w:val="single" w:color="auto" w:sz="4" w:space="0"/>
                    <w:right w:val="single" w:color="auto" w:sz="4" w:space="0"/>
                  </w:tcBorders>
                  <w:vAlign w:val="center"/>
                </w:tcPr>
                <w:p w14:paraId="1C900343">
                  <w:pPr>
                    <w:pStyle w:val="74"/>
                    <w:rPr>
                      <w:rFonts w:cs="Times New Roman"/>
                      <w:b/>
                      <w:highlight w:val="none"/>
                    </w:rPr>
                  </w:pPr>
                  <w:r>
                    <w:rPr>
                      <w:rFonts w:cs="Times New Roman"/>
                      <w:b/>
                      <w:highlight w:val="none"/>
                    </w:rPr>
                    <w:t>SO</w:t>
                  </w:r>
                  <w:r>
                    <w:rPr>
                      <w:rFonts w:cs="Times New Roman"/>
                      <w:b/>
                      <w:highlight w:val="none"/>
                      <w:vertAlign w:val="subscript"/>
                    </w:rPr>
                    <w:t>2</w:t>
                  </w:r>
                </w:p>
              </w:tc>
              <w:tc>
                <w:tcPr>
                  <w:tcW w:w="541" w:type="pct"/>
                  <w:tcBorders>
                    <w:top w:val="single" w:color="auto" w:sz="4" w:space="0"/>
                    <w:left w:val="single" w:color="auto" w:sz="4" w:space="0"/>
                    <w:bottom w:val="single" w:color="auto" w:sz="4" w:space="0"/>
                    <w:right w:val="single" w:color="auto" w:sz="4" w:space="0"/>
                  </w:tcBorders>
                  <w:vAlign w:val="center"/>
                </w:tcPr>
                <w:p w14:paraId="5BD9EBAB">
                  <w:pPr>
                    <w:pStyle w:val="74"/>
                    <w:rPr>
                      <w:rFonts w:cs="Times New Roman"/>
                      <w:b/>
                      <w:highlight w:val="none"/>
                    </w:rPr>
                  </w:pPr>
                  <w:r>
                    <w:rPr>
                      <w:rFonts w:cs="Times New Roman"/>
                      <w:b/>
                      <w:highlight w:val="none"/>
                    </w:rPr>
                    <w:t>CO</w:t>
                  </w:r>
                </w:p>
              </w:tc>
              <w:tc>
                <w:tcPr>
                  <w:tcW w:w="551" w:type="pct"/>
                  <w:tcBorders>
                    <w:top w:val="single" w:color="auto" w:sz="4" w:space="0"/>
                    <w:left w:val="single" w:color="auto" w:sz="4" w:space="0"/>
                    <w:bottom w:val="single" w:color="auto" w:sz="4" w:space="0"/>
                    <w:right w:val="single" w:color="auto" w:sz="4" w:space="0"/>
                  </w:tcBorders>
                  <w:vAlign w:val="center"/>
                </w:tcPr>
                <w:p w14:paraId="5232E027">
                  <w:pPr>
                    <w:pStyle w:val="74"/>
                    <w:rPr>
                      <w:rFonts w:cs="Times New Roman"/>
                      <w:b/>
                      <w:highlight w:val="none"/>
                    </w:rPr>
                  </w:pPr>
                  <w:r>
                    <w:rPr>
                      <w:rFonts w:cs="Times New Roman"/>
                      <w:b/>
                      <w:highlight w:val="none"/>
                    </w:rPr>
                    <w:t>O</w:t>
                  </w:r>
                  <w:r>
                    <w:rPr>
                      <w:rFonts w:cs="Times New Roman"/>
                      <w:b/>
                      <w:highlight w:val="none"/>
                      <w:vertAlign w:val="subscript"/>
                    </w:rPr>
                    <w:t>3</w:t>
                  </w:r>
                </w:p>
              </w:tc>
              <w:tc>
                <w:tcPr>
                  <w:tcW w:w="541" w:type="pct"/>
                  <w:tcBorders>
                    <w:top w:val="single" w:color="auto" w:sz="4" w:space="0"/>
                    <w:left w:val="single" w:color="auto" w:sz="4" w:space="0"/>
                    <w:bottom w:val="single" w:color="auto" w:sz="4" w:space="0"/>
                    <w:right w:val="single" w:color="auto" w:sz="4" w:space="0"/>
                  </w:tcBorders>
                  <w:vAlign w:val="center"/>
                </w:tcPr>
                <w:p w14:paraId="04CE1AA1">
                  <w:pPr>
                    <w:pStyle w:val="74"/>
                    <w:rPr>
                      <w:rFonts w:cs="Times New Roman"/>
                      <w:b/>
                      <w:highlight w:val="none"/>
                    </w:rPr>
                  </w:pPr>
                  <w:r>
                    <w:rPr>
                      <w:rFonts w:cs="Times New Roman"/>
                      <w:b/>
                      <w:highlight w:val="none"/>
                    </w:rPr>
                    <w:t>NO</w:t>
                  </w:r>
                  <w:r>
                    <w:rPr>
                      <w:rFonts w:cs="Times New Roman"/>
                      <w:b/>
                      <w:highlight w:val="none"/>
                      <w:vertAlign w:val="subscript"/>
                    </w:rPr>
                    <w:t>2</w:t>
                  </w:r>
                </w:p>
              </w:tc>
            </w:tr>
            <w:tr w14:paraId="2B818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730" w:type="pct"/>
                  <w:vMerge w:val="restart"/>
                  <w:tcBorders>
                    <w:top w:val="single" w:color="auto" w:sz="4" w:space="0"/>
                    <w:left w:val="single" w:color="auto" w:sz="4" w:space="0"/>
                    <w:bottom w:val="single" w:color="auto" w:sz="4" w:space="0"/>
                    <w:right w:val="single" w:color="auto" w:sz="4" w:space="0"/>
                  </w:tcBorders>
                  <w:vAlign w:val="center"/>
                </w:tcPr>
                <w:p w14:paraId="420BBBDF">
                  <w:pPr>
                    <w:pStyle w:val="74"/>
                    <w:rPr>
                      <w:rFonts w:cs="Times New Roman"/>
                      <w:highlight w:val="none"/>
                    </w:rPr>
                  </w:pPr>
                  <w:r>
                    <w:rPr>
                      <w:rFonts w:cs="Times New Roman"/>
                      <w:highlight w:val="none"/>
                    </w:rPr>
                    <w:t>2023</w:t>
                  </w:r>
                </w:p>
              </w:tc>
              <w:tc>
                <w:tcPr>
                  <w:tcW w:w="1014" w:type="pct"/>
                  <w:tcBorders>
                    <w:top w:val="single" w:color="auto" w:sz="4" w:space="0"/>
                    <w:left w:val="single" w:color="auto" w:sz="4" w:space="0"/>
                    <w:bottom w:val="single" w:color="auto" w:sz="4" w:space="0"/>
                    <w:right w:val="single" w:color="auto" w:sz="4" w:space="0"/>
                  </w:tcBorders>
                  <w:vAlign w:val="center"/>
                </w:tcPr>
                <w:p w14:paraId="57332CF5">
                  <w:pPr>
                    <w:pStyle w:val="74"/>
                    <w:rPr>
                      <w:rFonts w:cs="Times New Roman"/>
                      <w:highlight w:val="none"/>
                    </w:rPr>
                  </w:pPr>
                  <w:r>
                    <w:rPr>
                      <w:rFonts w:hint="eastAsia" w:cs="Times New Roman"/>
                      <w:highlight w:val="none"/>
                    </w:rPr>
                    <w:t>现状浓度</w:t>
                  </w:r>
                  <w:r>
                    <w:rPr>
                      <w:rFonts w:cs="Times New Roman"/>
                      <w:highlight w:val="none"/>
                    </w:rPr>
                    <w:t>/</w:t>
                  </w:r>
                  <w:r>
                    <w:rPr>
                      <w:rFonts w:hint="eastAsia" w:cs="Times New Roman"/>
                      <w:highlight w:val="none"/>
                    </w:rPr>
                    <w:t>（</w:t>
                  </w:r>
                  <w:r>
                    <w:rPr>
                      <w:rFonts w:cs="Times New Roman"/>
                      <w:highlight w:val="none"/>
                    </w:rPr>
                    <w:t>µg/m</w:t>
                  </w:r>
                  <w:r>
                    <w:rPr>
                      <w:rFonts w:cs="Times New Roman"/>
                      <w:highlight w:val="none"/>
                      <w:vertAlign w:val="superscript"/>
                    </w:rPr>
                    <w:t>3</w:t>
                  </w:r>
                  <w:r>
                    <w:rPr>
                      <w:rFonts w:hint="eastAsia" w:cs="Times New Roman"/>
                      <w:highlight w:val="none"/>
                    </w:rPr>
                    <w:t>）</w:t>
                  </w:r>
                </w:p>
              </w:tc>
              <w:tc>
                <w:tcPr>
                  <w:tcW w:w="541" w:type="pct"/>
                  <w:tcBorders>
                    <w:top w:val="single" w:color="auto" w:sz="4" w:space="0"/>
                    <w:left w:val="single" w:color="auto" w:sz="4" w:space="0"/>
                    <w:bottom w:val="single" w:color="auto" w:sz="4" w:space="0"/>
                    <w:right w:val="single" w:color="auto" w:sz="4" w:space="0"/>
                  </w:tcBorders>
                  <w:vAlign w:val="center"/>
                </w:tcPr>
                <w:p w14:paraId="61508FC3">
                  <w:pPr>
                    <w:jc w:val="center"/>
                    <w:textAlignment w:val="baseline"/>
                    <w:rPr>
                      <w:rFonts w:hint="default" w:eastAsia="宋体"/>
                      <w:highlight w:val="none"/>
                      <w:lang w:val="en-US" w:eastAsia="zh-CN"/>
                    </w:rPr>
                  </w:pPr>
                  <w:r>
                    <w:rPr>
                      <w:rFonts w:hint="eastAsia"/>
                      <w:highlight w:val="none"/>
                      <w:lang w:val="en-US" w:eastAsia="zh-CN"/>
                    </w:rPr>
                    <w:t>18</w:t>
                  </w:r>
                </w:p>
              </w:tc>
              <w:tc>
                <w:tcPr>
                  <w:tcW w:w="541" w:type="pct"/>
                  <w:tcBorders>
                    <w:top w:val="single" w:color="auto" w:sz="4" w:space="0"/>
                    <w:left w:val="single" w:color="auto" w:sz="4" w:space="0"/>
                    <w:bottom w:val="single" w:color="auto" w:sz="4" w:space="0"/>
                    <w:right w:val="single" w:color="auto" w:sz="4" w:space="0"/>
                  </w:tcBorders>
                  <w:vAlign w:val="center"/>
                </w:tcPr>
                <w:p w14:paraId="6AA82718">
                  <w:pPr>
                    <w:jc w:val="center"/>
                    <w:textAlignment w:val="baseline"/>
                    <w:rPr>
                      <w:highlight w:val="none"/>
                    </w:rPr>
                  </w:pPr>
                  <w:r>
                    <w:rPr>
                      <w:rFonts w:hint="eastAsia"/>
                      <w:szCs w:val="21"/>
                      <w:highlight w:val="none"/>
                      <w:lang w:val="en-US" w:eastAsia="zh-CN"/>
                    </w:rPr>
                    <w:t>4</w:t>
                  </w:r>
                  <w:r>
                    <w:rPr>
                      <w:szCs w:val="21"/>
                      <w:highlight w:val="none"/>
                    </w:rPr>
                    <w:t>1</w:t>
                  </w:r>
                </w:p>
              </w:tc>
              <w:tc>
                <w:tcPr>
                  <w:tcW w:w="541" w:type="pct"/>
                  <w:tcBorders>
                    <w:top w:val="single" w:color="auto" w:sz="4" w:space="0"/>
                    <w:left w:val="single" w:color="auto" w:sz="4" w:space="0"/>
                    <w:bottom w:val="single" w:color="auto" w:sz="4" w:space="0"/>
                    <w:right w:val="single" w:color="auto" w:sz="4" w:space="0"/>
                  </w:tcBorders>
                  <w:vAlign w:val="center"/>
                </w:tcPr>
                <w:p w14:paraId="4FF0BC34">
                  <w:pPr>
                    <w:jc w:val="center"/>
                    <w:textAlignment w:val="baseline"/>
                    <w:rPr>
                      <w:rFonts w:hint="eastAsia" w:eastAsia="宋体"/>
                      <w:highlight w:val="none"/>
                      <w:lang w:val="en-US" w:eastAsia="zh-CN"/>
                    </w:rPr>
                  </w:pPr>
                  <w:r>
                    <w:rPr>
                      <w:rFonts w:hint="eastAsia"/>
                      <w:highlight w:val="none"/>
                      <w:lang w:val="en-US" w:eastAsia="zh-CN"/>
                    </w:rPr>
                    <w:t>8</w:t>
                  </w:r>
                </w:p>
              </w:tc>
              <w:tc>
                <w:tcPr>
                  <w:tcW w:w="541" w:type="pct"/>
                  <w:tcBorders>
                    <w:top w:val="single" w:color="auto" w:sz="4" w:space="0"/>
                    <w:left w:val="single" w:color="auto" w:sz="4" w:space="0"/>
                    <w:bottom w:val="single" w:color="auto" w:sz="4" w:space="0"/>
                    <w:right w:val="single" w:color="auto" w:sz="4" w:space="0"/>
                  </w:tcBorders>
                  <w:vAlign w:val="center"/>
                </w:tcPr>
                <w:p w14:paraId="6170F3BA">
                  <w:pPr>
                    <w:jc w:val="center"/>
                    <w:textAlignment w:val="baseline"/>
                    <w:rPr>
                      <w:rFonts w:hint="default" w:eastAsia="宋体"/>
                      <w:highlight w:val="none"/>
                      <w:lang w:val="en-US" w:eastAsia="zh-CN"/>
                    </w:rPr>
                  </w:pPr>
                  <w:r>
                    <w:rPr>
                      <w:rFonts w:hint="eastAsia"/>
                      <w:highlight w:val="none"/>
                      <w:lang w:val="en-US" w:eastAsia="zh-CN"/>
                    </w:rPr>
                    <w:t>0.8</w:t>
                  </w:r>
                </w:p>
              </w:tc>
              <w:tc>
                <w:tcPr>
                  <w:tcW w:w="551" w:type="pct"/>
                  <w:tcBorders>
                    <w:top w:val="single" w:color="auto" w:sz="4" w:space="0"/>
                    <w:left w:val="single" w:color="auto" w:sz="4" w:space="0"/>
                    <w:bottom w:val="single" w:color="auto" w:sz="4" w:space="0"/>
                    <w:right w:val="single" w:color="auto" w:sz="4" w:space="0"/>
                  </w:tcBorders>
                  <w:vAlign w:val="center"/>
                </w:tcPr>
                <w:p w14:paraId="4543026F">
                  <w:pPr>
                    <w:jc w:val="center"/>
                    <w:textAlignment w:val="baseline"/>
                    <w:rPr>
                      <w:rFonts w:hint="default" w:eastAsia="宋体"/>
                      <w:highlight w:val="none"/>
                      <w:lang w:val="en-US" w:eastAsia="zh-CN"/>
                    </w:rPr>
                  </w:pPr>
                  <w:r>
                    <w:rPr>
                      <w:szCs w:val="21"/>
                      <w:highlight w:val="none"/>
                    </w:rPr>
                    <w:t>1</w:t>
                  </w:r>
                  <w:r>
                    <w:rPr>
                      <w:rFonts w:hint="eastAsia"/>
                      <w:szCs w:val="21"/>
                      <w:highlight w:val="none"/>
                      <w:lang w:val="en-US" w:eastAsia="zh-CN"/>
                    </w:rPr>
                    <w:t>46</w:t>
                  </w:r>
                </w:p>
              </w:tc>
              <w:tc>
                <w:tcPr>
                  <w:tcW w:w="541" w:type="pct"/>
                  <w:tcBorders>
                    <w:top w:val="single" w:color="auto" w:sz="4" w:space="0"/>
                    <w:left w:val="single" w:color="auto" w:sz="4" w:space="0"/>
                    <w:bottom w:val="single" w:color="auto" w:sz="4" w:space="0"/>
                    <w:right w:val="single" w:color="auto" w:sz="4" w:space="0"/>
                  </w:tcBorders>
                  <w:vAlign w:val="center"/>
                </w:tcPr>
                <w:p w14:paraId="36C12A53">
                  <w:pPr>
                    <w:jc w:val="center"/>
                    <w:textAlignment w:val="baseline"/>
                    <w:rPr>
                      <w:rFonts w:hint="default" w:eastAsia="宋体"/>
                      <w:highlight w:val="none"/>
                      <w:lang w:val="en-US" w:eastAsia="zh-CN"/>
                    </w:rPr>
                  </w:pPr>
                  <w:r>
                    <w:rPr>
                      <w:rFonts w:hint="eastAsia"/>
                      <w:highlight w:val="none"/>
                      <w:lang w:val="en-US" w:eastAsia="zh-CN"/>
                    </w:rPr>
                    <w:t>19</w:t>
                  </w:r>
                </w:p>
              </w:tc>
            </w:tr>
            <w:tr w14:paraId="7DF1B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730" w:type="pct"/>
                  <w:vMerge w:val="continue"/>
                  <w:tcBorders>
                    <w:top w:val="single" w:color="auto" w:sz="4" w:space="0"/>
                    <w:left w:val="single" w:color="auto" w:sz="4" w:space="0"/>
                    <w:bottom w:val="single" w:color="auto" w:sz="4" w:space="0"/>
                    <w:right w:val="single" w:color="auto" w:sz="4" w:space="0"/>
                  </w:tcBorders>
                  <w:vAlign w:val="center"/>
                </w:tcPr>
                <w:p w14:paraId="2465BB21">
                  <w:pPr>
                    <w:widowControl/>
                    <w:jc w:val="center"/>
                    <w:rPr>
                      <w:kern w:val="0"/>
                      <w:szCs w:val="21"/>
                      <w:highlight w:val="none"/>
                    </w:rPr>
                  </w:pPr>
                </w:p>
              </w:tc>
              <w:tc>
                <w:tcPr>
                  <w:tcW w:w="1014" w:type="pct"/>
                  <w:tcBorders>
                    <w:top w:val="single" w:color="auto" w:sz="4" w:space="0"/>
                    <w:left w:val="single" w:color="auto" w:sz="4" w:space="0"/>
                    <w:bottom w:val="single" w:color="auto" w:sz="4" w:space="0"/>
                    <w:right w:val="single" w:color="auto" w:sz="4" w:space="0"/>
                  </w:tcBorders>
                  <w:vAlign w:val="center"/>
                </w:tcPr>
                <w:p w14:paraId="6DC89A62">
                  <w:pPr>
                    <w:pStyle w:val="74"/>
                    <w:rPr>
                      <w:rFonts w:cs="Times New Roman"/>
                      <w:highlight w:val="none"/>
                    </w:rPr>
                  </w:pPr>
                  <w:r>
                    <w:rPr>
                      <w:rFonts w:hint="eastAsia" w:cs="Times New Roman"/>
                      <w:highlight w:val="none"/>
                    </w:rPr>
                    <w:t>标准值</w:t>
                  </w:r>
                  <w:r>
                    <w:rPr>
                      <w:rFonts w:cs="Times New Roman"/>
                      <w:highlight w:val="none"/>
                    </w:rPr>
                    <w:t>/</w:t>
                  </w:r>
                  <w:r>
                    <w:rPr>
                      <w:rFonts w:hint="eastAsia" w:cs="Times New Roman"/>
                      <w:highlight w:val="none"/>
                    </w:rPr>
                    <w:t>（</w:t>
                  </w:r>
                  <w:r>
                    <w:rPr>
                      <w:rFonts w:cs="Times New Roman"/>
                      <w:highlight w:val="none"/>
                    </w:rPr>
                    <w:t>µg/m</w:t>
                  </w:r>
                  <w:r>
                    <w:rPr>
                      <w:rFonts w:cs="Times New Roman"/>
                      <w:highlight w:val="none"/>
                      <w:vertAlign w:val="superscript"/>
                    </w:rPr>
                    <w:t>3</w:t>
                  </w:r>
                  <w:r>
                    <w:rPr>
                      <w:rFonts w:hint="eastAsia" w:cs="Times New Roman"/>
                      <w:highlight w:val="none"/>
                    </w:rPr>
                    <w:t>）</w:t>
                  </w:r>
                </w:p>
              </w:tc>
              <w:tc>
                <w:tcPr>
                  <w:tcW w:w="541" w:type="pct"/>
                  <w:tcBorders>
                    <w:top w:val="single" w:color="auto" w:sz="4" w:space="0"/>
                    <w:left w:val="single" w:color="auto" w:sz="4" w:space="0"/>
                    <w:bottom w:val="single" w:color="auto" w:sz="4" w:space="0"/>
                    <w:right w:val="single" w:color="auto" w:sz="4" w:space="0"/>
                  </w:tcBorders>
                  <w:vAlign w:val="center"/>
                </w:tcPr>
                <w:p w14:paraId="43D780B0">
                  <w:pPr>
                    <w:pStyle w:val="74"/>
                    <w:rPr>
                      <w:rFonts w:cs="Times New Roman"/>
                      <w:highlight w:val="none"/>
                    </w:rPr>
                  </w:pPr>
                  <w:r>
                    <w:rPr>
                      <w:rFonts w:cs="Times New Roman"/>
                      <w:highlight w:val="none"/>
                    </w:rPr>
                    <w:t>35</w:t>
                  </w:r>
                </w:p>
              </w:tc>
              <w:tc>
                <w:tcPr>
                  <w:tcW w:w="541" w:type="pct"/>
                  <w:tcBorders>
                    <w:top w:val="single" w:color="auto" w:sz="4" w:space="0"/>
                    <w:left w:val="single" w:color="auto" w:sz="4" w:space="0"/>
                    <w:bottom w:val="single" w:color="auto" w:sz="4" w:space="0"/>
                    <w:right w:val="single" w:color="auto" w:sz="4" w:space="0"/>
                  </w:tcBorders>
                  <w:vAlign w:val="center"/>
                </w:tcPr>
                <w:p w14:paraId="3D70A6BF">
                  <w:pPr>
                    <w:pStyle w:val="74"/>
                    <w:rPr>
                      <w:rFonts w:cs="Times New Roman"/>
                      <w:highlight w:val="none"/>
                    </w:rPr>
                  </w:pPr>
                  <w:r>
                    <w:rPr>
                      <w:rFonts w:cs="Times New Roman"/>
                      <w:highlight w:val="none"/>
                    </w:rPr>
                    <w:t>70</w:t>
                  </w:r>
                </w:p>
              </w:tc>
              <w:tc>
                <w:tcPr>
                  <w:tcW w:w="541" w:type="pct"/>
                  <w:tcBorders>
                    <w:top w:val="single" w:color="auto" w:sz="4" w:space="0"/>
                    <w:left w:val="single" w:color="auto" w:sz="4" w:space="0"/>
                    <w:bottom w:val="single" w:color="auto" w:sz="4" w:space="0"/>
                    <w:right w:val="single" w:color="auto" w:sz="4" w:space="0"/>
                  </w:tcBorders>
                  <w:vAlign w:val="center"/>
                </w:tcPr>
                <w:p w14:paraId="25B9B9D1">
                  <w:pPr>
                    <w:pStyle w:val="74"/>
                    <w:rPr>
                      <w:rFonts w:cs="Times New Roman"/>
                      <w:highlight w:val="none"/>
                    </w:rPr>
                  </w:pPr>
                  <w:r>
                    <w:rPr>
                      <w:rFonts w:cs="Times New Roman"/>
                      <w:highlight w:val="none"/>
                    </w:rPr>
                    <w:t>60</w:t>
                  </w:r>
                </w:p>
              </w:tc>
              <w:tc>
                <w:tcPr>
                  <w:tcW w:w="541" w:type="pct"/>
                  <w:tcBorders>
                    <w:top w:val="single" w:color="auto" w:sz="4" w:space="0"/>
                    <w:left w:val="single" w:color="auto" w:sz="4" w:space="0"/>
                    <w:bottom w:val="single" w:color="auto" w:sz="4" w:space="0"/>
                    <w:right w:val="single" w:color="auto" w:sz="4" w:space="0"/>
                  </w:tcBorders>
                  <w:vAlign w:val="center"/>
                </w:tcPr>
                <w:p w14:paraId="611A44E4">
                  <w:pPr>
                    <w:pStyle w:val="74"/>
                    <w:rPr>
                      <w:rFonts w:cs="Times New Roman"/>
                      <w:highlight w:val="none"/>
                    </w:rPr>
                  </w:pPr>
                  <w:r>
                    <w:rPr>
                      <w:rFonts w:cs="Times New Roman"/>
                      <w:highlight w:val="none"/>
                    </w:rPr>
                    <w:t>4</w:t>
                  </w:r>
                </w:p>
              </w:tc>
              <w:tc>
                <w:tcPr>
                  <w:tcW w:w="551" w:type="pct"/>
                  <w:tcBorders>
                    <w:top w:val="single" w:color="auto" w:sz="4" w:space="0"/>
                    <w:left w:val="single" w:color="auto" w:sz="4" w:space="0"/>
                    <w:bottom w:val="single" w:color="auto" w:sz="4" w:space="0"/>
                    <w:right w:val="single" w:color="auto" w:sz="4" w:space="0"/>
                  </w:tcBorders>
                  <w:vAlign w:val="center"/>
                </w:tcPr>
                <w:p w14:paraId="47D1C0FC">
                  <w:pPr>
                    <w:pStyle w:val="74"/>
                    <w:rPr>
                      <w:rFonts w:cs="Times New Roman"/>
                      <w:highlight w:val="none"/>
                    </w:rPr>
                  </w:pPr>
                  <w:r>
                    <w:rPr>
                      <w:rFonts w:cs="Times New Roman"/>
                      <w:highlight w:val="none"/>
                    </w:rPr>
                    <w:t>160</w:t>
                  </w:r>
                </w:p>
              </w:tc>
              <w:tc>
                <w:tcPr>
                  <w:tcW w:w="541" w:type="pct"/>
                  <w:tcBorders>
                    <w:top w:val="single" w:color="auto" w:sz="4" w:space="0"/>
                    <w:left w:val="single" w:color="auto" w:sz="4" w:space="0"/>
                    <w:bottom w:val="single" w:color="auto" w:sz="4" w:space="0"/>
                    <w:right w:val="single" w:color="auto" w:sz="4" w:space="0"/>
                  </w:tcBorders>
                  <w:vAlign w:val="center"/>
                </w:tcPr>
                <w:p w14:paraId="54E55B70">
                  <w:pPr>
                    <w:pStyle w:val="74"/>
                    <w:rPr>
                      <w:rFonts w:cs="Times New Roman"/>
                      <w:highlight w:val="none"/>
                    </w:rPr>
                  </w:pPr>
                  <w:r>
                    <w:rPr>
                      <w:rFonts w:cs="Times New Roman"/>
                      <w:highlight w:val="none"/>
                    </w:rPr>
                    <w:t>40</w:t>
                  </w:r>
                </w:p>
              </w:tc>
            </w:tr>
            <w:tr w14:paraId="7EC8B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730" w:type="pct"/>
                  <w:vMerge w:val="continue"/>
                  <w:tcBorders>
                    <w:top w:val="single" w:color="auto" w:sz="4" w:space="0"/>
                    <w:left w:val="single" w:color="auto" w:sz="4" w:space="0"/>
                    <w:bottom w:val="single" w:color="auto" w:sz="4" w:space="0"/>
                    <w:right w:val="single" w:color="auto" w:sz="4" w:space="0"/>
                  </w:tcBorders>
                  <w:vAlign w:val="center"/>
                </w:tcPr>
                <w:p w14:paraId="3C933573">
                  <w:pPr>
                    <w:widowControl/>
                    <w:jc w:val="center"/>
                    <w:rPr>
                      <w:kern w:val="0"/>
                      <w:szCs w:val="21"/>
                      <w:highlight w:val="none"/>
                    </w:rPr>
                  </w:pPr>
                </w:p>
              </w:tc>
              <w:tc>
                <w:tcPr>
                  <w:tcW w:w="1014" w:type="pct"/>
                  <w:tcBorders>
                    <w:top w:val="single" w:color="auto" w:sz="4" w:space="0"/>
                    <w:left w:val="single" w:color="auto" w:sz="4" w:space="0"/>
                    <w:bottom w:val="single" w:color="auto" w:sz="4" w:space="0"/>
                    <w:right w:val="single" w:color="auto" w:sz="4" w:space="0"/>
                  </w:tcBorders>
                  <w:vAlign w:val="center"/>
                </w:tcPr>
                <w:p w14:paraId="76764155">
                  <w:pPr>
                    <w:pStyle w:val="74"/>
                    <w:rPr>
                      <w:rFonts w:cs="Times New Roman"/>
                      <w:highlight w:val="none"/>
                    </w:rPr>
                  </w:pPr>
                  <w:r>
                    <w:rPr>
                      <w:rFonts w:hint="eastAsia" w:cs="Times New Roman"/>
                      <w:highlight w:val="none"/>
                    </w:rPr>
                    <w:t>占标率</w:t>
                  </w:r>
                </w:p>
              </w:tc>
              <w:tc>
                <w:tcPr>
                  <w:tcW w:w="541" w:type="pct"/>
                  <w:tcBorders>
                    <w:top w:val="single" w:color="auto" w:sz="4" w:space="0"/>
                    <w:left w:val="single" w:color="auto" w:sz="4" w:space="0"/>
                    <w:bottom w:val="single" w:color="auto" w:sz="4" w:space="0"/>
                    <w:right w:val="single" w:color="auto" w:sz="4" w:space="0"/>
                  </w:tcBorders>
                  <w:vAlign w:val="center"/>
                </w:tcPr>
                <w:p w14:paraId="31B561CD">
                  <w:pPr>
                    <w:pStyle w:val="74"/>
                    <w:rPr>
                      <w:rFonts w:cs="Times New Roman"/>
                      <w:highlight w:val="none"/>
                    </w:rPr>
                  </w:pPr>
                  <w:r>
                    <w:rPr>
                      <w:rFonts w:hint="eastAsia" w:cs="Times New Roman"/>
                      <w:highlight w:val="none"/>
                      <w:lang w:val="en-US" w:eastAsia="zh-CN"/>
                    </w:rPr>
                    <w:t>5</w:t>
                  </w:r>
                  <w:r>
                    <w:rPr>
                      <w:rFonts w:cs="Times New Roman"/>
                      <w:highlight w:val="none"/>
                    </w:rPr>
                    <w:t>1.4%</w:t>
                  </w:r>
                </w:p>
              </w:tc>
              <w:tc>
                <w:tcPr>
                  <w:tcW w:w="541" w:type="pct"/>
                  <w:tcBorders>
                    <w:top w:val="single" w:color="auto" w:sz="4" w:space="0"/>
                    <w:left w:val="single" w:color="auto" w:sz="4" w:space="0"/>
                    <w:bottom w:val="single" w:color="auto" w:sz="4" w:space="0"/>
                    <w:right w:val="single" w:color="auto" w:sz="4" w:space="0"/>
                  </w:tcBorders>
                  <w:vAlign w:val="center"/>
                </w:tcPr>
                <w:p w14:paraId="1675BC22">
                  <w:pPr>
                    <w:pStyle w:val="74"/>
                    <w:rPr>
                      <w:rFonts w:cs="Times New Roman"/>
                      <w:highlight w:val="none"/>
                    </w:rPr>
                  </w:pPr>
                  <w:r>
                    <w:rPr>
                      <w:rFonts w:hint="eastAsia" w:cs="Times New Roman"/>
                      <w:highlight w:val="none"/>
                      <w:lang w:val="en-US" w:eastAsia="zh-CN"/>
                    </w:rPr>
                    <w:t>58.57</w:t>
                  </w:r>
                  <w:r>
                    <w:rPr>
                      <w:rFonts w:cs="Times New Roman"/>
                      <w:highlight w:val="none"/>
                    </w:rPr>
                    <w:t>%</w:t>
                  </w:r>
                </w:p>
              </w:tc>
              <w:tc>
                <w:tcPr>
                  <w:tcW w:w="541" w:type="pct"/>
                  <w:tcBorders>
                    <w:top w:val="single" w:color="auto" w:sz="4" w:space="0"/>
                    <w:left w:val="single" w:color="auto" w:sz="4" w:space="0"/>
                    <w:bottom w:val="single" w:color="auto" w:sz="4" w:space="0"/>
                    <w:right w:val="single" w:color="auto" w:sz="4" w:space="0"/>
                  </w:tcBorders>
                  <w:vAlign w:val="center"/>
                </w:tcPr>
                <w:p w14:paraId="3DBF22D8">
                  <w:pPr>
                    <w:pStyle w:val="74"/>
                    <w:rPr>
                      <w:rFonts w:cs="Times New Roman"/>
                      <w:highlight w:val="none"/>
                    </w:rPr>
                  </w:pPr>
                  <w:r>
                    <w:rPr>
                      <w:rFonts w:hint="eastAsia" w:cs="Times New Roman"/>
                      <w:highlight w:val="none"/>
                      <w:lang w:val="en-US" w:eastAsia="zh-CN"/>
                    </w:rPr>
                    <w:t>13.33</w:t>
                  </w:r>
                  <w:r>
                    <w:rPr>
                      <w:rFonts w:cs="Times New Roman"/>
                      <w:highlight w:val="none"/>
                    </w:rPr>
                    <w:t>%</w:t>
                  </w:r>
                </w:p>
              </w:tc>
              <w:tc>
                <w:tcPr>
                  <w:tcW w:w="541" w:type="pct"/>
                  <w:tcBorders>
                    <w:top w:val="single" w:color="auto" w:sz="4" w:space="0"/>
                    <w:left w:val="single" w:color="auto" w:sz="4" w:space="0"/>
                    <w:bottom w:val="single" w:color="auto" w:sz="4" w:space="0"/>
                    <w:right w:val="single" w:color="auto" w:sz="4" w:space="0"/>
                  </w:tcBorders>
                  <w:vAlign w:val="center"/>
                </w:tcPr>
                <w:p w14:paraId="68A87EAD">
                  <w:pPr>
                    <w:pStyle w:val="74"/>
                    <w:rPr>
                      <w:rFonts w:cs="Times New Roman"/>
                      <w:highlight w:val="none"/>
                    </w:rPr>
                  </w:pPr>
                  <w:r>
                    <w:rPr>
                      <w:rFonts w:hint="eastAsia" w:cs="Times New Roman"/>
                      <w:highlight w:val="none"/>
                      <w:lang w:val="en-US" w:eastAsia="zh-CN"/>
                    </w:rPr>
                    <w:t>20</w:t>
                  </w:r>
                  <w:r>
                    <w:rPr>
                      <w:rFonts w:cs="Times New Roman"/>
                      <w:highlight w:val="none"/>
                    </w:rPr>
                    <w:t>%</w:t>
                  </w:r>
                </w:p>
              </w:tc>
              <w:tc>
                <w:tcPr>
                  <w:tcW w:w="551" w:type="pct"/>
                  <w:tcBorders>
                    <w:top w:val="single" w:color="auto" w:sz="4" w:space="0"/>
                    <w:left w:val="single" w:color="auto" w:sz="4" w:space="0"/>
                    <w:bottom w:val="single" w:color="auto" w:sz="4" w:space="0"/>
                    <w:right w:val="single" w:color="auto" w:sz="4" w:space="0"/>
                  </w:tcBorders>
                  <w:vAlign w:val="center"/>
                </w:tcPr>
                <w:p w14:paraId="23109442">
                  <w:pPr>
                    <w:pStyle w:val="74"/>
                    <w:rPr>
                      <w:rFonts w:cs="Times New Roman"/>
                      <w:highlight w:val="none"/>
                    </w:rPr>
                  </w:pPr>
                  <w:r>
                    <w:rPr>
                      <w:rFonts w:hint="eastAsia" w:cs="Times New Roman"/>
                      <w:highlight w:val="none"/>
                      <w:lang w:val="en-US" w:eastAsia="zh-CN"/>
                    </w:rPr>
                    <w:t>91.25</w:t>
                  </w:r>
                  <w:r>
                    <w:rPr>
                      <w:rFonts w:cs="Times New Roman"/>
                      <w:highlight w:val="none"/>
                    </w:rPr>
                    <w:t>%</w:t>
                  </w:r>
                </w:p>
              </w:tc>
              <w:tc>
                <w:tcPr>
                  <w:tcW w:w="541" w:type="pct"/>
                  <w:tcBorders>
                    <w:top w:val="single" w:color="auto" w:sz="4" w:space="0"/>
                    <w:left w:val="single" w:color="auto" w:sz="4" w:space="0"/>
                    <w:bottom w:val="single" w:color="auto" w:sz="4" w:space="0"/>
                    <w:right w:val="single" w:color="auto" w:sz="4" w:space="0"/>
                  </w:tcBorders>
                  <w:vAlign w:val="center"/>
                </w:tcPr>
                <w:p w14:paraId="4E14608C">
                  <w:pPr>
                    <w:pStyle w:val="74"/>
                    <w:rPr>
                      <w:rFonts w:cs="Times New Roman"/>
                      <w:highlight w:val="none"/>
                    </w:rPr>
                  </w:pPr>
                  <w:r>
                    <w:rPr>
                      <w:rFonts w:hint="eastAsia" w:cs="Times New Roman"/>
                      <w:highlight w:val="none"/>
                      <w:lang w:val="en-US" w:eastAsia="zh-CN"/>
                    </w:rPr>
                    <w:t>47.5</w:t>
                  </w:r>
                  <w:r>
                    <w:rPr>
                      <w:rFonts w:cs="Times New Roman"/>
                      <w:highlight w:val="none"/>
                    </w:rPr>
                    <w:t>%</w:t>
                  </w:r>
                </w:p>
              </w:tc>
            </w:tr>
            <w:tr w14:paraId="5520A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730" w:type="pct"/>
                  <w:vMerge w:val="continue"/>
                  <w:tcBorders>
                    <w:top w:val="single" w:color="auto" w:sz="4" w:space="0"/>
                    <w:left w:val="single" w:color="auto" w:sz="4" w:space="0"/>
                    <w:bottom w:val="single" w:color="auto" w:sz="4" w:space="0"/>
                    <w:right w:val="single" w:color="auto" w:sz="4" w:space="0"/>
                  </w:tcBorders>
                  <w:vAlign w:val="center"/>
                </w:tcPr>
                <w:p w14:paraId="75951F84">
                  <w:pPr>
                    <w:widowControl/>
                    <w:jc w:val="center"/>
                    <w:rPr>
                      <w:kern w:val="0"/>
                      <w:szCs w:val="21"/>
                      <w:highlight w:val="none"/>
                    </w:rPr>
                  </w:pPr>
                </w:p>
              </w:tc>
              <w:tc>
                <w:tcPr>
                  <w:tcW w:w="1014" w:type="pct"/>
                  <w:tcBorders>
                    <w:top w:val="single" w:color="auto" w:sz="4" w:space="0"/>
                    <w:left w:val="single" w:color="auto" w:sz="4" w:space="0"/>
                    <w:bottom w:val="single" w:color="auto" w:sz="4" w:space="0"/>
                    <w:right w:val="single" w:color="auto" w:sz="4" w:space="0"/>
                  </w:tcBorders>
                  <w:vAlign w:val="center"/>
                </w:tcPr>
                <w:p w14:paraId="74E6F2BA">
                  <w:pPr>
                    <w:pStyle w:val="74"/>
                    <w:rPr>
                      <w:rFonts w:cs="Times New Roman"/>
                      <w:highlight w:val="none"/>
                    </w:rPr>
                  </w:pPr>
                  <w:r>
                    <w:rPr>
                      <w:rFonts w:hint="eastAsia" w:cs="Times New Roman"/>
                      <w:highlight w:val="none"/>
                    </w:rPr>
                    <w:t>达标情况</w:t>
                  </w:r>
                </w:p>
              </w:tc>
              <w:tc>
                <w:tcPr>
                  <w:tcW w:w="541" w:type="pct"/>
                  <w:tcBorders>
                    <w:top w:val="single" w:color="auto" w:sz="4" w:space="0"/>
                    <w:left w:val="single" w:color="auto" w:sz="4" w:space="0"/>
                    <w:bottom w:val="single" w:color="auto" w:sz="4" w:space="0"/>
                    <w:right w:val="single" w:color="auto" w:sz="4" w:space="0"/>
                  </w:tcBorders>
                  <w:vAlign w:val="center"/>
                </w:tcPr>
                <w:p w14:paraId="5AFAB970">
                  <w:pPr>
                    <w:pStyle w:val="74"/>
                    <w:rPr>
                      <w:rFonts w:cs="Times New Roman"/>
                      <w:highlight w:val="none"/>
                    </w:rPr>
                  </w:pPr>
                  <w:r>
                    <w:rPr>
                      <w:rFonts w:hint="eastAsia" w:cs="Times New Roman"/>
                      <w:highlight w:val="none"/>
                    </w:rPr>
                    <w:t>达标</w:t>
                  </w:r>
                </w:p>
              </w:tc>
              <w:tc>
                <w:tcPr>
                  <w:tcW w:w="541" w:type="pct"/>
                  <w:tcBorders>
                    <w:top w:val="single" w:color="auto" w:sz="4" w:space="0"/>
                    <w:left w:val="single" w:color="auto" w:sz="4" w:space="0"/>
                    <w:bottom w:val="single" w:color="auto" w:sz="4" w:space="0"/>
                    <w:right w:val="single" w:color="auto" w:sz="4" w:space="0"/>
                  </w:tcBorders>
                  <w:vAlign w:val="center"/>
                </w:tcPr>
                <w:p w14:paraId="5FA8DEDE">
                  <w:pPr>
                    <w:pStyle w:val="74"/>
                    <w:rPr>
                      <w:rFonts w:cs="Times New Roman"/>
                      <w:highlight w:val="none"/>
                    </w:rPr>
                  </w:pPr>
                  <w:r>
                    <w:rPr>
                      <w:rFonts w:hint="eastAsia" w:cs="Times New Roman"/>
                      <w:highlight w:val="none"/>
                    </w:rPr>
                    <w:t>达标</w:t>
                  </w:r>
                </w:p>
              </w:tc>
              <w:tc>
                <w:tcPr>
                  <w:tcW w:w="541" w:type="pct"/>
                  <w:tcBorders>
                    <w:top w:val="single" w:color="auto" w:sz="4" w:space="0"/>
                    <w:left w:val="single" w:color="auto" w:sz="4" w:space="0"/>
                    <w:bottom w:val="single" w:color="auto" w:sz="4" w:space="0"/>
                    <w:right w:val="single" w:color="auto" w:sz="4" w:space="0"/>
                  </w:tcBorders>
                  <w:vAlign w:val="center"/>
                </w:tcPr>
                <w:p w14:paraId="6C7ADB0A">
                  <w:pPr>
                    <w:pStyle w:val="74"/>
                    <w:rPr>
                      <w:rFonts w:cs="Times New Roman"/>
                      <w:highlight w:val="none"/>
                    </w:rPr>
                  </w:pPr>
                  <w:r>
                    <w:rPr>
                      <w:rFonts w:hint="eastAsia" w:cs="Times New Roman"/>
                      <w:highlight w:val="none"/>
                    </w:rPr>
                    <w:t>达标</w:t>
                  </w:r>
                </w:p>
              </w:tc>
              <w:tc>
                <w:tcPr>
                  <w:tcW w:w="541" w:type="pct"/>
                  <w:tcBorders>
                    <w:top w:val="single" w:color="auto" w:sz="4" w:space="0"/>
                    <w:left w:val="single" w:color="auto" w:sz="4" w:space="0"/>
                    <w:bottom w:val="single" w:color="auto" w:sz="4" w:space="0"/>
                    <w:right w:val="single" w:color="auto" w:sz="4" w:space="0"/>
                  </w:tcBorders>
                  <w:vAlign w:val="center"/>
                </w:tcPr>
                <w:p w14:paraId="4031FA28">
                  <w:pPr>
                    <w:pStyle w:val="74"/>
                    <w:rPr>
                      <w:rFonts w:cs="Times New Roman"/>
                      <w:highlight w:val="none"/>
                    </w:rPr>
                  </w:pPr>
                  <w:r>
                    <w:rPr>
                      <w:rFonts w:hint="eastAsia" w:cs="Times New Roman"/>
                      <w:highlight w:val="none"/>
                    </w:rPr>
                    <w:t>达标</w:t>
                  </w:r>
                </w:p>
              </w:tc>
              <w:tc>
                <w:tcPr>
                  <w:tcW w:w="551" w:type="pct"/>
                  <w:tcBorders>
                    <w:top w:val="single" w:color="auto" w:sz="4" w:space="0"/>
                    <w:left w:val="single" w:color="auto" w:sz="4" w:space="0"/>
                    <w:bottom w:val="single" w:color="auto" w:sz="4" w:space="0"/>
                    <w:right w:val="single" w:color="auto" w:sz="4" w:space="0"/>
                  </w:tcBorders>
                  <w:vAlign w:val="center"/>
                </w:tcPr>
                <w:p w14:paraId="58569D2F">
                  <w:pPr>
                    <w:pStyle w:val="74"/>
                    <w:rPr>
                      <w:rFonts w:cs="Times New Roman"/>
                      <w:highlight w:val="none"/>
                    </w:rPr>
                  </w:pPr>
                  <w:r>
                    <w:rPr>
                      <w:rFonts w:hint="eastAsia" w:cs="Times New Roman"/>
                      <w:highlight w:val="none"/>
                    </w:rPr>
                    <w:t>达标</w:t>
                  </w:r>
                </w:p>
              </w:tc>
              <w:tc>
                <w:tcPr>
                  <w:tcW w:w="541" w:type="pct"/>
                  <w:tcBorders>
                    <w:top w:val="single" w:color="auto" w:sz="4" w:space="0"/>
                    <w:left w:val="single" w:color="auto" w:sz="4" w:space="0"/>
                    <w:bottom w:val="single" w:color="auto" w:sz="4" w:space="0"/>
                    <w:right w:val="single" w:color="auto" w:sz="4" w:space="0"/>
                  </w:tcBorders>
                  <w:vAlign w:val="center"/>
                </w:tcPr>
                <w:p w14:paraId="0DD8E6F3">
                  <w:pPr>
                    <w:pStyle w:val="74"/>
                    <w:rPr>
                      <w:rFonts w:cs="Times New Roman"/>
                      <w:highlight w:val="none"/>
                    </w:rPr>
                  </w:pPr>
                  <w:r>
                    <w:rPr>
                      <w:rFonts w:hint="eastAsia" w:cs="Times New Roman"/>
                      <w:highlight w:val="none"/>
                    </w:rPr>
                    <w:t>达标</w:t>
                  </w:r>
                </w:p>
              </w:tc>
            </w:tr>
          </w:tbl>
          <w:p w14:paraId="1A6CC01E">
            <w:pPr>
              <w:spacing w:before="120" w:beforeLines="50" w:line="360" w:lineRule="auto"/>
              <w:ind w:firstLine="480" w:firstLineChars="200"/>
              <w:rPr>
                <w:sz w:val="24"/>
                <w:highlight w:val="none"/>
              </w:rPr>
            </w:pPr>
            <w:r>
              <w:rPr>
                <w:rFonts w:hint="eastAsia"/>
                <w:sz w:val="24"/>
                <w:highlight w:val="none"/>
              </w:rPr>
              <w:t>由上表可知，</w:t>
            </w:r>
            <w:r>
              <w:rPr>
                <w:sz w:val="24"/>
                <w:highlight w:val="none"/>
              </w:rPr>
              <w:t>2023</w:t>
            </w:r>
            <w:r>
              <w:rPr>
                <w:rFonts w:hint="eastAsia"/>
                <w:sz w:val="24"/>
                <w:highlight w:val="none"/>
              </w:rPr>
              <w:t>年</w:t>
            </w:r>
            <w:r>
              <w:rPr>
                <w:rFonts w:hint="eastAsia"/>
                <w:sz w:val="24"/>
                <w:highlight w:val="none"/>
                <w:lang w:val="en-US" w:eastAsia="zh-CN"/>
              </w:rPr>
              <w:t>围场满族蒙古族自治县</w:t>
            </w:r>
            <w:r>
              <w:rPr>
                <w:rFonts w:hint="eastAsia"/>
                <w:sz w:val="24"/>
                <w:highlight w:val="none"/>
              </w:rPr>
              <w:t>环境空气质量中，</w:t>
            </w:r>
            <w:r>
              <w:rPr>
                <w:sz w:val="24"/>
                <w:highlight w:val="none"/>
              </w:rPr>
              <w:t>PM</w:t>
            </w:r>
            <w:r>
              <w:rPr>
                <w:sz w:val="24"/>
                <w:highlight w:val="none"/>
                <w:vertAlign w:val="subscript"/>
              </w:rPr>
              <w:t>2.5</w:t>
            </w:r>
            <w:r>
              <w:rPr>
                <w:rFonts w:hint="eastAsia"/>
                <w:sz w:val="24"/>
                <w:highlight w:val="none"/>
              </w:rPr>
              <w:t>年平均值、</w:t>
            </w:r>
            <w:r>
              <w:rPr>
                <w:sz w:val="24"/>
                <w:highlight w:val="none"/>
              </w:rPr>
              <w:t>PM</w:t>
            </w:r>
            <w:r>
              <w:rPr>
                <w:sz w:val="24"/>
                <w:highlight w:val="none"/>
                <w:vertAlign w:val="subscript"/>
              </w:rPr>
              <w:t>10</w:t>
            </w:r>
            <w:r>
              <w:rPr>
                <w:rFonts w:hint="eastAsia"/>
                <w:sz w:val="24"/>
                <w:highlight w:val="none"/>
              </w:rPr>
              <w:t>年平均值、</w:t>
            </w:r>
            <w:r>
              <w:rPr>
                <w:sz w:val="24"/>
                <w:highlight w:val="none"/>
              </w:rPr>
              <w:t>SO</w:t>
            </w:r>
            <w:r>
              <w:rPr>
                <w:sz w:val="24"/>
                <w:highlight w:val="none"/>
                <w:vertAlign w:val="subscript"/>
              </w:rPr>
              <w:t>2</w:t>
            </w:r>
            <w:r>
              <w:rPr>
                <w:rFonts w:hint="eastAsia"/>
                <w:sz w:val="24"/>
                <w:highlight w:val="none"/>
              </w:rPr>
              <w:t>年平均值、</w:t>
            </w:r>
            <w:r>
              <w:rPr>
                <w:sz w:val="24"/>
                <w:highlight w:val="none"/>
              </w:rPr>
              <w:t>CO24</w:t>
            </w:r>
            <w:r>
              <w:rPr>
                <w:rFonts w:hint="eastAsia"/>
                <w:sz w:val="24"/>
                <w:highlight w:val="none"/>
              </w:rPr>
              <w:t>小时平均浓度第</w:t>
            </w:r>
            <w:r>
              <w:rPr>
                <w:sz w:val="24"/>
                <w:highlight w:val="none"/>
              </w:rPr>
              <w:t>95</w:t>
            </w:r>
            <w:r>
              <w:rPr>
                <w:rFonts w:hint="eastAsia"/>
                <w:sz w:val="24"/>
                <w:highlight w:val="none"/>
              </w:rPr>
              <w:t>百分位数、</w:t>
            </w:r>
            <w:r>
              <w:rPr>
                <w:sz w:val="24"/>
                <w:highlight w:val="none"/>
              </w:rPr>
              <w:t>O</w:t>
            </w:r>
            <w:r>
              <w:rPr>
                <w:sz w:val="24"/>
                <w:highlight w:val="none"/>
                <w:vertAlign w:val="subscript"/>
              </w:rPr>
              <w:t>3</w:t>
            </w:r>
            <w:r>
              <w:rPr>
                <w:rFonts w:hint="eastAsia"/>
                <w:sz w:val="24"/>
                <w:highlight w:val="none"/>
              </w:rPr>
              <w:t>日最大</w:t>
            </w:r>
            <w:r>
              <w:rPr>
                <w:sz w:val="24"/>
                <w:highlight w:val="none"/>
              </w:rPr>
              <w:t>8</w:t>
            </w:r>
            <w:r>
              <w:rPr>
                <w:rFonts w:hint="eastAsia"/>
                <w:sz w:val="24"/>
                <w:highlight w:val="none"/>
              </w:rPr>
              <w:t>小时平均浓度第</w:t>
            </w:r>
            <w:r>
              <w:rPr>
                <w:sz w:val="24"/>
                <w:highlight w:val="none"/>
              </w:rPr>
              <w:t>90</w:t>
            </w:r>
            <w:r>
              <w:rPr>
                <w:rFonts w:hint="eastAsia"/>
                <w:sz w:val="24"/>
                <w:highlight w:val="none"/>
              </w:rPr>
              <w:t>百分位数、</w:t>
            </w:r>
            <w:r>
              <w:rPr>
                <w:sz w:val="24"/>
                <w:highlight w:val="none"/>
              </w:rPr>
              <w:t>NO</w:t>
            </w:r>
            <w:r>
              <w:rPr>
                <w:sz w:val="24"/>
                <w:highlight w:val="none"/>
                <w:vertAlign w:val="subscript"/>
              </w:rPr>
              <w:t>2</w:t>
            </w:r>
            <w:r>
              <w:rPr>
                <w:rFonts w:hint="eastAsia"/>
                <w:sz w:val="24"/>
                <w:highlight w:val="none"/>
              </w:rPr>
              <w:t>年平均值均满足《环境空气质量标准》（</w:t>
            </w:r>
            <w:r>
              <w:rPr>
                <w:sz w:val="24"/>
                <w:highlight w:val="none"/>
              </w:rPr>
              <w:t>GB3095-2012</w:t>
            </w:r>
            <w:r>
              <w:rPr>
                <w:rFonts w:hint="eastAsia"/>
                <w:sz w:val="24"/>
                <w:highlight w:val="none"/>
              </w:rPr>
              <w:t>）及其修改单的二级标准要求。因此，项目所在区域为达标区。</w:t>
            </w:r>
          </w:p>
          <w:p w14:paraId="5A7E4E61">
            <w:pPr>
              <w:spacing w:line="360" w:lineRule="auto"/>
              <w:ind w:firstLine="482"/>
              <w:rPr>
                <w:b/>
                <w:sz w:val="24"/>
                <w:highlight w:val="none"/>
              </w:rPr>
            </w:pPr>
            <w:r>
              <w:rPr>
                <w:b/>
                <w:sz w:val="24"/>
                <w:highlight w:val="none"/>
              </w:rPr>
              <w:t>2．</w:t>
            </w:r>
            <w:r>
              <w:rPr>
                <w:rFonts w:hint="eastAsia"/>
                <w:b/>
                <w:sz w:val="24"/>
                <w:highlight w:val="none"/>
              </w:rPr>
              <w:t>地表水环境质量现状</w:t>
            </w:r>
          </w:p>
          <w:p w14:paraId="6652E983">
            <w:pPr>
              <w:pStyle w:val="54"/>
              <w:numPr>
                <w:ilvl w:val="0"/>
                <w:numId w:val="0"/>
              </w:numPr>
              <w:ind w:firstLine="480" w:firstLineChars="200"/>
              <w:rPr>
                <w:sz w:val="24"/>
                <w:szCs w:val="24"/>
                <w:highlight w:val="none"/>
              </w:rPr>
            </w:pPr>
            <w:r>
              <w:rPr>
                <w:rFonts w:hint="eastAsia"/>
                <w:sz w:val="24"/>
                <w:szCs w:val="24"/>
                <w:highlight w:val="none"/>
              </w:rPr>
              <w:t>项目</w:t>
            </w:r>
            <w:r>
              <w:rPr>
                <w:rFonts w:hint="eastAsia"/>
                <w:sz w:val="24"/>
                <w:szCs w:val="24"/>
                <w:highlight w:val="none"/>
                <w:lang w:val="en-US" w:eastAsia="zh-CN"/>
              </w:rPr>
              <w:t>南侧471</w:t>
            </w:r>
            <w:r>
              <w:rPr>
                <w:rFonts w:hint="eastAsia"/>
                <w:sz w:val="24"/>
                <w:szCs w:val="24"/>
                <w:highlight w:val="none"/>
              </w:rPr>
              <w:t>m处为</w:t>
            </w:r>
            <w:r>
              <w:rPr>
                <w:rFonts w:hint="eastAsia" w:ascii="Times New Roman" w:hAnsi="Times New Roman" w:eastAsia="宋体"/>
                <w:kern w:val="21"/>
                <w:sz w:val="24"/>
                <w:szCs w:val="24"/>
                <w:highlight w:val="none"/>
              </w:rPr>
              <w:t>蚁蚂吐河</w:t>
            </w:r>
            <w:bookmarkStart w:id="16" w:name="OLE_LINK2"/>
            <w:r>
              <w:rPr>
                <w:rFonts w:hint="eastAsia" w:ascii="Times New Roman" w:hAnsi="Times New Roman" w:eastAsia="宋体"/>
                <w:kern w:val="21"/>
                <w:sz w:val="24"/>
                <w:szCs w:val="24"/>
                <w:highlight w:val="none"/>
                <w:lang w:eastAsia="zh-CN"/>
              </w:rPr>
              <w:t>，</w:t>
            </w:r>
            <w:r>
              <w:rPr>
                <w:rFonts w:hint="eastAsia" w:ascii="Times New Roman" w:hAnsi="Times New Roman" w:eastAsia="宋体"/>
                <w:kern w:val="21"/>
                <w:sz w:val="24"/>
                <w:szCs w:val="24"/>
                <w:highlight w:val="none"/>
                <w:lang w:val="en-US" w:eastAsia="zh-CN"/>
              </w:rPr>
              <w:t>最终汇入伊逊河</w:t>
            </w:r>
            <w:bookmarkEnd w:id="16"/>
            <w:r>
              <w:rPr>
                <w:rFonts w:hint="eastAsia"/>
                <w:sz w:val="24"/>
                <w:szCs w:val="24"/>
                <w:highlight w:val="none"/>
              </w:rPr>
              <w:t>。</w:t>
            </w:r>
          </w:p>
          <w:p w14:paraId="34C375D0">
            <w:pPr>
              <w:pStyle w:val="54"/>
              <w:numPr>
                <w:ilvl w:val="0"/>
                <w:numId w:val="0"/>
              </w:numPr>
              <w:ind w:firstLine="480" w:firstLineChars="200"/>
              <w:rPr>
                <w:sz w:val="24"/>
                <w:szCs w:val="24"/>
                <w:highlight w:val="none"/>
              </w:rPr>
            </w:pPr>
            <w:r>
              <w:rPr>
                <w:rFonts w:hint="eastAsia"/>
                <w:sz w:val="24"/>
                <w:szCs w:val="24"/>
                <w:highlight w:val="none"/>
                <w:lang w:val="en-US" w:eastAsia="zh-CN"/>
              </w:rPr>
              <w:t>根据</w:t>
            </w:r>
            <w:r>
              <w:rPr>
                <w:rFonts w:hint="eastAsia"/>
                <w:sz w:val="24"/>
                <w:szCs w:val="24"/>
                <w:highlight w:val="none"/>
              </w:rPr>
              <w:t>《2023年承德市生态环境状况公报》，2023年</w:t>
            </w:r>
            <w:r>
              <w:rPr>
                <w:rFonts w:hint="eastAsia" w:ascii="Times New Roman" w:hAnsi="Times New Roman" w:eastAsia="宋体"/>
                <w:kern w:val="21"/>
                <w:sz w:val="24"/>
                <w:szCs w:val="24"/>
                <w:highlight w:val="none"/>
                <w:lang w:val="en-US" w:eastAsia="zh-CN"/>
              </w:rPr>
              <w:t>伊逊河</w:t>
            </w:r>
            <w:r>
              <w:rPr>
                <w:rFonts w:hint="eastAsia"/>
                <w:sz w:val="24"/>
                <w:szCs w:val="24"/>
                <w:highlight w:val="none"/>
              </w:rPr>
              <w:t>水质总体为优，与2022年持平。监测的2个断面中，</w:t>
            </w:r>
            <w:r>
              <w:rPr>
                <w:rFonts w:hint="eastAsia"/>
                <w:sz w:val="24"/>
                <w:szCs w:val="24"/>
                <w:highlight w:val="none"/>
                <w:lang w:val="en-US" w:eastAsia="zh-CN"/>
              </w:rPr>
              <w:t>唐三营</w:t>
            </w:r>
            <w:r>
              <w:rPr>
                <w:rFonts w:hint="eastAsia"/>
                <w:sz w:val="24"/>
                <w:szCs w:val="24"/>
                <w:highlight w:val="none"/>
              </w:rPr>
              <w:t>水</w:t>
            </w:r>
            <w:r>
              <w:rPr>
                <w:rFonts w:hint="default" w:ascii="Times New Roman" w:hAnsi="Times New Roman" w:cs="Times New Roman"/>
                <w:sz w:val="24"/>
                <w:szCs w:val="24"/>
                <w:highlight w:val="none"/>
              </w:rPr>
              <w:t>质为Ⅲ类，</w:t>
            </w:r>
            <w:r>
              <w:rPr>
                <w:rFonts w:hint="default" w:ascii="Times New Roman" w:hAnsi="Times New Roman" w:cs="Times New Roman"/>
                <w:sz w:val="24"/>
                <w:szCs w:val="24"/>
                <w:highlight w:val="none"/>
                <w:lang w:val="en-US" w:eastAsia="zh-CN"/>
              </w:rPr>
              <w:t>李台</w:t>
            </w:r>
            <w:r>
              <w:rPr>
                <w:rFonts w:hint="default" w:ascii="Times New Roman" w:hAnsi="Times New Roman" w:cs="Times New Roman"/>
                <w:sz w:val="24"/>
                <w:szCs w:val="24"/>
                <w:highlight w:val="none"/>
              </w:rPr>
              <w:t>水质为II</w:t>
            </w:r>
            <w:r>
              <w:rPr>
                <w:rFonts w:hint="eastAsia"/>
                <w:sz w:val="24"/>
                <w:szCs w:val="24"/>
                <w:highlight w:val="none"/>
              </w:rPr>
              <w:t>类。</w:t>
            </w:r>
          </w:p>
          <w:p w14:paraId="256F31E7">
            <w:pPr>
              <w:pStyle w:val="54"/>
              <w:numPr>
                <w:ilvl w:val="0"/>
                <w:numId w:val="0"/>
              </w:numPr>
              <w:ind w:firstLine="480" w:firstLineChars="200"/>
              <w:rPr>
                <w:sz w:val="24"/>
                <w:szCs w:val="24"/>
                <w:highlight w:val="none"/>
              </w:rPr>
            </w:pPr>
            <w:r>
              <w:rPr>
                <w:rFonts w:hint="eastAsia"/>
                <w:sz w:val="24"/>
                <w:szCs w:val="24"/>
                <w:highlight w:val="none"/>
              </w:rPr>
              <w:t>监测结果见下表。</w:t>
            </w:r>
          </w:p>
          <w:p w14:paraId="7EA09870">
            <w:pPr>
              <w:pStyle w:val="49"/>
              <w:numPr>
                <w:ilvl w:val="0"/>
                <w:numId w:val="10"/>
              </w:numPr>
              <w:spacing w:before="120" w:beforeLines="50" w:line="360" w:lineRule="auto"/>
              <w:rPr>
                <w:rFonts w:eastAsia="宋体"/>
                <w:b/>
                <w:highlight w:val="none"/>
              </w:rPr>
            </w:pPr>
            <w:r>
              <w:rPr>
                <w:rFonts w:hint="eastAsia" w:eastAsia="宋体"/>
                <w:b/>
                <w:highlight w:val="none"/>
              </w:rPr>
              <w:t>20</w:t>
            </w:r>
            <w:r>
              <w:rPr>
                <w:rFonts w:eastAsia="宋体"/>
                <w:b/>
                <w:highlight w:val="none"/>
              </w:rPr>
              <w:t>23</w:t>
            </w:r>
            <w:r>
              <w:rPr>
                <w:rFonts w:hint="eastAsia" w:eastAsia="宋体"/>
                <w:b/>
                <w:highlight w:val="none"/>
              </w:rPr>
              <w:t>年</w:t>
            </w:r>
            <w:r>
              <w:rPr>
                <w:rFonts w:hint="eastAsia" w:eastAsia="宋体"/>
                <w:b/>
                <w:highlight w:val="none"/>
                <w:lang w:val="en-US" w:eastAsia="zh-CN"/>
              </w:rPr>
              <w:t>伊逊河</w:t>
            </w:r>
            <w:r>
              <w:rPr>
                <w:rFonts w:hint="eastAsia" w:eastAsia="宋体"/>
                <w:b/>
                <w:highlight w:val="none"/>
              </w:rPr>
              <w:t>河流水质及断面水质状况表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6"/>
              <w:gridCol w:w="1894"/>
              <w:gridCol w:w="1335"/>
              <w:gridCol w:w="1347"/>
              <w:gridCol w:w="1348"/>
              <w:gridCol w:w="1208"/>
            </w:tblGrid>
            <w:tr w14:paraId="5CDE1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618" w:type="pct"/>
                  <w:vMerge w:val="restart"/>
                  <w:vAlign w:val="center"/>
                </w:tcPr>
                <w:p w14:paraId="5926DDB4">
                  <w:pPr>
                    <w:jc w:val="center"/>
                    <w:rPr>
                      <w:b/>
                      <w:szCs w:val="21"/>
                      <w:highlight w:val="none"/>
                    </w:rPr>
                  </w:pPr>
                  <w:r>
                    <w:rPr>
                      <w:b/>
                      <w:szCs w:val="21"/>
                      <w:highlight w:val="none"/>
                    </w:rPr>
                    <w:t>河流</w:t>
                  </w:r>
                </w:p>
                <w:p w14:paraId="431415DC">
                  <w:pPr>
                    <w:jc w:val="center"/>
                    <w:rPr>
                      <w:b/>
                      <w:szCs w:val="21"/>
                      <w:highlight w:val="none"/>
                    </w:rPr>
                  </w:pPr>
                  <w:r>
                    <w:rPr>
                      <w:b/>
                      <w:szCs w:val="21"/>
                      <w:highlight w:val="none"/>
                    </w:rPr>
                    <w:t>名称</w:t>
                  </w:r>
                </w:p>
              </w:tc>
              <w:tc>
                <w:tcPr>
                  <w:tcW w:w="1163" w:type="pct"/>
                  <w:vMerge w:val="restart"/>
                  <w:vAlign w:val="center"/>
                </w:tcPr>
                <w:p w14:paraId="74978018">
                  <w:pPr>
                    <w:jc w:val="center"/>
                    <w:rPr>
                      <w:b/>
                      <w:szCs w:val="21"/>
                      <w:highlight w:val="none"/>
                    </w:rPr>
                  </w:pPr>
                  <w:r>
                    <w:rPr>
                      <w:b/>
                      <w:szCs w:val="21"/>
                      <w:highlight w:val="none"/>
                    </w:rPr>
                    <w:t>断面名称</w:t>
                  </w:r>
                </w:p>
              </w:tc>
              <w:tc>
                <w:tcPr>
                  <w:tcW w:w="2475" w:type="pct"/>
                  <w:gridSpan w:val="3"/>
                  <w:vAlign w:val="center"/>
                </w:tcPr>
                <w:p w14:paraId="7464CB3B">
                  <w:pPr>
                    <w:jc w:val="center"/>
                    <w:rPr>
                      <w:b/>
                      <w:szCs w:val="21"/>
                      <w:highlight w:val="none"/>
                    </w:rPr>
                  </w:pPr>
                  <w:r>
                    <w:rPr>
                      <w:b/>
                      <w:szCs w:val="21"/>
                      <w:highlight w:val="none"/>
                    </w:rPr>
                    <w:t>各监测断面水质情况</w:t>
                  </w:r>
                </w:p>
              </w:tc>
              <w:tc>
                <w:tcPr>
                  <w:tcW w:w="742" w:type="pct"/>
                  <w:vMerge w:val="restart"/>
                  <w:vAlign w:val="center"/>
                </w:tcPr>
                <w:p w14:paraId="74939593">
                  <w:pPr>
                    <w:rPr>
                      <w:b/>
                      <w:szCs w:val="21"/>
                      <w:highlight w:val="none"/>
                    </w:rPr>
                  </w:pPr>
                  <w:r>
                    <w:rPr>
                      <w:b/>
                      <w:szCs w:val="21"/>
                      <w:highlight w:val="none"/>
                    </w:rPr>
                    <w:t>2023年河流水质情况</w:t>
                  </w:r>
                </w:p>
              </w:tc>
            </w:tr>
            <w:tr w14:paraId="03EDF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618" w:type="pct"/>
                  <w:vMerge w:val="continue"/>
                  <w:vAlign w:val="center"/>
                </w:tcPr>
                <w:p w14:paraId="4EC356EB">
                  <w:pPr>
                    <w:jc w:val="center"/>
                    <w:rPr>
                      <w:szCs w:val="21"/>
                      <w:highlight w:val="none"/>
                    </w:rPr>
                  </w:pPr>
                </w:p>
              </w:tc>
              <w:tc>
                <w:tcPr>
                  <w:tcW w:w="1163" w:type="pct"/>
                  <w:vMerge w:val="continue"/>
                  <w:vAlign w:val="center"/>
                </w:tcPr>
                <w:p w14:paraId="36EA58BA">
                  <w:pPr>
                    <w:jc w:val="center"/>
                    <w:rPr>
                      <w:szCs w:val="21"/>
                      <w:highlight w:val="none"/>
                    </w:rPr>
                  </w:pPr>
                </w:p>
              </w:tc>
              <w:tc>
                <w:tcPr>
                  <w:tcW w:w="820" w:type="pct"/>
                  <w:vAlign w:val="center"/>
                </w:tcPr>
                <w:p w14:paraId="4C802463">
                  <w:pPr>
                    <w:jc w:val="center"/>
                    <w:rPr>
                      <w:b/>
                      <w:szCs w:val="21"/>
                      <w:highlight w:val="none"/>
                    </w:rPr>
                  </w:pPr>
                  <w:r>
                    <w:rPr>
                      <w:b/>
                      <w:szCs w:val="21"/>
                      <w:highlight w:val="none"/>
                    </w:rPr>
                    <w:t>2023年</w:t>
                  </w:r>
                </w:p>
              </w:tc>
              <w:tc>
                <w:tcPr>
                  <w:tcW w:w="827" w:type="pct"/>
                  <w:vAlign w:val="center"/>
                </w:tcPr>
                <w:p w14:paraId="6B00C167">
                  <w:pPr>
                    <w:jc w:val="center"/>
                    <w:rPr>
                      <w:b/>
                      <w:szCs w:val="21"/>
                      <w:highlight w:val="none"/>
                    </w:rPr>
                  </w:pPr>
                  <w:r>
                    <w:rPr>
                      <w:b/>
                      <w:szCs w:val="21"/>
                      <w:highlight w:val="none"/>
                    </w:rPr>
                    <w:t>水质达标情况</w:t>
                  </w:r>
                </w:p>
              </w:tc>
              <w:tc>
                <w:tcPr>
                  <w:tcW w:w="827" w:type="pct"/>
                  <w:vAlign w:val="center"/>
                </w:tcPr>
                <w:p w14:paraId="17088BA6">
                  <w:pPr>
                    <w:jc w:val="center"/>
                    <w:rPr>
                      <w:b/>
                      <w:szCs w:val="21"/>
                      <w:highlight w:val="none"/>
                    </w:rPr>
                  </w:pPr>
                  <w:r>
                    <w:rPr>
                      <w:b/>
                      <w:szCs w:val="21"/>
                      <w:highlight w:val="none"/>
                    </w:rPr>
                    <w:t>主要污染物</w:t>
                  </w:r>
                </w:p>
              </w:tc>
              <w:tc>
                <w:tcPr>
                  <w:tcW w:w="742" w:type="pct"/>
                  <w:vMerge w:val="continue"/>
                  <w:vAlign w:val="center"/>
                </w:tcPr>
                <w:p w14:paraId="276FB7E1">
                  <w:pPr>
                    <w:jc w:val="center"/>
                    <w:rPr>
                      <w:szCs w:val="21"/>
                      <w:highlight w:val="none"/>
                    </w:rPr>
                  </w:pPr>
                </w:p>
              </w:tc>
            </w:tr>
            <w:tr w14:paraId="2B799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18" w:type="pct"/>
                  <w:vMerge w:val="restart"/>
                  <w:vAlign w:val="center"/>
                </w:tcPr>
                <w:p w14:paraId="5AB0C61D">
                  <w:pPr>
                    <w:jc w:val="center"/>
                    <w:rPr>
                      <w:szCs w:val="21"/>
                      <w:highlight w:val="none"/>
                    </w:rPr>
                  </w:pPr>
                  <w:r>
                    <w:rPr>
                      <w:rFonts w:hint="eastAsia" w:ascii="Times New Roman" w:hAnsi="Times New Roman" w:eastAsia="宋体" w:cs="Times New Roman"/>
                      <w:kern w:val="0"/>
                      <w:highlight w:val="none"/>
                      <w:lang w:val="en-US" w:eastAsia="zh-CN"/>
                    </w:rPr>
                    <w:t>伊逊河</w:t>
                  </w:r>
                </w:p>
              </w:tc>
              <w:tc>
                <w:tcPr>
                  <w:tcW w:w="1163" w:type="pct"/>
                  <w:vAlign w:val="center"/>
                </w:tcPr>
                <w:p w14:paraId="4AAD3128">
                  <w:pPr>
                    <w:jc w:val="center"/>
                    <w:rPr>
                      <w:rFonts w:hint="default" w:eastAsia="宋体"/>
                      <w:szCs w:val="21"/>
                      <w:highlight w:val="none"/>
                      <w:lang w:val="en-US" w:eastAsia="zh-CN"/>
                    </w:rPr>
                  </w:pPr>
                  <w:r>
                    <w:rPr>
                      <w:rFonts w:hint="eastAsia"/>
                      <w:kern w:val="0"/>
                      <w:highlight w:val="none"/>
                      <w:lang w:val="en-US" w:eastAsia="zh-CN"/>
                    </w:rPr>
                    <w:t>唐三营</w:t>
                  </w:r>
                </w:p>
              </w:tc>
              <w:tc>
                <w:tcPr>
                  <w:tcW w:w="820" w:type="pct"/>
                  <w:vAlign w:val="center"/>
                </w:tcPr>
                <w:p w14:paraId="4DE67FC2">
                  <w:pPr>
                    <w:jc w:val="center"/>
                    <w:rPr>
                      <w:szCs w:val="21"/>
                      <w:highlight w:val="none"/>
                    </w:rPr>
                  </w:pPr>
                  <w:r>
                    <w:rPr>
                      <w:rFonts w:hint="eastAsia" w:ascii="微软雅黑" w:hAnsi="微软雅黑" w:eastAsia="微软雅黑" w:cs="微软雅黑"/>
                      <w:kern w:val="0"/>
                      <w:highlight w:val="none"/>
                    </w:rPr>
                    <w:t>Ⅲ</w:t>
                  </w:r>
                </w:p>
              </w:tc>
              <w:tc>
                <w:tcPr>
                  <w:tcW w:w="827" w:type="pct"/>
                  <w:vAlign w:val="center"/>
                </w:tcPr>
                <w:p w14:paraId="1EC00AF9">
                  <w:pPr>
                    <w:jc w:val="center"/>
                    <w:rPr>
                      <w:szCs w:val="21"/>
                      <w:highlight w:val="none"/>
                    </w:rPr>
                  </w:pPr>
                  <w:r>
                    <w:rPr>
                      <w:rFonts w:hint="eastAsia"/>
                      <w:kern w:val="0"/>
                      <w:highlight w:val="none"/>
                    </w:rPr>
                    <w:t>达标</w:t>
                  </w:r>
                </w:p>
              </w:tc>
              <w:tc>
                <w:tcPr>
                  <w:tcW w:w="827" w:type="pct"/>
                  <w:vAlign w:val="center"/>
                </w:tcPr>
                <w:p w14:paraId="4871AF99">
                  <w:pPr>
                    <w:jc w:val="center"/>
                    <w:rPr>
                      <w:szCs w:val="21"/>
                      <w:highlight w:val="none"/>
                    </w:rPr>
                  </w:pPr>
                  <w:r>
                    <w:rPr>
                      <w:kern w:val="0"/>
                      <w:highlight w:val="none"/>
                    </w:rPr>
                    <w:t>/</w:t>
                  </w:r>
                </w:p>
              </w:tc>
              <w:tc>
                <w:tcPr>
                  <w:tcW w:w="742" w:type="pct"/>
                  <w:vMerge w:val="restart"/>
                  <w:vAlign w:val="center"/>
                </w:tcPr>
                <w:p w14:paraId="285DA46C">
                  <w:pPr>
                    <w:jc w:val="center"/>
                    <w:rPr>
                      <w:szCs w:val="21"/>
                      <w:highlight w:val="none"/>
                    </w:rPr>
                  </w:pPr>
                  <w:r>
                    <w:rPr>
                      <w:szCs w:val="21"/>
                      <w:highlight w:val="none"/>
                    </w:rPr>
                    <w:t>优</w:t>
                  </w:r>
                </w:p>
              </w:tc>
            </w:tr>
            <w:tr w14:paraId="35CD8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618" w:type="pct"/>
                  <w:vMerge w:val="continue"/>
                  <w:vAlign w:val="center"/>
                </w:tcPr>
                <w:p w14:paraId="2D652389">
                  <w:pPr>
                    <w:jc w:val="center"/>
                    <w:rPr>
                      <w:szCs w:val="21"/>
                      <w:highlight w:val="none"/>
                    </w:rPr>
                  </w:pPr>
                </w:p>
              </w:tc>
              <w:tc>
                <w:tcPr>
                  <w:tcW w:w="1163" w:type="pct"/>
                  <w:vAlign w:val="center"/>
                </w:tcPr>
                <w:p w14:paraId="1C110967">
                  <w:pPr>
                    <w:jc w:val="center"/>
                    <w:rPr>
                      <w:rFonts w:hint="default" w:eastAsia="宋体"/>
                      <w:szCs w:val="21"/>
                      <w:highlight w:val="none"/>
                      <w:lang w:val="en-US" w:eastAsia="zh-CN"/>
                    </w:rPr>
                  </w:pPr>
                  <w:r>
                    <w:rPr>
                      <w:rFonts w:hint="eastAsia"/>
                      <w:szCs w:val="21"/>
                      <w:highlight w:val="none"/>
                      <w:lang w:val="en-US" w:eastAsia="zh-CN"/>
                    </w:rPr>
                    <w:t>李台</w:t>
                  </w:r>
                </w:p>
              </w:tc>
              <w:tc>
                <w:tcPr>
                  <w:tcW w:w="820" w:type="pct"/>
                  <w:vAlign w:val="center"/>
                </w:tcPr>
                <w:p w14:paraId="74FA138D">
                  <w:pPr>
                    <w:jc w:val="center"/>
                    <w:rPr>
                      <w:szCs w:val="21"/>
                      <w:highlight w:val="none"/>
                    </w:rPr>
                  </w:pPr>
                  <w:r>
                    <w:rPr>
                      <w:kern w:val="0"/>
                      <w:highlight w:val="none"/>
                    </w:rPr>
                    <w:t>II</w:t>
                  </w:r>
                </w:p>
              </w:tc>
              <w:tc>
                <w:tcPr>
                  <w:tcW w:w="827" w:type="pct"/>
                  <w:vAlign w:val="center"/>
                </w:tcPr>
                <w:p w14:paraId="38CCFD7C">
                  <w:pPr>
                    <w:jc w:val="center"/>
                    <w:rPr>
                      <w:szCs w:val="21"/>
                      <w:highlight w:val="none"/>
                    </w:rPr>
                  </w:pPr>
                  <w:r>
                    <w:rPr>
                      <w:rFonts w:hint="eastAsia"/>
                      <w:kern w:val="0"/>
                      <w:highlight w:val="none"/>
                    </w:rPr>
                    <w:t>达标</w:t>
                  </w:r>
                </w:p>
              </w:tc>
              <w:tc>
                <w:tcPr>
                  <w:tcW w:w="827" w:type="pct"/>
                  <w:vAlign w:val="center"/>
                </w:tcPr>
                <w:p w14:paraId="2B25623A">
                  <w:pPr>
                    <w:jc w:val="center"/>
                    <w:rPr>
                      <w:szCs w:val="21"/>
                      <w:highlight w:val="none"/>
                    </w:rPr>
                  </w:pPr>
                  <w:r>
                    <w:rPr>
                      <w:kern w:val="0"/>
                      <w:highlight w:val="none"/>
                    </w:rPr>
                    <w:t>/</w:t>
                  </w:r>
                </w:p>
              </w:tc>
              <w:tc>
                <w:tcPr>
                  <w:tcW w:w="742" w:type="pct"/>
                  <w:vMerge w:val="continue"/>
                  <w:vAlign w:val="center"/>
                </w:tcPr>
                <w:p w14:paraId="3B5B3A04">
                  <w:pPr>
                    <w:jc w:val="center"/>
                    <w:rPr>
                      <w:szCs w:val="21"/>
                      <w:highlight w:val="none"/>
                    </w:rPr>
                  </w:pPr>
                </w:p>
              </w:tc>
            </w:tr>
            <w:bookmarkEnd w:id="15"/>
          </w:tbl>
          <w:p w14:paraId="14F562BD">
            <w:pPr>
              <w:spacing w:before="120" w:beforeLines="50" w:line="360" w:lineRule="auto"/>
              <w:ind w:firstLine="482"/>
              <w:rPr>
                <w:b/>
                <w:sz w:val="24"/>
                <w:highlight w:val="none"/>
              </w:rPr>
            </w:pPr>
            <w:r>
              <w:rPr>
                <w:b/>
                <w:sz w:val="24"/>
                <w:highlight w:val="none"/>
              </w:rPr>
              <w:t>3．</w:t>
            </w:r>
            <w:r>
              <w:rPr>
                <w:rFonts w:hint="eastAsia"/>
                <w:b/>
                <w:sz w:val="24"/>
                <w:highlight w:val="none"/>
              </w:rPr>
              <w:t>声环境质量现状</w:t>
            </w:r>
          </w:p>
          <w:p w14:paraId="158A5782">
            <w:pPr>
              <w:adjustRightInd w:val="0"/>
              <w:snapToGrid w:val="0"/>
              <w:spacing w:line="360" w:lineRule="auto"/>
              <w:ind w:firstLine="480"/>
              <w:rPr>
                <w:snapToGrid w:val="0"/>
                <w:kern w:val="0"/>
                <w:sz w:val="24"/>
                <w:highlight w:val="none"/>
              </w:rPr>
            </w:pPr>
            <w:r>
              <w:rPr>
                <w:rFonts w:hint="eastAsia"/>
                <w:snapToGrid w:val="0"/>
                <w:kern w:val="0"/>
                <w:sz w:val="24"/>
                <w:highlight w:val="none"/>
              </w:rPr>
              <w:t>根据现状调查，项目厂界外周边</w:t>
            </w:r>
            <w:r>
              <w:rPr>
                <w:snapToGrid w:val="0"/>
                <w:kern w:val="0"/>
                <w:sz w:val="24"/>
                <w:highlight w:val="none"/>
              </w:rPr>
              <w:t>50</w:t>
            </w:r>
            <w:r>
              <w:rPr>
                <w:rFonts w:hint="eastAsia"/>
                <w:snapToGrid w:val="0"/>
                <w:kern w:val="0"/>
                <w:sz w:val="24"/>
                <w:highlight w:val="none"/>
              </w:rPr>
              <w:t>米范围内不存在声环境保护目标。</w:t>
            </w:r>
          </w:p>
          <w:p w14:paraId="774BC26E">
            <w:pPr>
              <w:adjustRightInd w:val="0"/>
              <w:snapToGrid w:val="0"/>
              <w:spacing w:line="360" w:lineRule="auto"/>
              <w:ind w:firstLine="480"/>
              <w:rPr>
                <w:snapToGrid w:val="0"/>
                <w:kern w:val="0"/>
                <w:sz w:val="24"/>
                <w:highlight w:val="none"/>
              </w:rPr>
            </w:pPr>
            <w:r>
              <w:rPr>
                <w:rFonts w:hint="eastAsia"/>
                <w:snapToGrid w:val="0"/>
                <w:kern w:val="0"/>
                <w:sz w:val="24"/>
                <w:highlight w:val="none"/>
              </w:rPr>
              <w:t>本次评价不进行声环境质量现状调查与评价。</w:t>
            </w:r>
          </w:p>
          <w:p w14:paraId="08E0A439">
            <w:pPr>
              <w:spacing w:line="360" w:lineRule="auto"/>
              <w:ind w:firstLine="482"/>
              <w:rPr>
                <w:b/>
                <w:sz w:val="24"/>
                <w:highlight w:val="none"/>
              </w:rPr>
            </w:pPr>
            <w:r>
              <w:rPr>
                <w:b/>
                <w:sz w:val="24"/>
                <w:highlight w:val="none"/>
              </w:rPr>
              <w:t>4．</w:t>
            </w:r>
            <w:r>
              <w:rPr>
                <w:rFonts w:hint="eastAsia"/>
                <w:b/>
                <w:sz w:val="24"/>
                <w:highlight w:val="none"/>
              </w:rPr>
              <w:t>生态环境现状</w:t>
            </w:r>
          </w:p>
          <w:p w14:paraId="31DE938D">
            <w:pPr>
              <w:spacing w:line="360" w:lineRule="auto"/>
              <w:ind w:firstLine="480"/>
              <w:rPr>
                <w:sz w:val="24"/>
                <w:highlight w:val="none"/>
              </w:rPr>
            </w:pPr>
            <w:r>
              <w:rPr>
                <w:rFonts w:hint="eastAsia"/>
                <w:sz w:val="24"/>
                <w:highlight w:val="none"/>
              </w:rPr>
              <w:t>项目选址位于</w:t>
            </w:r>
            <w:r>
              <w:rPr>
                <w:rFonts w:hint="eastAsia"/>
                <w:sz w:val="24"/>
                <w:highlight w:val="none"/>
                <w:lang w:val="en-US" w:eastAsia="zh-CN"/>
              </w:rPr>
              <w:t>围场满族蒙古族自治县半截塔镇什八克村</w:t>
            </w:r>
            <w:r>
              <w:rPr>
                <w:rFonts w:hint="eastAsia"/>
                <w:sz w:val="24"/>
                <w:highlight w:val="none"/>
              </w:rPr>
              <w:t>。项目在现有厂区内建设，不新增用地项目。项目位置用地性质为工业用地。根据现状调查，项目占地范围内不涉及重要物种及</w:t>
            </w:r>
            <w:r>
              <w:rPr>
                <w:sz w:val="24"/>
                <w:highlight w:val="none"/>
              </w:rPr>
              <w:t>重要生境</w:t>
            </w:r>
            <w:r>
              <w:rPr>
                <w:rFonts w:hint="eastAsia"/>
                <w:sz w:val="24"/>
                <w:highlight w:val="none"/>
              </w:rPr>
              <w:t>；也不涉及</w:t>
            </w:r>
            <w:r>
              <w:rPr>
                <w:sz w:val="24"/>
                <w:highlight w:val="none"/>
              </w:rPr>
              <w:t>国家公园、自然保护区、自然公园等自然保护地、世界自然遗产、生态保护红线等区域</w:t>
            </w:r>
            <w:r>
              <w:rPr>
                <w:rFonts w:hint="eastAsia"/>
                <w:sz w:val="24"/>
                <w:highlight w:val="none"/>
              </w:rPr>
              <w:t>。项目用地范围内无生态环境保护目标。</w:t>
            </w:r>
          </w:p>
          <w:p w14:paraId="2CF46D33">
            <w:pPr>
              <w:pStyle w:val="54"/>
              <w:numPr>
                <w:ilvl w:val="0"/>
                <w:numId w:val="0"/>
              </w:numPr>
              <w:ind w:firstLine="480" w:firstLineChars="200"/>
              <w:rPr>
                <w:sz w:val="24"/>
                <w:szCs w:val="24"/>
                <w:highlight w:val="none"/>
              </w:rPr>
            </w:pPr>
            <w:r>
              <w:rPr>
                <w:rFonts w:hint="eastAsia"/>
                <w:sz w:val="24"/>
                <w:szCs w:val="24"/>
                <w:highlight w:val="none"/>
              </w:rPr>
              <w:t>本次评价不进行生态环境现状调查与评价。</w:t>
            </w:r>
          </w:p>
          <w:p w14:paraId="06B4B94D">
            <w:pPr>
              <w:spacing w:line="360" w:lineRule="auto"/>
              <w:ind w:firstLine="482"/>
              <w:rPr>
                <w:b/>
                <w:sz w:val="24"/>
                <w:highlight w:val="none"/>
              </w:rPr>
            </w:pPr>
            <w:r>
              <w:rPr>
                <w:b/>
                <w:sz w:val="24"/>
                <w:highlight w:val="none"/>
              </w:rPr>
              <w:t>5．</w:t>
            </w:r>
            <w:r>
              <w:rPr>
                <w:rFonts w:hint="eastAsia"/>
                <w:b/>
                <w:sz w:val="24"/>
                <w:highlight w:val="none"/>
              </w:rPr>
              <w:t>电磁辐射</w:t>
            </w:r>
          </w:p>
          <w:p w14:paraId="150518C9">
            <w:pPr>
              <w:pStyle w:val="54"/>
              <w:numPr>
                <w:ilvl w:val="0"/>
                <w:numId w:val="0"/>
              </w:numPr>
              <w:ind w:firstLine="480" w:firstLineChars="200"/>
              <w:rPr>
                <w:sz w:val="24"/>
                <w:szCs w:val="24"/>
                <w:highlight w:val="none"/>
              </w:rPr>
            </w:pPr>
            <w:r>
              <w:rPr>
                <w:rFonts w:hint="eastAsia"/>
                <w:sz w:val="24"/>
                <w:szCs w:val="24"/>
                <w:highlight w:val="none"/>
              </w:rPr>
              <w:t>项目不涉及电磁辐射。</w:t>
            </w:r>
          </w:p>
          <w:p w14:paraId="2FECB7A3">
            <w:pPr>
              <w:spacing w:line="360" w:lineRule="auto"/>
              <w:ind w:firstLine="482"/>
              <w:rPr>
                <w:b/>
                <w:sz w:val="24"/>
                <w:highlight w:val="none"/>
              </w:rPr>
            </w:pPr>
            <w:r>
              <w:rPr>
                <w:b/>
                <w:sz w:val="24"/>
                <w:highlight w:val="none"/>
              </w:rPr>
              <w:t>6．</w:t>
            </w:r>
            <w:r>
              <w:rPr>
                <w:rFonts w:hint="eastAsia"/>
                <w:b/>
                <w:sz w:val="24"/>
                <w:highlight w:val="none"/>
              </w:rPr>
              <w:t>地下水、土壤环境现状</w:t>
            </w:r>
          </w:p>
          <w:p w14:paraId="486DEF58">
            <w:pPr>
              <w:adjustRightInd w:val="0"/>
              <w:snapToGrid w:val="0"/>
              <w:spacing w:line="360" w:lineRule="auto"/>
              <w:ind w:firstLine="480"/>
              <w:rPr>
                <w:kern w:val="0"/>
                <w:sz w:val="24"/>
                <w:highlight w:val="none"/>
              </w:rPr>
            </w:pPr>
            <w:r>
              <w:rPr>
                <w:rFonts w:hint="eastAsia"/>
                <w:kern w:val="0"/>
                <w:sz w:val="24"/>
                <w:highlight w:val="none"/>
              </w:rPr>
              <w:t>根据识别，结合工程分析，项目不存在土壤、地下水环境污染途径，因此本次评价不进行地下水、土壤环境质量的现状调查。</w:t>
            </w:r>
          </w:p>
          <w:p w14:paraId="564C8923">
            <w:pPr>
              <w:pStyle w:val="2"/>
              <w:ind w:left="0" w:leftChars="0" w:firstLine="0" w:firstLineChars="0"/>
              <w:jc w:val="both"/>
              <w:rPr>
                <w:highlight w:val="none"/>
              </w:rPr>
            </w:pPr>
          </w:p>
        </w:tc>
      </w:tr>
      <w:tr w14:paraId="498AF4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vAlign w:val="center"/>
          </w:tcPr>
          <w:p w14:paraId="44A0C569">
            <w:pPr>
              <w:adjustRightInd w:val="0"/>
              <w:snapToGrid w:val="0"/>
              <w:jc w:val="center"/>
              <w:rPr>
                <w:rFonts w:ascii="宋体" w:hAnsi="宋体" w:cs="宋体"/>
                <w:kern w:val="0"/>
                <w:sz w:val="24"/>
                <w:highlight w:val="none"/>
              </w:rPr>
            </w:pPr>
            <w:r>
              <w:rPr>
                <w:rFonts w:hint="eastAsia" w:ascii="宋体" w:hAnsi="宋体" w:cs="宋体"/>
                <w:kern w:val="0"/>
                <w:sz w:val="24"/>
                <w:highlight w:val="none"/>
              </w:rPr>
              <w:t>环境</w:t>
            </w:r>
          </w:p>
          <w:p w14:paraId="66C223FC">
            <w:pPr>
              <w:adjustRightInd w:val="0"/>
              <w:snapToGrid w:val="0"/>
              <w:jc w:val="center"/>
              <w:rPr>
                <w:rFonts w:ascii="宋体" w:hAnsi="宋体" w:cs="宋体"/>
                <w:kern w:val="0"/>
                <w:sz w:val="24"/>
                <w:highlight w:val="none"/>
              </w:rPr>
            </w:pPr>
            <w:r>
              <w:rPr>
                <w:rFonts w:hint="eastAsia" w:ascii="宋体" w:hAnsi="宋体" w:cs="宋体"/>
                <w:kern w:val="0"/>
                <w:sz w:val="24"/>
                <w:highlight w:val="none"/>
              </w:rPr>
              <w:t>保护</w:t>
            </w:r>
          </w:p>
          <w:p w14:paraId="40EB6864">
            <w:pPr>
              <w:adjustRightInd w:val="0"/>
              <w:snapToGrid w:val="0"/>
              <w:jc w:val="center"/>
              <w:rPr>
                <w:rFonts w:ascii="宋体" w:hAnsi="宋体" w:cs="宋体"/>
                <w:kern w:val="0"/>
                <w:sz w:val="24"/>
                <w:highlight w:val="none"/>
              </w:rPr>
            </w:pPr>
            <w:r>
              <w:rPr>
                <w:rFonts w:hint="eastAsia" w:ascii="宋体" w:hAnsi="宋体" w:cs="宋体"/>
                <w:kern w:val="0"/>
                <w:sz w:val="24"/>
                <w:highlight w:val="none"/>
              </w:rPr>
              <w:t>目标</w:t>
            </w:r>
          </w:p>
        </w:tc>
        <w:tc>
          <w:tcPr>
            <w:tcW w:w="8190" w:type="dxa"/>
            <w:vAlign w:val="center"/>
          </w:tcPr>
          <w:p w14:paraId="2210A91C">
            <w:pPr>
              <w:spacing w:before="120" w:beforeLines="50" w:line="360" w:lineRule="auto"/>
              <w:ind w:firstLine="482"/>
              <w:rPr>
                <w:b/>
                <w:sz w:val="24"/>
                <w:highlight w:val="none"/>
              </w:rPr>
            </w:pPr>
            <w:r>
              <w:rPr>
                <w:rFonts w:hint="eastAsia"/>
                <w:b/>
                <w:sz w:val="24"/>
                <w:highlight w:val="none"/>
              </w:rPr>
              <w:t>1</w:t>
            </w:r>
            <w:r>
              <w:rPr>
                <w:b/>
                <w:sz w:val="24"/>
                <w:highlight w:val="none"/>
              </w:rPr>
              <w:t>．</w:t>
            </w:r>
            <w:r>
              <w:rPr>
                <w:rFonts w:hint="eastAsia"/>
                <w:b/>
                <w:sz w:val="24"/>
                <w:highlight w:val="none"/>
              </w:rPr>
              <w:t>环境空气保护目标</w:t>
            </w:r>
          </w:p>
          <w:p w14:paraId="18B64DF4">
            <w:pPr>
              <w:spacing w:line="360" w:lineRule="auto"/>
              <w:ind w:firstLine="480"/>
              <w:rPr>
                <w:sz w:val="24"/>
                <w:highlight w:val="none"/>
              </w:rPr>
            </w:pPr>
            <w:r>
              <w:rPr>
                <w:rFonts w:hint="eastAsia"/>
                <w:sz w:val="24"/>
                <w:highlight w:val="none"/>
              </w:rPr>
              <w:t>项目厂界外5</w:t>
            </w:r>
            <w:r>
              <w:rPr>
                <w:sz w:val="24"/>
                <w:highlight w:val="none"/>
              </w:rPr>
              <w:t>00m</w:t>
            </w:r>
            <w:r>
              <w:rPr>
                <w:rFonts w:hint="eastAsia"/>
                <w:sz w:val="24"/>
                <w:highlight w:val="none"/>
              </w:rPr>
              <w:t>范围内的环境空气保护目标情况列表如下：</w:t>
            </w:r>
          </w:p>
          <w:p w14:paraId="29441C99">
            <w:pPr>
              <w:pStyle w:val="49"/>
              <w:numPr>
                <w:ilvl w:val="0"/>
                <w:numId w:val="10"/>
              </w:numPr>
              <w:spacing w:line="360" w:lineRule="auto"/>
              <w:rPr>
                <w:rFonts w:eastAsia="宋体"/>
                <w:b/>
                <w:highlight w:val="none"/>
              </w:rPr>
            </w:pPr>
            <w:r>
              <w:rPr>
                <w:rFonts w:hint="eastAsia" w:eastAsia="宋体"/>
                <w:b/>
                <w:highlight w:val="none"/>
              </w:rPr>
              <w:t>项目厂界外500m范围内的环境空气保护目标一览表</w:t>
            </w:r>
          </w:p>
          <w:tbl>
            <w:tblPr>
              <w:tblStyle w:val="24"/>
              <w:tblW w:w="78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0"/>
              <w:gridCol w:w="1949"/>
              <w:gridCol w:w="1844"/>
              <w:gridCol w:w="598"/>
              <w:gridCol w:w="503"/>
              <w:gridCol w:w="703"/>
              <w:gridCol w:w="465"/>
              <w:gridCol w:w="466"/>
              <w:gridCol w:w="824"/>
            </w:tblGrid>
            <w:tr w14:paraId="2AA29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750" w:type="dxa"/>
                  <w:vMerge w:val="restart"/>
                  <w:vAlign w:val="center"/>
                </w:tcPr>
                <w:p w14:paraId="23C7B3E9">
                  <w:pPr>
                    <w:jc w:val="center"/>
                    <w:rPr>
                      <w:b/>
                      <w:szCs w:val="21"/>
                      <w:highlight w:val="none"/>
                    </w:rPr>
                  </w:pPr>
                  <w:r>
                    <w:rPr>
                      <w:rFonts w:hint="eastAsia"/>
                      <w:b/>
                      <w:szCs w:val="21"/>
                      <w:highlight w:val="none"/>
                    </w:rPr>
                    <w:t>类别</w:t>
                  </w:r>
                </w:p>
              </w:tc>
              <w:tc>
                <w:tcPr>
                  <w:tcW w:w="2445" w:type="dxa"/>
                  <w:gridSpan w:val="2"/>
                  <w:vAlign w:val="center"/>
                </w:tcPr>
                <w:p w14:paraId="3F4DC74A">
                  <w:pPr>
                    <w:jc w:val="center"/>
                    <w:rPr>
                      <w:b/>
                      <w:szCs w:val="21"/>
                      <w:highlight w:val="none"/>
                    </w:rPr>
                  </w:pPr>
                  <w:r>
                    <w:rPr>
                      <w:rFonts w:hint="eastAsia"/>
                      <w:b/>
                      <w:szCs w:val="21"/>
                      <w:highlight w:val="none"/>
                    </w:rPr>
                    <w:t>坐标</w:t>
                  </w:r>
                </w:p>
              </w:tc>
              <w:tc>
                <w:tcPr>
                  <w:tcW w:w="915" w:type="dxa"/>
                  <w:vMerge w:val="restart"/>
                  <w:vAlign w:val="center"/>
                </w:tcPr>
                <w:p w14:paraId="25E32CF6">
                  <w:pPr>
                    <w:jc w:val="center"/>
                    <w:rPr>
                      <w:b/>
                      <w:szCs w:val="21"/>
                      <w:highlight w:val="none"/>
                    </w:rPr>
                  </w:pPr>
                  <w:r>
                    <w:rPr>
                      <w:rFonts w:hint="eastAsia"/>
                      <w:b/>
                      <w:szCs w:val="21"/>
                      <w:highlight w:val="none"/>
                    </w:rPr>
                    <w:t>保护对象名称</w:t>
                  </w:r>
                </w:p>
              </w:tc>
              <w:tc>
                <w:tcPr>
                  <w:tcW w:w="645" w:type="dxa"/>
                  <w:vMerge w:val="restart"/>
                  <w:vAlign w:val="center"/>
                </w:tcPr>
                <w:p w14:paraId="1740B35C">
                  <w:pPr>
                    <w:jc w:val="center"/>
                    <w:rPr>
                      <w:b/>
                      <w:szCs w:val="21"/>
                      <w:highlight w:val="none"/>
                    </w:rPr>
                  </w:pPr>
                  <w:r>
                    <w:rPr>
                      <w:rFonts w:hint="eastAsia"/>
                      <w:b/>
                      <w:szCs w:val="21"/>
                      <w:highlight w:val="none"/>
                    </w:rPr>
                    <w:t>保护内容</w:t>
                  </w:r>
                </w:p>
              </w:tc>
              <w:tc>
                <w:tcPr>
                  <w:tcW w:w="1218" w:type="dxa"/>
                  <w:vMerge w:val="restart"/>
                  <w:vAlign w:val="center"/>
                </w:tcPr>
                <w:p w14:paraId="282D89AB">
                  <w:pPr>
                    <w:jc w:val="center"/>
                    <w:rPr>
                      <w:b/>
                      <w:szCs w:val="21"/>
                      <w:highlight w:val="none"/>
                    </w:rPr>
                  </w:pPr>
                  <w:r>
                    <w:rPr>
                      <w:rFonts w:hint="eastAsia"/>
                      <w:b/>
                      <w:szCs w:val="21"/>
                      <w:highlight w:val="none"/>
                    </w:rPr>
                    <w:t>环境功能区</w:t>
                  </w:r>
                </w:p>
              </w:tc>
              <w:tc>
                <w:tcPr>
                  <w:tcW w:w="537" w:type="dxa"/>
                  <w:vMerge w:val="restart"/>
                  <w:vAlign w:val="center"/>
                </w:tcPr>
                <w:p w14:paraId="06FF45EC">
                  <w:pPr>
                    <w:jc w:val="center"/>
                    <w:rPr>
                      <w:b/>
                      <w:szCs w:val="21"/>
                      <w:highlight w:val="none"/>
                    </w:rPr>
                  </w:pPr>
                  <w:r>
                    <w:rPr>
                      <w:rFonts w:hint="eastAsia"/>
                      <w:b/>
                      <w:szCs w:val="21"/>
                      <w:highlight w:val="none"/>
                    </w:rPr>
                    <w:t>最近厂界</w:t>
                  </w:r>
                </w:p>
              </w:tc>
              <w:tc>
                <w:tcPr>
                  <w:tcW w:w="539" w:type="dxa"/>
                  <w:vMerge w:val="restart"/>
                  <w:vAlign w:val="center"/>
                </w:tcPr>
                <w:p w14:paraId="0A2A1733">
                  <w:pPr>
                    <w:jc w:val="center"/>
                    <w:rPr>
                      <w:b/>
                      <w:szCs w:val="21"/>
                      <w:highlight w:val="none"/>
                    </w:rPr>
                  </w:pPr>
                  <w:r>
                    <w:rPr>
                      <w:rFonts w:hint="eastAsia"/>
                      <w:b/>
                      <w:szCs w:val="21"/>
                      <w:highlight w:val="none"/>
                    </w:rPr>
                    <w:t>相对厂界方位</w:t>
                  </w:r>
                </w:p>
              </w:tc>
              <w:tc>
                <w:tcPr>
                  <w:tcW w:w="843" w:type="dxa"/>
                  <w:vMerge w:val="restart"/>
                  <w:vAlign w:val="center"/>
                </w:tcPr>
                <w:p w14:paraId="76073644">
                  <w:pPr>
                    <w:jc w:val="center"/>
                    <w:rPr>
                      <w:b/>
                      <w:szCs w:val="21"/>
                      <w:highlight w:val="none"/>
                    </w:rPr>
                  </w:pPr>
                  <w:r>
                    <w:rPr>
                      <w:rFonts w:hint="eastAsia"/>
                      <w:b/>
                      <w:szCs w:val="21"/>
                      <w:highlight w:val="none"/>
                    </w:rPr>
                    <w:t>相对厂界距离（m）</w:t>
                  </w:r>
                </w:p>
              </w:tc>
            </w:tr>
            <w:tr w14:paraId="5D9B9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750" w:type="dxa"/>
                  <w:vMerge w:val="continue"/>
                  <w:vAlign w:val="center"/>
                </w:tcPr>
                <w:p w14:paraId="3BB50EA0">
                  <w:pPr>
                    <w:jc w:val="center"/>
                    <w:rPr>
                      <w:b/>
                      <w:szCs w:val="21"/>
                      <w:highlight w:val="none"/>
                    </w:rPr>
                  </w:pPr>
                </w:p>
              </w:tc>
              <w:tc>
                <w:tcPr>
                  <w:tcW w:w="1260" w:type="dxa"/>
                  <w:vAlign w:val="center"/>
                </w:tcPr>
                <w:p w14:paraId="2BFEEC83">
                  <w:pPr>
                    <w:jc w:val="center"/>
                    <w:rPr>
                      <w:b/>
                      <w:szCs w:val="21"/>
                      <w:highlight w:val="none"/>
                    </w:rPr>
                  </w:pPr>
                  <w:r>
                    <w:rPr>
                      <w:rFonts w:hint="eastAsia"/>
                      <w:b/>
                      <w:szCs w:val="21"/>
                      <w:highlight w:val="none"/>
                    </w:rPr>
                    <w:t>E</w:t>
                  </w:r>
                </w:p>
              </w:tc>
              <w:tc>
                <w:tcPr>
                  <w:tcW w:w="1185" w:type="dxa"/>
                  <w:vAlign w:val="center"/>
                </w:tcPr>
                <w:p w14:paraId="6DC43601">
                  <w:pPr>
                    <w:jc w:val="center"/>
                    <w:rPr>
                      <w:b/>
                      <w:szCs w:val="21"/>
                      <w:highlight w:val="none"/>
                    </w:rPr>
                  </w:pPr>
                  <w:r>
                    <w:rPr>
                      <w:rFonts w:hint="eastAsia"/>
                      <w:b/>
                      <w:szCs w:val="21"/>
                      <w:highlight w:val="none"/>
                    </w:rPr>
                    <w:t>N</w:t>
                  </w:r>
                </w:p>
              </w:tc>
              <w:tc>
                <w:tcPr>
                  <w:tcW w:w="915" w:type="dxa"/>
                  <w:vMerge w:val="continue"/>
                  <w:vAlign w:val="center"/>
                </w:tcPr>
                <w:p w14:paraId="1B58AB18">
                  <w:pPr>
                    <w:jc w:val="center"/>
                    <w:rPr>
                      <w:b/>
                      <w:szCs w:val="21"/>
                      <w:highlight w:val="none"/>
                    </w:rPr>
                  </w:pPr>
                </w:p>
              </w:tc>
              <w:tc>
                <w:tcPr>
                  <w:tcW w:w="645" w:type="dxa"/>
                  <w:vMerge w:val="continue"/>
                  <w:vAlign w:val="center"/>
                </w:tcPr>
                <w:p w14:paraId="33A86C65">
                  <w:pPr>
                    <w:jc w:val="center"/>
                    <w:rPr>
                      <w:b/>
                      <w:szCs w:val="21"/>
                      <w:highlight w:val="none"/>
                    </w:rPr>
                  </w:pPr>
                </w:p>
              </w:tc>
              <w:tc>
                <w:tcPr>
                  <w:tcW w:w="1218" w:type="dxa"/>
                  <w:vMerge w:val="continue"/>
                  <w:vAlign w:val="center"/>
                </w:tcPr>
                <w:p w14:paraId="5F532CC4">
                  <w:pPr>
                    <w:jc w:val="center"/>
                    <w:rPr>
                      <w:b/>
                      <w:szCs w:val="21"/>
                      <w:highlight w:val="none"/>
                    </w:rPr>
                  </w:pPr>
                </w:p>
              </w:tc>
              <w:tc>
                <w:tcPr>
                  <w:tcW w:w="537" w:type="dxa"/>
                  <w:vMerge w:val="continue"/>
                  <w:vAlign w:val="center"/>
                </w:tcPr>
                <w:p w14:paraId="14E93F63">
                  <w:pPr>
                    <w:jc w:val="center"/>
                    <w:rPr>
                      <w:b/>
                      <w:szCs w:val="21"/>
                      <w:highlight w:val="none"/>
                    </w:rPr>
                  </w:pPr>
                </w:p>
              </w:tc>
              <w:tc>
                <w:tcPr>
                  <w:tcW w:w="539" w:type="dxa"/>
                  <w:vMerge w:val="continue"/>
                  <w:vAlign w:val="center"/>
                </w:tcPr>
                <w:p w14:paraId="533166D2">
                  <w:pPr>
                    <w:jc w:val="center"/>
                    <w:rPr>
                      <w:b/>
                      <w:szCs w:val="21"/>
                      <w:highlight w:val="none"/>
                    </w:rPr>
                  </w:pPr>
                </w:p>
              </w:tc>
              <w:tc>
                <w:tcPr>
                  <w:tcW w:w="843" w:type="dxa"/>
                  <w:vMerge w:val="continue"/>
                  <w:vAlign w:val="center"/>
                </w:tcPr>
                <w:p w14:paraId="2942666C">
                  <w:pPr>
                    <w:jc w:val="center"/>
                    <w:rPr>
                      <w:b/>
                      <w:szCs w:val="21"/>
                      <w:highlight w:val="none"/>
                    </w:rPr>
                  </w:pPr>
                </w:p>
              </w:tc>
            </w:tr>
            <w:tr w14:paraId="5271D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0" w:hRule="atLeast"/>
                <w:jc w:val="center"/>
              </w:trPr>
              <w:tc>
                <w:tcPr>
                  <w:tcW w:w="750" w:type="dxa"/>
                  <w:vAlign w:val="center"/>
                </w:tcPr>
                <w:p w14:paraId="35A98D97">
                  <w:pPr>
                    <w:jc w:val="center"/>
                    <w:rPr>
                      <w:szCs w:val="21"/>
                      <w:highlight w:val="none"/>
                    </w:rPr>
                  </w:pPr>
                  <w:r>
                    <w:rPr>
                      <w:rFonts w:hint="eastAsia"/>
                      <w:szCs w:val="21"/>
                      <w:highlight w:val="none"/>
                    </w:rPr>
                    <w:t>环境空气</w:t>
                  </w:r>
                </w:p>
              </w:tc>
              <w:tc>
                <w:tcPr>
                  <w:tcW w:w="1260" w:type="dxa"/>
                  <w:vAlign w:val="center"/>
                </w:tcPr>
                <w:p w14:paraId="44A998A5">
                  <w:pPr>
                    <w:jc w:val="center"/>
                    <w:rPr>
                      <w:szCs w:val="21"/>
                      <w:highlight w:val="none"/>
                    </w:rPr>
                  </w:pPr>
                  <w:r>
                    <w:rPr>
                      <w:rFonts w:hint="eastAsia"/>
                      <w:bCs/>
                      <w:kern w:val="0"/>
                      <w:szCs w:val="21"/>
                      <w:highlight w:val="none"/>
                      <w:lang w:bidi="ar"/>
                    </w:rPr>
                    <w:t>117°25′13.731″</w:t>
                  </w:r>
                </w:p>
              </w:tc>
              <w:tc>
                <w:tcPr>
                  <w:tcW w:w="1185" w:type="dxa"/>
                  <w:vAlign w:val="center"/>
                </w:tcPr>
                <w:p w14:paraId="3951D406">
                  <w:pPr>
                    <w:jc w:val="center"/>
                    <w:rPr>
                      <w:szCs w:val="21"/>
                      <w:highlight w:val="none"/>
                    </w:rPr>
                  </w:pPr>
                  <w:r>
                    <w:rPr>
                      <w:rFonts w:hint="eastAsia"/>
                      <w:bCs/>
                      <w:kern w:val="0"/>
                      <w:szCs w:val="21"/>
                      <w:highlight w:val="none"/>
                      <w:lang w:bidi="ar"/>
                    </w:rPr>
                    <w:t>41°56′39.59</w:t>
                  </w:r>
                  <w:r>
                    <w:rPr>
                      <w:rFonts w:hint="eastAsia"/>
                      <w:bCs/>
                      <w:kern w:val="0"/>
                      <w:szCs w:val="21"/>
                      <w:highlight w:val="none"/>
                      <w:lang w:val="en-US" w:eastAsia="zh-CN" w:bidi="ar"/>
                    </w:rPr>
                    <w:t>0</w:t>
                  </w:r>
                  <w:r>
                    <w:rPr>
                      <w:rFonts w:hint="eastAsia"/>
                      <w:bCs/>
                      <w:kern w:val="0"/>
                      <w:szCs w:val="21"/>
                      <w:highlight w:val="none"/>
                      <w:lang w:bidi="ar"/>
                    </w:rPr>
                    <w:t>″</w:t>
                  </w:r>
                </w:p>
              </w:tc>
              <w:tc>
                <w:tcPr>
                  <w:tcW w:w="915" w:type="dxa"/>
                  <w:vAlign w:val="center"/>
                </w:tcPr>
                <w:p w14:paraId="133FBB1B">
                  <w:pPr>
                    <w:jc w:val="center"/>
                    <w:rPr>
                      <w:rFonts w:hint="eastAsia" w:eastAsia="宋体"/>
                      <w:szCs w:val="21"/>
                      <w:highlight w:val="none"/>
                      <w:lang w:eastAsia="zh-CN"/>
                    </w:rPr>
                  </w:pPr>
                  <w:r>
                    <w:rPr>
                      <w:rFonts w:hint="eastAsia"/>
                      <w:bCs/>
                      <w:szCs w:val="21"/>
                      <w:highlight w:val="none"/>
                      <w:lang w:val="en-US" w:eastAsia="zh-CN"/>
                    </w:rPr>
                    <w:t>灵阳宫</w:t>
                  </w:r>
                </w:p>
              </w:tc>
              <w:tc>
                <w:tcPr>
                  <w:tcW w:w="645" w:type="dxa"/>
                  <w:vAlign w:val="center"/>
                </w:tcPr>
                <w:p w14:paraId="0EF9B4E2">
                  <w:pPr>
                    <w:jc w:val="center"/>
                    <w:rPr>
                      <w:szCs w:val="21"/>
                      <w:highlight w:val="none"/>
                    </w:rPr>
                  </w:pPr>
                  <w:r>
                    <w:rPr>
                      <w:rFonts w:hint="eastAsia"/>
                      <w:szCs w:val="21"/>
                      <w:highlight w:val="none"/>
                    </w:rPr>
                    <w:t>居住</w:t>
                  </w:r>
                </w:p>
              </w:tc>
              <w:tc>
                <w:tcPr>
                  <w:tcW w:w="1218" w:type="dxa"/>
                  <w:vAlign w:val="center"/>
                </w:tcPr>
                <w:p w14:paraId="1C9CECD0">
                  <w:pPr>
                    <w:jc w:val="center"/>
                    <w:rPr>
                      <w:szCs w:val="21"/>
                      <w:highlight w:val="none"/>
                    </w:rPr>
                  </w:pPr>
                  <w:r>
                    <w:rPr>
                      <w:rFonts w:hint="eastAsia"/>
                      <w:szCs w:val="21"/>
                      <w:highlight w:val="none"/>
                    </w:rPr>
                    <w:t>空气环境质量二类功能区</w:t>
                  </w:r>
                </w:p>
              </w:tc>
              <w:tc>
                <w:tcPr>
                  <w:tcW w:w="537" w:type="dxa"/>
                  <w:vAlign w:val="center"/>
                </w:tcPr>
                <w:p w14:paraId="4B35AF91">
                  <w:pPr>
                    <w:jc w:val="center"/>
                    <w:rPr>
                      <w:rFonts w:hint="eastAsia" w:eastAsia="宋体"/>
                      <w:szCs w:val="21"/>
                      <w:highlight w:val="none"/>
                      <w:lang w:val="en-US" w:eastAsia="zh-CN"/>
                    </w:rPr>
                  </w:pPr>
                  <w:r>
                    <w:rPr>
                      <w:rFonts w:hint="eastAsia"/>
                      <w:szCs w:val="21"/>
                      <w:highlight w:val="none"/>
                      <w:lang w:val="en-US" w:eastAsia="zh-CN"/>
                    </w:rPr>
                    <w:t>西南</w:t>
                  </w:r>
                </w:p>
              </w:tc>
              <w:tc>
                <w:tcPr>
                  <w:tcW w:w="539" w:type="dxa"/>
                  <w:vAlign w:val="center"/>
                </w:tcPr>
                <w:p w14:paraId="659D3CDE">
                  <w:pPr>
                    <w:jc w:val="center"/>
                    <w:rPr>
                      <w:szCs w:val="21"/>
                      <w:highlight w:val="none"/>
                    </w:rPr>
                  </w:pPr>
                  <w:r>
                    <w:rPr>
                      <w:rFonts w:hint="eastAsia"/>
                      <w:szCs w:val="21"/>
                      <w:highlight w:val="none"/>
                      <w:lang w:val="en-US" w:eastAsia="zh-CN"/>
                    </w:rPr>
                    <w:t>西南</w:t>
                  </w:r>
                </w:p>
              </w:tc>
              <w:tc>
                <w:tcPr>
                  <w:tcW w:w="843" w:type="dxa"/>
                  <w:vAlign w:val="center"/>
                </w:tcPr>
                <w:p w14:paraId="5C34FFC4">
                  <w:pPr>
                    <w:jc w:val="center"/>
                    <w:rPr>
                      <w:rFonts w:hint="default" w:eastAsia="宋体"/>
                      <w:szCs w:val="21"/>
                      <w:highlight w:val="none"/>
                      <w:lang w:val="en-US" w:eastAsia="zh-CN"/>
                    </w:rPr>
                  </w:pPr>
                  <w:r>
                    <w:rPr>
                      <w:rFonts w:hint="eastAsia"/>
                      <w:bCs/>
                      <w:szCs w:val="21"/>
                      <w:highlight w:val="none"/>
                      <w:lang w:val="en-US" w:eastAsia="zh-CN"/>
                    </w:rPr>
                    <w:t>178</w:t>
                  </w:r>
                </w:p>
              </w:tc>
            </w:tr>
          </w:tbl>
          <w:p w14:paraId="6EF178DC">
            <w:pPr>
              <w:spacing w:before="120" w:beforeLines="50" w:line="360" w:lineRule="auto"/>
              <w:ind w:firstLine="482"/>
              <w:rPr>
                <w:b/>
                <w:sz w:val="24"/>
                <w:highlight w:val="none"/>
              </w:rPr>
            </w:pPr>
            <w:r>
              <w:rPr>
                <w:b/>
                <w:sz w:val="24"/>
                <w:highlight w:val="none"/>
              </w:rPr>
              <w:t>2．</w:t>
            </w:r>
            <w:r>
              <w:rPr>
                <w:rFonts w:hint="eastAsia"/>
                <w:b/>
                <w:sz w:val="24"/>
                <w:highlight w:val="none"/>
              </w:rPr>
              <w:t>声环境保护目标</w:t>
            </w:r>
          </w:p>
          <w:p w14:paraId="40B69046">
            <w:pPr>
              <w:spacing w:line="360" w:lineRule="auto"/>
              <w:ind w:firstLine="480"/>
              <w:rPr>
                <w:sz w:val="24"/>
                <w:highlight w:val="none"/>
              </w:rPr>
            </w:pPr>
            <w:r>
              <w:rPr>
                <w:rFonts w:hint="eastAsia"/>
                <w:sz w:val="24"/>
                <w:highlight w:val="none"/>
              </w:rPr>
              <w:t>项目厂界外5</w:t>
            </w:r>
            <w:r>
              <w:rPr>
                <w:sz w:val="24"/>
                <w:highlight w:val="none"/>
              </w:rPr>
              <w:t>0m</w:t>
            </w:r>
            <w:r>
              <w:rPr>
                <w:rFonts w:hint="eastAsia"/>
                <w:sz w:val="24"/>
                <w:highlight w:val="none"/>
              </w:rPr>
              <w:t>范围内无声环境保护目标。</w:t>
            </w:r>
          </w:p>
          <w:p w14:paraId="13A14802">
            <w:pPr>
              <w:spacing w:line="360" w:lineRule="auto"/>
              <w:ind w:firstLine="482"/>
              <w:rPr>
                <w:b/>
                <w:sz w:val="24"/>
                <w:highlight w:val="none"/>
              </w:rPr>
            </w:pPr>
            <w:r>
              <w:rPr>
                <w:b/>
                <w:sz w:val="24"/>
                <w:highlight w:val="none"/>
              </w:rPr>
              <w:t>3．</w:t>
            </w:r>
            <w:r>
              <w:rPr>
                <w:rFonts w:hint="eastAsia"/>
                <w:b/>
                <w:sz w:val="24"/>
                <w:highlight w:val="none"/>
              </w:rPr>
              <w:t>地下水环境保护目标</w:t>
            </w:r>
          </w:p>
          <w:p w14:paraId="2D54376A">
            <w:pPr>
              <w:spacing w:line="360" w:lineRule="auto"/>
              <w:ind w:firstLine="480"/>
              <w:rPr>
                <w:sz w:val="24"/>
                <w:highlight w:val="none"/>
              </w:rPr>
            </w:pPr>
            <w:r>
              <w:rPr>
                <w:rFonts w:hint="eastAsia"/>
                <w:sz w:val="24"/>
                <w:highlight w:val="none"/>
              </w:rPr>
              <w:t>项目厂界外5</w:t>
            </w:r>
            <w:r>
              <w:rPr>
                <w:sz w:val="24"/>
                <w:highlight w:val="none"/>
              </w:rPr>
              <w:t>00m</w:t>
            </w:r>
            <w:r>
              <w:rPr>
                <w:rFonts w:hint="eastAsia"/>
                <w:sz w:val="24"/>
                <w:highlight w:val="none"/>
              </w:rPr>
              <w:t>范围内没有地下水集中式饮用水水源和热水、矿泉水、温泉等特殊地下水资源。</w:t>
            </w:r>
          </w:p>
          <w:p w14:paraId="12DEAA50">
            <w:pPr>
              <w:spacing w:line="360" w:lineRule="auto"/>
              <w:ind w:firstLine="482"/>
              <w:rPr>
                <w:b/>
                <w:sz w:val="24"/>
                <w:highlight w:val="none"/>
              </w:rPr>
            </w:pPr>
            <w:r>
              <w:rPr>
                <w:b/>
                <w:sz w:val="24"/>
                <w:highlight w:val="none"/>
              </w:rPr>
              <w:t>4．</w:t>
            </w:r>
            <w:r>
              <w:rPr>
                <w:rFonts w:hint="eastAsia"/>
                <w:b/>
                <w:sz w:val="24"/>
                <w:highlight w:val="none"/>
              </w:rPr>
              <w:t>生态环境保护目标</w:t>
            </w:r>
          </w:p>
          <w:p w14:paraId="366A103C">
            <w:pPr>
              <w:widowControl/>
              <w:adjustRightInd w:val="0"/>
              <w:snapToGrid w:val="0"/>
              <w:spacing w:line="360" w:lineRule="auto"/>
              <w:ind w:firstLine="480" w:firstLineChars="200"/>
              <w:rPr>
                <w:sz w:val="24"/>
                <w:highlight w:val="none"/>
              </w:rPr>
            </w:pPr>
            <w:r>
              <w:rPr>
                <w:rFonts w:hint="eastAsia"/>
                <w:sz w:val="24"/>
                <w:highlight w:val="none"/>
              </w:rPr>
              <w:t>项目</w:t>
            </w:r>
            <w:r>
              <w:rPr>
                <w:rFonts w:hint="eastAsia"/>
                <w:kern w:val="0"/>
                <w:sz w:val="24"/>
                <w:highlight w:val="none"/>
              </w:rPr>
              <w:t>在现有厂区内建设，不新增用地，</w:t>
            </w:r>
            <w:r>
              <w:rPr>
                <w:rFonts w:hint="eastAsia"/>
                <w:sz w:val="24"/>
                <w:highlight w:val="none"/>
              </w:rPr>
              <w:t>用地范围内不含</w:t>
            </w:r>
            <w:r>
              <w:rPr>
                <w:rFonts w:hint="eastAsia"/>
                <w:kern w:val="0"/>
                <w:sz w:val="24"/>
                <w:highlight w:val="none"/>
              </w:rPr>
              <w:t>生态环境保护目标</w:t>
            </w:r>
            <w:r>
              <w:rPr>
                <w:rFonts w:hint="eastAsia"/>
                <w:sz w:val="24"/>
                <w:highlight w:val="none"/>
              </w:rPr>
              <w:t>。</w:t>
            </w:r>
          </w:p>
          <w:p w14:paraId="2331164D">
            <w:pPr>
              <w:pStyle w:val="2"/>
              <w:ind w:left="0" w:leftChars="0" w:firstLine="0" w:firstLineChars="0"/>
              <w:jc w:val="both"/>
              <w:rPr>
                <w:highlight w:val="none"/>
              </w:rPr>
            </w:pPr>
          </w:p>
          <w:p w14:paraId="48AEC448">
            <w:pPr>
              <w:pStyle w:val="2"/>
              <w:ind w:left="420"/>
              <w:rPr>
                <w:highlight w:val="none"/>
              </w:rPr>
            </w:pPr>
          </w:p>
          <w:p w14:paraId="7BEFA0AF">
            <w:pPr>
              <w:pStyle w:val="2"/>
              <w:ind w:left="0" w:leftChars="0" w:firstLine="0" w:firstLineChars="0"/>
              <w:jc w:val="both"/>
              <w:rPr>
                <w:highlight w:val="none"/>
              </w:rPr>
            </w:pPr>
          </w:p>
          <w:p w14:paraId="5BCEC06E">
            <w:pPr>
              <w:pStyle w:val="2"/>
              <w:ind w:left="0" w:leftChars="0" w:firstLine="0" w:firstLineChars="0"/>
              <w:jc w:val="both"/>
              <w:rPr>
                <w:highlight w:val="none"/>
              </w:rPr>
            </w:pPr>
          </w:p>
          <w:p w14:paraId="2161EC7D">
            <w:pPr>
              <w:pStyle w:val="2"/>
              <w:ind w:left="0" w:leftChars="0" w:firstLine="0" w:firstLineChars="0"/>
              <w:jc w:val="both"/>
              <w:rPr>
                <w:highlight w:val="none"/>
              </w:rPr>
            </w:pPr>
          </w:p>
          <w:p w14:paraId="2DE758E6">
            <w:pPr>
              <w:pStyle w:val="2"/>
              <w:ind w:left="0" w:leftChars="0" w:firstLine="0" w:firstLineChars="0"/>
              <w:jc w:val="both"/>
              <w:rPr>
                <w:highlight w:val="none"/>
              </w:rPr>
            </w:pPr>
          </w:p>
          <w:p w14:paraId="2065E3FB">
            <w:pPr>
              <w:pStyle w:val="2"/>
              <w:ind w:left="0" w:leftChars="0" w:firstLine="0" w:firstLineChars="0"/>
              <w:jc w:val="both"/>
              <w:rPr>
                <w:highlight w:val="none"/>
              </w:rPr>
            </w:pPr>
          </w:p>
          <w:p w14:paraId="0790AA78">
            <w:pPr>
              <w:pStyle w:val="2"/>
              <w:ind w:left="0" w:leftChars="0" w:firstLine="0" w:firstLineChars="0"/>
              <w:jc w:val="both"/>
              <w:rPr>
                <w:highlight w:val="none"/>
              </w:rPr>
            </w:pPr>
          </w:p>
          <w:p w14:paraId="1F7E40DC">
            <w:pPr>
              <w:pStyle w:val="2"/>
              <w:ind w:left="0" w:leftChars="0" w:firstLine="0" w:firstLineChars="0"/>
              <w:jc w:val="both"/>
              <w:rPr>
                <w:highlight w:val="none"/>
              </w:rPr>
            </w:pPr>
          </w:p>
        </w:tc>
      </w:tr>
      <w:tr w14:paraId="2434A9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48" w:hRule="atLeast"/>
          <w:jc w:val="center"/>
        </w:trPr>
        <w:tc>
          <w:tcPr>
            <w:tcW w:w="800" w:type="dxa"/>
            <w:tcMar>
              <w:left w:w="28" w:type="dxa"/>
              <w:right w:w="28" w:type="dxa"/>
            </w:tcMar>
            <w:vAlign w:val="center"/>
          </w:tcPr>
          <w:p w14:paraId="72D9E9B0">
            <w:pPr>
              <w:adjustRightInd w:val="0"/>
              <w:snapToGrid w:val="0"/>
              <w:jc w:val="center"/>
              <w:rPr>
                <w:rFonts w:ascii="宋体" w:hAnsi="宋体" w:cs="宋体"/>
                <w:kern w:val="0"/>
                <w:sz w:val="24"/>
                <w:highlight w:val="none"/>
              </w:rPr>
            </w:pPr>
            <w:r>
              <w:rPr>
                <w:rFonts w:hint="eastAsia" w:ascii="宋体" w:hAnsi="宋体" w:cs="宋体"/>
                <w:kern w:val="0"/>
                <w:sz w:val="24"/>
                <w:highlight w:val="none"/>
              </w:rPr>
              <w:t>污染</w:t>
            </w:r>
          </w:p>
          <w:p w14:paraId="2CE6F867">
            <w:pPr>
              <w:adjustRightInd w:val="0"/>
              <w:snapToGrid w:val="0"/>
              <w:jc w:val="center"/>
              <w:rPr>
                <w:rFonts w:ascii="宋体" w:hAnsi="宋体" w:cs="宋体"/>
                <w:kern w:val="0"/>
                <w:sz w:val="24"/>
                <w:highlight w:val="none"/>
              </w:rPr>
            </w:pPr>
            <w:r>
              <w:rPr>
                <w:rFonts w:hint="eastAsia" w:ascii="宋体" w:hAnsi="宋体" w:cs="宋体"/>
                <w:kern w:val="0"/>
                <w:sz w:val="24"/>
                <w:highlight w:val="none"/>
              </w:rPr>
              <w:t>物排</w:t>
            </w:r>
          </w:p>
          <w:p w14:paraId="33D45DD0">
            <w:pPr>
              <w:adjustRightInd w:val="0"/>
              <w:snapToGrid w:val="0"/>
              <w:jc w:val="center"/>
              <w:rPr>
                <w:rFonts w:ascii="宋体" w:hAnsi="宋体" w:cs="宋体"/>
                <w:kern w:val="0"/>
                <w:sz w:val="24"/>
                <w:highlight w:val="none"/>
              </w:rPr>
            </w:pPr>
            <w:r>
              <w:rPr>
                <w:rFonts w:hint="eastAsia" w:ascii="宋体" w:hAnsi="宋体" w:cs="宋体"/>
                <w:kern w:val="0"/>
                <w:sz w:val="24"/>
                <w:highlight w:val="none"/>
              </w:rPr>
              <w:t>放控</w:t>
            </w:r>
          </w:p>
          <w:p w14:paraId="751FB898">
            <w:pPr>
              <w:adjustRightInd w:val="0"/>
              <w:snapToGrid w:val="0"/>
              <w:jc w:val="center"/>
              <w:rPr>
                <w:rFonts w:ascii="宋体" w:hAnsi="宋体" w:cs="宋体"/>
                <w:kern w:val="0"/>
                <w:sz w:val="24"/>
                <w:highlight w:val="none"/>
              </w:rPr>
            </w:pPr>
            <w:r>
              <w:rPr>
                <w:rFonts w:hint="eastAsia" w:ascii="宋体" w:hAnsi="宋体" w:cs="宋体"/>
                <w:kern w:val="0"/>
                <w:sz w:val="24"/>
                <w:highlight w:val="none"/>
              </w:rPr>
              <w:t>制标</w:t>
            </w:r>
          </w:p>
          <w:p w14:paraId="5CF99CB9">
            <w:pPr>
              <w:adjustRightInd w:val="0"/>
              <w:snapToGrid w:val="0"/>
              <w:jc w:val="center"/>
              <w:rPr>
                <w:rFonts w:ascii="宋体" w:hAnsi="宋体" w:cs="宋体"/>
                <w:kern w:val="0"/>
                <w:sz w:val="24"/>
                <w:highlight w:val="none"/>
              </w:rPr>
            </w:pPr>
            <w:r>
              <w:rPr>
                <w:rFonts w:hint="eastAsia" w:ascii="宋体" w:hAnsi="宋体" w:cs="宋体"/>
                <w:kern w:val="0"/>
                <w:sz w:val="24"/>
                <w:highlight w:val="none"/>
              </w:rPr>
              <w:t>准</w:t>
            </w:r>
          </w:p>
        </w:tc>
        <w:tc>
          <w:tcPr>
            <w:tcW w:w="8190" w:type="dxa"/>
            <w:vAlign w:val="center"/>
          </w:tcPr>
          <w:p w14:paraId="6EFE48A2">
            <w:pPr>
              <w:spacing w:before="120" w:beforeLines="50" w:line="360" w:lineRule="auto"/>
              <w:ind w:firstLine="482"/>
              <w:rPr>
                <w:b/>
                <w:sz w:val="24"/>
                <w:highlight w:val="none"/>
              </w:rPr>
            </w:pPr>
            <w:r>
              <w:rPr>
                <w:rFonts w:hint="eastAsia"/>
                <w:b/>
                <w:sz w:val="24"/>
                <w:highlight w:val="none"/>
              </w:rPr>
              <w:t>1</w:t>
            </w:r>
            <w:r>
              <w:rPr>
                <w:b/>
                <w:sz w:val="24"/>
                <w:highlight w:val="none"/>
              </w:rPr>
              <w:t>．</w:t>
            </w:r>
            <w:r>
              <w:rPr>
                <w:rFonts w:hint="eastAsia"/>
                <w:b/>
                <w:sz w:val="24"/>
                <w:highlight w:val="none"/>
              </w:rPr>
              <w:t>大气污染物排放标准</w:t>
            </w:r>
          </w:p>
          <w:p w14:paraId="27910B43">
            <w:pPr>
              <w:spacing w:line="360" w:lineRule="auto"/>
              <w:ind w:firstLine="480"/>
              <w:rPr>
                <w:sz w:val="24"/>
                <w:highlight w:val="none"/>
              </w:rPr>
            </w:pPr>
            <w:r>
              <w:rPr>
                <w:rFonts w:hint="eastAsia"/>
                <w:sz w:val="24"/>
                <w:highlight w:val="none"/>
              </w:rPr>
              <w:t>（1）施工期</w:t>
            </w:r>
          </w:p>
          <w:p w14:paraId="2C35707B">
            <w:pPr>
              <w:spacing w:line="360" w:lineRule="auto"/>
              <w:ind w:firstLine="480"/>
              <w:rPr>
                <w:sz w:val="24"/>
                <w:highlight w:val="none"/>
              </w:rPr>
            </w:pPr>
            <w:r>
              <w:rPr>
                <w:rFonts w:hint="eastAsia"/>
                <w:sz w:val="24"/>
                <w:highlight w:val="none"/>
              </w:rPr>
              <w:t>施工期大气污染物执行</w:t>
            </w:r>
            <w:r>
              <w:rPr>
                <w:sz w:val="24"/>
                <w:highlight w:val="none"/>
              </w:rPr>
              <w:t>《</w:t>
            </w:r>
            <w:r>
              <w:rPr>
                <w:rFonts w:hint="eastAsia"/>
                <w:sz w:val="24"/>
                <w:highlight w:val="none"/>
              </w:rPr>
              <w:t>施工场地扬尘排放标准</w:t>
            </w:r>
            <w:r>
              <w:rPr>
                <w:sz w:val="24"/>
                <w:highlight w:val="none"/>
              </w:rPr>
              <w:t>》（DB13/2934-2019）中表1</w:t>
            </w:r>
            <w:r>
              <w:rPr>
                <w:rFonts w:hint="eastAsia"/>
                <w:sz w:val="24"/>
                <w:highlight w:val="none"/>
              </w:rPr>
              <w:t>施工场地扬尘排放浓度限值</w:t>
            </w:r>
            <w:r>
              <w:rPr>
                <w:sz w:val="24"/>
                <w:highlight w:val="none"/>
              </w:rPr>
              <w:t>的要求</w:t>
            </w:r>
            <w:r>
              <w:rPr>
                <w:rFonts w:hint="eastAsia"/>
                <w:sz w:val="24"/>
                <w:highlight w:val="none"/>
              </w:rPr>
              <w:t>；</w:t>
            </w:r>
          </w:p>
          <w:p w14:paraId="213A43BC">
            <w:pPr>
              <w:spacing w:line="360" w:lineRule="auto"/>
              <w:ind w:firstLine="480"/>
              <w:rPr>
                <w:sz w:val="24"/>
                <w:highlight w:val="none"/>
              </w:rPr>
            </w:pPr>
            <w:r>
              <w:rPr>
                <w:rFonts w:hint="eastAsia"/>
                <w:sz w:val="24"/>
                <w:highlight w:val="none"/>
              </w:rPr>
              <w:t>相关标准限值列表如下：</w:t>
            </w:r>
          </w:p>
          <w:p w14:paraId="5345593D">
            <w:pPr>
              <w:pStyle w:val="49"/>
              <w:numPr>
                <w:ilvl w:val="0"/>
                <w:numId w:val="10"/>
              </w:numPr>
              <w:spacing w:line="360" w:lineRule="auto"/>
              <w:ind w:left="0" w:firstLine="0"/>
              <w:rPr>
                <w:rFonts w:eastAsia="宋体"/>
                <w:b/>
                <w:highlight w:val="none"/>
              </w:rPr>
            </w:pPr>
            <w:r>
              <w:rPr>
                <w:rFonts w:hint="eastAsia" w:eastAsia="宋体"/>
                <w:b/>
                <w:highlight w:val="none"/>
              </w:rPr>
              <w:t>施工期</w:t>
            </w:r>
            <w:r>
              <w:rPr>
                <w:rFonts w:eastAsia="宋体"/>
                <w:b/>
                <w:highlight w:val="none"/>
              </w:rPr>
              <w:t>大气污染物排放标准</w:t>
            </w:r>
            <w:r>
              <w:rPr>
                <w:rFonts w:hint="eastAsia" w:eastAsia="宋体"/>
                <w:b/>
                <w:highlight w:val="none"/>
              </w:rPr>
              <w:t>及限值一览表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
              <w:gridCol w:w="921"/>
              <w:gridCol w:w="844"/>
              <w:gridCol w:w="478"/>
              <w:gridCol w:w="2783"/>
              <w:gridCol w:w="2679"/>
            </w:tblGrid>
            <w:tr w14:paraId="39F3C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3" w:type="dxa"/>
                  <w:tcBorders>
                    <w:top w:val="single" w:color="auto" w:sz="4" w:space="0"/>
                    <w:left w:val="single" w:color="auto" w:sz="4" w:space="0"/>
                    <w:bottom w:val="single" w:color="auto" w:sz="4" w:space="0"/>
                    <w:right w:val="single" w:color="auto" w:sz="4" w:space="0"/>
                  </w:tcBorders>
                  <w:vAlign w:val="center"/>
                </w:tcPr>
                <w:p w14:paraId="01A3AA36">
                  <w:pPr>
                    <w:topLinePunct/>
                    <w:adjustRightInd w:val="0"/>
                    <w:snapToGrid w:val="0"/>
                    <w:jc w:val="center"/>
                    <w:textAlignment w:val="center"/>
                    <w:rPr>
                      <w:b/>
                      <w:szCs w:val="21"/>
                      <w:highlight w:val="none"/>
                    </w:rPr>
                  </w:pPr>
                  <w:r>
                    <w:rPr>
                      <w:rFonts w:hint="eastAsia"/>
                      <w:b/>
                      <w:szCs w:val="21"/>
                      <w:highlight w:val="none"/>
                    </w:rPr>
                    <w:t>类别</w:t>
                  </w:r>
                </w:p>
              </w:tc>
              <w:tc>
                <w:tcPr>
                  <w:tcW w:w="901" w:type="dxa"/>
                  <w:tcBorders>
                    <w:top w:val="single" w:color="auto" w:sz="4" w:space="0"/>
                    <w:left w:val="single" w:color="auto" w:sz="4" w:space="0"/>
                    <w:bottom w:val="single" w:color="auto" w:sz="4" w:space="0"/>
                    <w:right w:val="single" w:color="auto" w:sz="4" w:space="0"/>
                  </w:tcBorders>
                  <w:vAlign w:val="center"/>
                </w:tcPr>
                <w:p w14:paraId="7EC57B2E">
                  <w:pPr>
                    <w:topLinePunct/>
                    <w:adjustRightInd w:val="0"/>
                    <w:snapToGrid w:val="0"/>
                    <w:jc w:val="center"/>
                    <w:textAlignment w:val="center"/>
                    <w:rPr>
                      <w:b/>
                      <w:szCs w:val="21"/>
                      <w:highlight w:val="none"/>
                    </w:rPr>
                  </w:pPr>
                  <w:r>
                    <w:rPr>
                      <w:rFonts w:hint="eastAsia"/>
                      <w:b/>
                      <w:szCs w:val="21"/>
                      <w:highlight w:val="none"/>
                    </w:rPr>
                    <w:t>排放</w:t>
                  </w:r>
                </w:p>
                <w:p w14:paraId="7913A24C">
                  <w:pPr>
                    <w:topLinePunct/>
                    <w:adjustRightInd w:val="0"/>
                    <w:snapToGrid w:val="0"/>
                    <w:jc w:val="center"/>
                    <w:textAlignment w:val="center"/>
                    <w:rPr>
                      <w:b/>
                      <w:szCs w:val="21"/>
                      <w:highlight w:val="none"/>
                    </w:rPr>
                  </w:pPr>
                  <w:r>
                    <w:rPr>
                      <w:rFonts w:hint="eastAsia"/>
                      <w:b/>
                      <w:szCs w:val="21"/>
                      <w:highlight w:val="none"/>
                    </w:rPr>
                    <w:t>类型</w:t>
                  </w:r>
                </w:p>
              </w:tc>
              <w:tc>
                <w:tcPr>
                  <w:tcW w:w="826" w:type="dxa"/>
                  <w:tcBorders>
                    <w:top w:val="single" w:color="auto" w:sz="4" w:space="0"/>
                    <w:left w:val="single" w:color="auto" w:sz="4" w:space="0"/>
                    <w:bottom w:val="single" w:color="auto" w:sz="4" w:space="0"/>
                    <w:right w:val="single" w:color="auto" w:sz="4" w:space="0"/>
                  </w:tcBorders>
                  <w:vAlign w:val="center"/>
                </w:tcPr>
                <w:p w14:paraId="01463C78">
                  <w:pPr>
                    <w:topLinePunct/>
                    <w:adjustRightInd w:val="0"/>
                    <w:snapToGrid w:val="0"/>
                    <w:jc w:val="center"/>
                    <w:textAlignment w:val="center"/>
                    <w:rPr>
                      <w:b/>
                      <w:szCs w:val="21"/>
                      <w:highlight w:val="none"/>
                    </w:rPr>
                  </w:pPr>
                  <w:r>
                    <w:rPr>
                      <w:rFonts w:hint="eastAsia"/>
                      <w:b/>
                      <w:szCs w:val="21"/>
                      <w:highlight w:val="none"/>
                    </w:rPr>
                    <w:t>污染</w:t>
                  </w:r>
                </w:p>
                <w:p w14:paraId="7E8A68A2">
                  <w:pPr>
                    <w:topLinePunct/>
                    <w:adjustRightInd w:val="0"/>
                    <w:snapToGrid w:val="0"/>
                    <w:jc w:val="center"/>
                    <w:textAlignment w:val="center"/>
                    <w:rPr>
                      <w:b/>
                      <w:szCs w:val="21"/>
                      <w:highlight w:val="none"/>
                    </w:rPr>
                  </w:pPr>
                  <w:r>
                    <w:rPr>
                      <w:rFonts w:hint="eastAsia"/>
                      <w:b/>
                      <w:szCs w:val="21"/>
                      <w:highlight w:val="none"/>
                    </w:rPr>
                    <w:t>因子</w:t>
                  </w:r>
                </w:p>
              </w:tc>
              <w:tc>
                <w:tcPr>
                  <w:tcW w:w="468" w:type="dxa"/>
                  <w:tcBorders>
                    <w:top w:val="single" w:color="auto" w:sz="4" w:space="0"/>
                    <w:left w:val="single" w:color="auto" w:sz="4" w:space="0"/>
                    <w:bottom w:val="single" w:color="auto" w:sz="4" w:space="0"/>
                    <w:right w:val="single" w:color="auto" w:sz="4" w:space="0"/>
                  </w:tcBorders>
                  <w:vAlign w:val="center"/>
                </w:tcPr>
                <w:p w14:paraId="1EDD1307">
                  <w:pPr>
                    <w:topLinePunct/>
                    <w:adjustRightInd w:val="0"/>
                    <w:snapToGrid w:val="0"/>
                    <w:jc w:val="center"/>
                    <w:textAlignment w:val="center"/>
                    <w:rPr>
                      <w:b/>
                      <w:szCs w:val="21"/>
                      <w:highlight w:val="none"/>
                    </w:rPr>
                  </w:pPr>
                  <w:r>
                    <w:rPr>
                      <w:rFonts w:hint="eastAsia"/>
                      <w:b/>
                      <w:szCs w:val="21"/>
                      <w:highlight w:val="none"/>
                    </w:rPr>
                    <w:t>时期</w:t>
                  </w:r>
                </w:p>
              </w:tc>
              <w:tc>
                <w:tcPr>
                  <w:tcW w:w="2724" w:type="dxa"/>
                  <w:tcBorders>
                    <w:top w:val="single" w:color="auto" w:sz="4" w:space="0"/>
                    <w:left w:val="single" w:color="auto" w:sz="4" w:space="0"/>
                    <w:bottom w:val="single" w:color="auto" w:sz="4" w:space="0"/>
                    <w:right w:val="single" w:color="auto" w:sz="4" w:space="0"/>
                  </w:tcBorders>
                  <w:vAlign w:val="center"/>
                </w:tcPr>
                <w:p w14:paraId="222FC272">
                  <w:pPr>
                    <w:topLinePunct/>
                    <w:adjustRightInd w:val="0"/>
                    <w:snapToGrid w:val="0"/>
                    <w:jc w:val="center"/>
                    <w:textAlignment w:val="center"/>
                    <w:rPr>
                      <w:b/>
                      <w:szCs w:val="21"/>
                      <w:highlight w:val="none"/>
                    </w:rPr>
                  </w:pPr>
                  <w:r>
                    <w:rPr>
                      <w:rFonts w:hint="eastAsia"/>
                      <w:b/>
                      <w:szCs w:val="21"/>
                      <w:highlight w:val="none"/>
                    </w:rPr>
                    <w:t>标准</w:t>
                  </w:r>
                </w:p>
              </w:tc>
              <w:tc>
                <w:tcPr>
                  <w:tcW w:w="2622" w:type="dxa"/>
                  <w:tcBorders>
                    <w:top w:val="single" w:color="auto" w:sz="4" w:space="0"/>
                    <w:left w:val="single" w:color="auto" w:sz="4" w:space="0"/>
                    <w:bottom w:val="single" w:color="auto" w:sz="4" w:space="0"/>
                    <w:right w:val="single" w:color="auto" w:sz="4" w:space="0"/>
                  </w:tcBorders>
                  <w:vAlign w:val="center"/>
                </w:tcPr>
                <w:p w14:paraId="1D434D28">
                  <w:pPr>
                    <w:topLinePunct/>
                    <w:adjustRightInd w:val="0"/>
                    <w:snapToGrid w:val="0"/>
                    <w:jc w:val="center"/>
                    <w:textAlignment w:val="center"/>
                    <w:rPr>
                      <w:b/>
                      <w:szCs w:val="21"/>
                      <w:highlight w:val="none"/>
                    </w:rPr>
                  </w:pPr>
                  <w:r>
                    <w:rPr>
                      <w:rFonts w:hint="eastAsia"/>
                      <w:b/>
                      <w:szCs w:val="21"/>
                      <w:highlight w:val="none"/>
                    </w:rPr>
                    <w:t>标准来源</w:t>
                  </w:r>
                </w:p>
              </w:tc>
            </w:tr>
            <w:tr w14:paraId="7CC8E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3" w:type="dxa"/>
                  <w:tcBorders>
                    <w:top w:val="single" w:color="auto" w:sz="4" w:space="0"/>
                    <w:left w:val="single" w:color="auto" w:sz="4" w:space="0"/>
                    <w:bottom w:val="single" w:color="auto" w:sz="4" w:space="0"/>
                    <w:right w:val="single" w:color="auto" w:sz="4" w:space="0"/>
                  </w:tcBorders>
                  <w:vAlign w:val="center"/>
                </w:tcPr>
                <w:p w14:paraId="57D110E9">
                  <w:pPr>
                    <w:topLinePunct/>
                    <w:adjustRightInd w:val="0"/>
                    <w:snapToGrid w:val="0"/>
                    <w:jc w:val="center"/>
                    <w:textAlignment w:val="center"/>
                    <w:rPr>
                      <w:szCs w:val="21"/>
                      <w:highlight w:val="none"/>
                    </w:rPr>
                  </w:pPr>
                  <w:r>
                    <w:rPr>
                      <w:rFonts w:hint="eastAsia"/>
                      <w:szCs w:val="21"/>
                      <w:highlight w:val="none"/>
                    </w:rPr>
                    <w:t>废气</w:t>
                  </w:r>
                </w:p>
              </w:tc>
              <w:tc>
                <w:tcPr>
                  <w:tcW w:w="901" w:type="dxa"/>
                  <w:tcBorders>
                    <w:top w:val="single" w:color="auto" w:sz="4" w:space="0"/>
                    <w:left w:val="single" w:color="auto" w:sz="4" w:space="0"/>
                    <w:bottom w:val="single" w:color="auto" w:sz="4" w:space="0"/>
                    <w:right w:val="single" w:color="auto" w:sz="4" w:space="0"/>
                  </w:tcBorders>
                  <w:vAlign w:val="center"/>
                </w:tcPr>
                <w:p w14:paraId="0A8295D6">
                  <w:pPr>
                    <w:topLinePunct/>
                    <w:adjustRightInd w:val="0"/>
                    <w:snapToGrid w:val="0"/>
                    <w:jc w:val="center"/>
                    <w:textAlignment w:val="center"/>
                    <w:rPr>
                      <w:szCs w:val="21"/>
                      <w:highlight w:val="none"/>
                    </w:rPr>
                  </w:pPr>
                  <w:r>
                    <w:rPr>
                      <w:rFonts w:hint="eastAsia"/>
                      <w:szCs w:val="21"/>
                      <w:highlight w:val="none"/>
                    </w:rPr>
                    <w:t>无组织排放</w:t>
                  </w:r>
                </w:p>
              </w:tc>
              <w:tc>
                <w:tcPr>
                  <w:tcW w:w="826" w:type="dxa"/>
                  <w:tcBorders>
                    <w:top w:val="single" w:color="auto" w:sz="4" w:space="0"/>
                    <w:left w:val="single" w:color="auto" w:sz="4" w:space="0"/>
                    <w:bottom w:val="single" w:color="auto" w:sz="4" w:space="0"/>
                    <w:right w:val="single" w:color="auto" w:sz="4" w:space="0"/>
                  </w:tcBorders>
                  <w:vAlign w:val="center"/>
                </w:tcPr>
                <w:p w14:paraId="4EBAE864">
                  <w:pPr>
                    <w:topLinePunct/>
                    <w:adjustRightInd w:val="0"/>
                    <w:snapToGrid w:val="0"/>
                    <w:jc w:val="center"/>
                    <w:textAlignment w:val="center"/>
                    <w:rPr>
                      <w:szCs w:val="21"/>
                      <w:highlight w:val="none"/>
                    </w:rPr>
                  </w:pPr>
                  <w:r>
                    <w:rPr>
                      <w:rFonts w:hint="eastAsia"/>
                      <w:szCs w:val="21"/>
                      <w:highlight w:val="none"/>
                    </w:rPr>
                    <w:t>颗粒物</w:t>
                  </w:r>
                </w:p>
              </w:tc>
              <w:tc>
                <w:tcPr>
                  <w:tcW w:w="468" w:type="dxa"/>
                  <w:tcBorders>
                    <w:top w:val="single" w:color="auto" w:sz="4" w:space="0"/>
                    <w:left w:val="single" w:color="auto" w:sz="4" w:space="0"/>
                    <w:bottom w:val="single" w:color="auto" w:sz="4" w:space="0"/>
                    <w:right w:val="single" w:color="auto" w:sz="4" w:space="0"/>
                  </w:tcBorders>
                  <w:vAlign w:val="center"/>
                </w:tcPr>
                <w:p w14:paraId="73722043">
                  <w:pPr>
                    <w:topLinePunct/>
                    <w:adjustRightInd w:val="0"/>
                    <w:snapToGrid w:val="0"/>
                    <w:jc w:val="center"/>
                    <w:textAlignment w:val="center"/>
                    <w:rPr>
                      <w:szCs w:val="21"/>
                      <w:highlight w:val="none"/>
                    </w:rPr>
                  </w:pPr>
                  <w:r>
                    <w:rPr>
                      <w:rFonts w:hint="eastAsia"/>
                      <w:szCs w:val="21"/>
                      <w:highlight w:val="none"/>
                    </w:rPr>
                    <w:t>施工期</w:t>
                  </w:r>
                </w:p>
              </w:tc>
              <w:tc>
                <w:tcPr>
                  <w:tcW w:w="2724" w:type="dxa"/>
                  <w:tcBorders>
                    <w:top w:val="single" w:color="auto" w:sz="4" w:space="0"/>
                    <w:left w:val="single" w:color="auto" w:sz="4" w:space="0"/>
                    <w:bottom w:val="single" w:color="auto" w:sz="4" w:space="0"/>
                    <w:right w:val="single" w:color="auto" w:sz="4" w:space="0"/>
                  </w:tcBorders>
                  <w:vAlign w:val="center"/>
                </w:tcPr>
                <w:p w14:paraId="7C4CA5AB">
                  <w:pPr>
                    <w:topLinePunct/>
                    <w:adjustRightInd w:val="0"/>
                    <w:snapToGrid w:val="0"/>
                    <w:jc w:val="center"/>
                    <w:textAlignment w:val="center"/>
                    <w:rPr>
                      <w:szCs w:val="21"/>
                      <w:highlight w:val="none"/>
                    </w:rPr>
                  </w:pPr>
                  <w:r>
                    <w:rPr>
                      <w:rFonts w:hint="eastAsia"/>
                      <w:szCs w:val="21"/>
                      <w:highlight w:val="none"/>
                    </w:rPr>
                    <w:t>监测点浓度限值，指监测点</w:t>
                  </w:r>
                  <w:r>
                    <w:rPr>
                      <w:szCs w:val="21"/>
                      <w:highlight w:val="none"/>
                    </w:rPr>
                    <w:t>PM</w:t>
                  </w:r>
                  <w:r>
                    <w:rPr>
                      <w:szCs w:val="21"/>
                      <w:highlight w:val="none"/>
                      <w:vertAlign w:val="subscript"/>
                    </w:rPr>
                    <w:t>10</w:t>
                  </w:r>
                  <w:r>
                    <w:rPr>
                      <w:rFonts w:hint="eastAsia"/>
                      <w:szCs w:val="21"/>
                      <w:highlight w:val="none"/>
                    </w:rPr>
                    <w:t>小时平均浓度实测值与同时段所属县（市、区）</w:t>
                  </w:r>
                  <w:r>
                    <w:rPr>
                      <w:szCs w:val="21"/>
                      <w:highlight w:val="none"/>
                    </w:rPr>
                    <w:t>PM</w:t>
                  </w:r>
                  <w:r>
                    <w:rPr>
                      <w:szCs w:val="21"/>
                      <w:highlight w:val="none"/>
                      <w:vertAlign w:val="subscript"/>
                    </w:rPr>
                    <w:t>10</w:t>
                  </w:r>
                  <w:r>
                    <w:rPr>
                      <w:rFonts w:hint="eastAsia"/>
                      <w:szCs w:val="21"/>
                      <w:highlight w:val="none"/>
                    </w:rPr>
                    <w:t>小时平均浓度的差值。当县（市、区）</w:t>
                  </w:r>
                  <w:r>
                    <w:rPr>
                      <w:szCs w:val="21"/>
                      <w:highlight w:val="none"/>
                    </w:rPr>
                    <w:t>PM</w:t>
                  </w:r>
                  <w:r>
                    <w:rPr>
                      <w:szCs w:val="21"/>
                      <w:highlight w:val="none"/>
                      <w:vertAlign w:val="subscript"/>
                    </w:rPr>
                    <w:t>10</w:t>
                  </w:r>
                  <w:r>
                    <w:rPr>
                      <w:rFonts w:hint="eastAsia"/>
                      <w:szCs w:val="21"/>
                      <w:highlight w:val="none"/>
                    </w:rPr>
                    <w:t>小时平均浓度值大于</w:t>
                  </w:r>
                  <w:r>
                    <w:rPr>
                      <w:szCs w:val="21"/>
                      <w:highlight w:val="none"/>
                    </w:rPr>
                    <w:t>80μg/m</w:t>
                  </w:r>
                  <w:r>
                    <w:rPr>
                      <w:szCs w:val="21"/>
                      <w:highlight w:val="none"/>
                      <w:vertAlign w:val="superscript"/>
                    </w:rPr>
                    <w:t>3</w:t>
                  </w:r>
                  <w:r>
                    <w:rPr>
                      <w:rFonts w:hint="eastAsia"/>
                      <w:szCs w:val="21"/>
                      <w:highlight w:val="none"/>
                    </w:rPr>
                    <w:t>时，以</w:t>
                  </w:r>
                  <w:r>
                    <w:rPr>
                      <w:szCs w:val="21"/>
                      <w:highlight w:val="none"/>
                    </w:rPr>
                    <w:t>80μg/m</w:t>
                  </w:r>
                  <w:r>
                    <w:rPr>
                      <w:szCs w:val="21"/>
                      <w:highlight w:val="none"/>
                      <w:vertAlign w:val="superscript"/>
                    </w:rPr>
                    <w:t>3</w:t>
                  </w:r>
                  <w:r>
                    <w:rPr>
                      <w:rFonts w:hint="eastAsia"/>
                      <w:szCs w:val="21"/>
                      <w:highlight w:val="none"/>
                    </w:rPr>
                    <w:t>计，达标判定依据</w:t>
                  </w:r>
                  <w:r>
                    <w:rPr>
                      <w:szCs w:val="21"/>
                      <w:highlight w:val="none"/>
                    </w:rPr>
                    <w:t>≤2</w:t>
                  </w:r>
                  <w:r>
                    <w:rPr>
                      <w:rFonts w:hint="eastAsia"/>
                      <w:szCs w:val="21"/>
                      <w:highlight w:val="none"/>
                    </w:rPr>
                    <w:t>次</w:t>
                  </w:r>
                  <w:r>
                    <w:rPr>
                      <w:szCs w:val="21"/>
                      <w:highlight w:val="none"/>
                    </w:rPr>
                    <w:t>/</w:t>
                  </w:r>
                  <w:r>
                    <w:rPr>
                      <w:rFonts w:hint="eastAsia"/>
                      <w:szCs w:val="21"/>
                      <w:highlight w:val="none"/>
                    </w:rPr>
                    <w:t>天</w:t>
                  </w:r>
                </w:p>
              </w:tc>
              <w:tc>
                <w:tcPr>
                  <w:tcW w:w="2622" w:type="dxa"/>
                  <w:tcBorders>
                    <w:top w:val="single" w:color="auto" w:sz="4" w:space="0"/>
                    <w:left w:val="single" w:color="auto" w:sz="4" w:space="0"/>
                    <w:bottom w:val="single" w:color="auto" w:sz="4" w:space="0"/>
                    <w:right w:val="single" w:color="auto" w:sz="4" w:space="0"/>
                  </w:tcBorders>
                  <w:vAlign w:val="center"/>
                </w:tcPr>
                <w:p w14:paraId="237C90BA">
                  <w:pPr>
                    <w:topLinePunct/>
                    <w:adjustRightInd w:val="0"/>
                    <w:snapToGrid w:val="0"/>
                    <w:jc w:val="center"/>
                    <w:textAlignment w:val="center"/>
                    <w:rPr>
                      <w:szCs w:val="21"/>
                      <w:highlight w:val="none"/>
                    </w:rPr>
                  </w:pPr>
                  <w:r>
                    <w:rPr>
                      <w:rFonts w:hint="eastAsia"/>
                      <w:szCs w:val="21"/>
                      <w:highlight w:val="none"/>
                    </w:rPr>
                    <w:t>《施工场地扬尘排放标准》（</w:t>
                  </w:r>
                  <w:r>
                    <w:rPr>
                      <w:szCs w:val="21"/>
                      <w:highlight w:val="none"/>
                    </w:rPr>
                    <w:t>DB13/2934—2019</w:t>
                  </w:r>
                  <w:r>
                    <w:rPr>
                      <w:rFonts w:hint="eastAsia"/>
                      <w:szCs w:val="21"/>
                      <w:highlight w:val="none"/>
                    </w:rPr>
                    <w:t>）表</w:t>
                  </w:r>
                  <w:r>
                    <w:rPr>
                      <w:szCs w:val="21"/>
                      <w:highlight w:val="none"/>
                    </w:rPr>
                    <w:t>1</w:t>
                  </w:r>
                  <w:r>
                    <w:rPr>
                      <w:rFonts w:hint="eastAsia"/>
                      <w:szCs w:val="21"/>
                      <w:highlight w:val="none"/>
                    </w:rPr>
                    <w:t>中扬尘排放浓度限值</w:t>
                  </w:r>
                </w:p>
              </w:tc>
            </w:tr>
          </w:tbl>
          <w:p w14:paraId="25EE214D">
            <w:pPr>
              <w:spacing w:before="120" w:beforeLines="50" w:line="360" w:lineRule="auto"/>
              <w:ind w:firstLine="482"/>
              <w:rPr>
                <w:sz w:val="24"/>
                <w:highlight w:val="none"/>
              </w:rPr>
            </w:pPr>
            <w:r>
              <w:rPr>
                <w:rFonts w:hint="eastAsia"/>
                <w:sz w:val="24"/>
                <w:highlight w:val="none"/>
              </w:rPr>
              <w:t>（2）运营期</w:t>
            </w:r>
          </w:p>
          <w:p w14:paraId="2BDF9C90">
            <w:pPr>
              <w:spacing w:line="360" w:lineRule="auto"/>
              <w:ind w:firstLine="480"/>
              <w:rPr>
                <w:rFonts w:hint="default" w:eastAsia="宋体"/>
                <w:sz w:val="24"/>
                <w:highlight w:val="none"/>
                <w:lang w:val="en-US" w:eastAsia="zh-CN"/>
              </w:rPr>
            </w:pPr>
            <w:r>
              <w:rPr>
                <w:rFonts w:hint="eastAsia"/>
                <w:sz w:val="24"/>
                <w:highlight w:val="none"/>
              </w:rPr>
              <w:t>颗粒物、二氧化硫、氮氧化物、烟气黑度执行《锅炉大气污染物排放标准》（DB13∕5161-2020）</w:t>
            </w:r>
            <w:r>
              <w:rPr>
                <w:rFonts w:hint="eastAsia"/>
                <w:sz w:val="24"/>
                <w:highlight w:val="none"/>
                <w:lang w:val="en-US" w:eastAsia="zh-CN"/>
              </w:rPr>
              <w:t>中表1大气污染物排放限制燃气锅炉</w:t>
            </w:r>
            <w:r>
              <w:rPr>
                <w:rFonts w:hint="eastAsia"/>
                <w:sz w:val="24"/>
                <w:highlight w:val="none"/>
              </w:rPr>
              <w:t>的相关标准；</w:t>
            </w:r>
            <w:r>
              <w:rPr>
                <w:rFonts w:hint="eastAsia"/>
                <w:sz w:val="24"/>
                <w:highlight w:val="none"/>
                <w:lang w:val="en-US" w:eastAsia="zh-CN"/>
              </w:rPr>
              <w:t>排气筒高度执行《锅炉大气污染物排放标准》（GB13271-2014）中相关要求。</w:t>
            </w:r>
          </w:p>
          <w:p w14:paraId="1F20D3D6">
            <w:pPr>
              <w:spacing w:line="360" w:lineRule="auto"/>
              <w:ind w:firstLine="480"/>
              <w:rPr>
                <w:sz w:val="24"/>
                <w:highlight w:val="none"/>
              </w:rPr>
            </w:pPr>
            <w:r>
              <w:rPr>
                <w:rFonts w:hint="eastAsia"/>
                <w:sz w:val="24"/>
                <w:highlight w:val="none"/>
              </w:rPr>
              <w:t>相关标准限值列表如下：</w:t>
            </w:r>
          </w:p>
          <w:p w14:paraId="1DCD7BBF">
            <w:pPr>
              <w:pStyle w:val="2"/>
              <w:ind w:left="420"/>
              <w:rPr>
                <w:sz w:val="13"/>
                <w:highlight w:val="none"/>
              </w:rPr>
            </w:pPr>
          </w:p>
          <w:p w14:paraId="74EB378B">
            <w:pPr>
              <w:pStyle w:val="49"/>
              <w:numPr>
                <w:ilvl w:val="0"/>
                <w:numId w:val="10"/>
              </w:numPr>
              <w:spacing w:line="360" w:lineRule="auto"/>
              <w:ind w:left="0" w:firstLine="0"/>
              <w:rPr>
                <w:rFonts w:eastAsia="宋体"/>
                <w:b/>
                <w:highlight w:val="none"/>
              </w:rPr>
            </w:pPr>
            <w:r>
              <w:rPr>
                <w:rFonts w:eastAsia="宋体"/>
                <w:b/>
                <w:highlight w:val="none"/>
              </w:rPr>
              <w:t>大气污染物排放标准</w:t>
            </w:r>
            <w:r>
              <w:rPr>
                <w:rFonts w:hint="eastAsia" w:eastAsia="宋体"/>
                <w:b/>
                <w:highlight w:val="none"/>
              </w:rPr>
              <w:t>及限值一览表</w:t>
            </w:r>
          </w:p>
          <w:tbl>
            <w:tblPr>
              <w:tblStyle w:val="23"/>
              <w:tblW w:w="80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120"/>
              <w:gridCol w:w="982"/>
              <w:gridCol w:w="849"/>
              <w:gridCol w:w="2285"/>
              <w:gridCol w:w="2338"/>
            </w:tblGrid>
            <w:tr w14:paraId="782F6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2528" w:type="dxa"/>
                  <w:gridSpan w:val="3"/>
                  <w:vMerge w:val="restart"/>
                  <w:vAlign w:val="center"/>
                </w:tcPr>
                <w:p w14:paraId="2B46FE37">
                  <w:pPr>
                    <w:pStyle w:val="56"/>
                    <w:rPr>
                      <w:b/>
                      <w:color w:val="000000" w:themeColor="text1"/>
                      <w:sz w:val="21"/>
                      <w:highlight w:val="none"/>
                      <w14:textFill>
                        <w14:solidFill>
                          <w14:schemeClr w14:val="tx1"/>
                        </w14:solidFill>
                      </w14:textFill>
                    </w:rPr>
                  </w:pPr>
                  <w:r>
                    <w:rPr>
                      <w:b/>
                      <w:color w:val="000000" w:themeColor="text1"/>
                      <w:sz w:val="21"/>
                      <w:highlight w:val="none"/>
                      <w14:textFill>
                        <w14:solidFill>
                          <w14:schemeClr w14:val="tx1"/>
                        </w14:solidFill>
                      </w14:textFill>
                    </w:rPr>
                    <w:t>污染物名称</w:t>
                  </w:r>
                </w:p>
              </w:tc>
              <w:tc>
                <w:tcPr>
                  <w:tcW w:w="3134" w:type="dxa"/>
                  <w:gridSpan w:val="2"/>
                  <w:vAlign w:val="center"/>
                </w:tcPr>
                <w:p w14:paraId="5D933FC6">
                  <w:pPr>
                    <w:pStyle w:val="56"/>
                    <w:rPr>
                      <w:b/>
                      <w:color w:val="000000" w:themeColor="text1"/>
                      <w:sz w:val="21"/>
                      <w:highlight w:val="none"/>
                      <w14:textFill>
                        <w14:solidFill>
                          <w14:schemeClr w14:val="tx1"/>
                        </w14:solidFill>
                      </w14:textFill>
                    </w:rPr>
                  </w:pPr>
                  <w:r>
                    <w:rPr>
                      <w:b/>
                      <w:color w:val="000000" w:themeColor="text1"/>
                      <w:sz w:val="21"/>
                      <w:highlight w:val="none"/>
                      <w14:textFill>
                        <w14:solidFill>
                          <w14:schemeClr w14:val="tx1"/>
                        </w14:solidFill>
                      </w14:textFill>
                    </w:rPr>
                    <w:t>标准值</w:t>
                  </w:r>
                </w:p>
              </w:tc>
              <w:tc>
                <w:tcPr>
                  <w:tcW w:w="2338" w:type="dxa"/>
                  <w:vMerge w:val="restart"/>
                  <w:vAlign w:val="center"/>
                </w:tcPr>
                <w:p w14:paraId="750266D1">
                  <w:pPr>
                    <w:pStyle w:val="56"/>
                    <w:rPr>
                      <w:b/>
                      <w:color w:val="000000" w:themeColor="text1"/>
                      <w:sz w:val="21"/>
                      <w:highlight w:val="none"/>
                      <w14:textFill>
                        <w14:solidFill>
                          <w14:schemeClr w14:val="tx1"/>
                        </w14:solidFill>
                      </w14:textFill>
                    </w:rPr>
                  </w:pPr>
                  <w:r>
                    <w:rPr>
                      <w:b/>
                      <w:color w:val="000000" w:themeColor="text1"/>
                      <w:sz w:val="21"/>
                      <w:highlight w:val="none"/>
                      <w14:textFill>
                        <w14:solidFill>
                          <w14:schemeClr w14:val="tx1"/>
                        </w14:solidFill>
                      </w14:textFill>
                    </w:rPr>
                    <w:t>标准名称</w:t>
                  </w:r>
                </w:p>
              </w:tc>
            </w:tr>
            <w:tr w14:paraId="7BB91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2528" w:type="dxa"/>
                  <w:gridSpan w:val="3"/>
                  <w:vMerge w:val="continue"/>
                  <w:vAlign w:val="center"/>
                </w:tcPr>
                <w:p w14:paraId="4CE67F64">
                  <w:pPr>
                    <w:pStyle w:val="56"/>
                    <w:rPr>
                      <w:b/>
                      <w:color w:val="000000" w:themeColor="text1"/>
                      <w:sz w:val="21"/>
                      <w:highlight w:val="none"/>
                      <w14:textFill>
                        <w14:solidFill>
                          <w14:schemeClr w14:val="tx1"/>
                        </w14:solidFill>
                      </w14:textFill>
                    </w:rPr>
                  </w:pPr>
                </w:p>
              </w:tc>
              <w:tc>
                <w:tcPr>
                  <w:tcW w:w="849" w:type="dxa"/>
                  <w:vAlign w:val="center"/>
                </w:tcPr>
                <w:p w14:paraId="41B20A40">
                  <w:pPr>
                    <w:pStyle w:val="56"/>
                    <w:rPr>
                      <w:b/>
                      <w:color w:val="000000" w:themeColor="text1"/>
                      <w:sz w:val="21"/>
                      <w:highlight w:val="none"/>
                      <w14:textFill>
                        <w14:solidFill>
                          <w14:schemeClr w14:val="tx1"/>
                        </w14:solidFill>
                      </w14:textFill>
                    </w:rPr>
                  </w:pPr>
                  <w:r>
                    <w:rPr>
                      <w:b/>
                      <w:color w:val="000000" w:themeColor="text1"/>
                      <w:sz w:val="21"/>
                      <w:highlight w:val="none"/>
                      <w14:textFill>
                        <w14:solidFill>
                          <w14:schemeClr w14:val="tx1"/>
                        </w14:solidFill>
                      </w14:textFill>
                    </w:rPr>
                    <w:t>单位</w:t>
                  </w:r>
                </w:p>
              </w:tc>
              <w:tc>
                <w:tcPr>
                  <w:tcW w:w="2285" w:type="dxa"/>
                  <w:vAlign w:val="center"/>
                </w:tcPr>
                <w:p w14:paraId="66401ACE">
                  <w:pPr>
                    <w:pStyle w:val="56"/>
                    <w:rPr>
                      <w:b/>
                      <w:color w:val="000000" w:themeColor="text1"/>
                      <w:sz w:val="21"/>
                      <w:highlight w:val="none"/>
                      <w14:textFill>
                        <w14:solidFill>
                          <w14:schemeClr w14:val="tx1"/>
                        </w14:solidFill>
                      </w14:textFill>
                    </w:rPr>
                  </w:pPr>
                  <w:r>
                    <w:rPr>
                      <w:b/>
                      <w:color w:val="000000" w:themeColor="text1"/>
                      <w:sz w:val="21"/>
                      <w:highlight w:val="none"/>
                      <w14:textFill>
                        <w14:solidFill>
                          <w14:schemeClr w14:val="tx1"/>
                        </w14:solidFill>
                      </w14:textFill>
                    </w:rPr>
                    <w:t>数值</w:t>
                  </w:r>
                </w:p>
              </w:tc>
              <w:tc>
                <w:tcPr>
                  <w:tcW w:w="2338" w:type="dxa"/>
                  <w:vMerge w:val="continue"/>
                  <w:vAlign w:val="center"/>
                </w:tcPr>
                <w:p w14:paraId="44513DB5">
                  <w:pPr>
                    <w:pStyle w:val="56"/>
                    <w:rPr>
                      <w:b/>
                      <w:color w:val="000000" w:themeColor="text1"/>
                      <w:sz w:val="21"/>
                      <w:highlight w:val="none"/>
                      <w14:textFill>
                        <w14:solidFill>
                          <w14:schemeClr w14:val="tx1"/>
                        </w14:solidFill>
                      </w14:textFill>
                    </w:rPr>
                  </w:pPr>
                </w:p>
              </w:tc>
            </w:tr>
            <w:tr w14:paraId="64C32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426" w:type="dxa"/>
                  <w:vMerge w:val="restart"/>
                  <w:vAlign w:val="center"/>
                </w:tcPr>
                <w:p w14:paraId="0A52454C">
                  <w:pPr>
                    <w:pStyle w:val="56"/>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废气</w:t>
                  </w:r>
                </w:p>
              </w:tc>
              <w:tc>
                <w:tcPr>
                  <w:tcW w:w="1120" w:type="dxa"/>
                  <w:vMerge w:val="restart"/>
                  <w:vAlign w:val="center"/>
                </w:tcPr>
                <w:p w14:paraId="11391D86">
                  <w:pPr>
                    <w:pStyle w:val="56"/>
                    <w:rPr>
                      <w:rFonts w:hint="eastAsia" w:eastAsia="宋体"/>
                      <w:color w:val="000000" w:themeColor="text1"/>
                      <w:sz w:val="21"/>
                      <w:highlight w:val="none"/>
                      <w:lang w:eastAsia="zh-CN"/>
                      <w14:textFill>
                        <w14:solidFill>
                          <w14:schemeClr w14:val="tx1"/>
                        </w14:solidFill>
                      </w14:textFill>
                    </w:rPr>
                  </w:pPr>
                  <w:r>
                    <w:rPr>
                      <w:rFonts w:hint="eastAsia"/>
                      <w:color w:val="000000" w:themeColor="text1"/>
                      <w:sz w:val="21"/>
                      <w:highlight w:val="none"/>
                      <w:lang w:val="en-US" w:eastAsia="zh-CN"/>
                      <w14:textFill>
                        <w14:solidFill>
                          <w14:schemeClr w14:val="tx1"/>
                        </w14:solidFill>
                      </w14:textFill>
                    </w:rPr>
                    <w:t>锅炉</w:t>
                  </w:r>
                </w:p>
              </w:tc>
              <w:tc>
                <w:tcPr>
                  <w:tcW w:w="982" w:type="dxa"/>
                  <w:vAlign w:val="center"/>
                </w:tcPr>
                <w:p w14:paraId="2B1CE453">
                  <w:pPr>
                    <w:pStyle w:val="56"/>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颗粒物</w:t>
                  </w:r>
                </w:p>
              </w:tc>
              <w:tc>
                <w:tcPr>
                  <w:tcW w:w="849" w:type="dxa"/>
                  <w:vAlign w:val="center"/>
                </w:tcPr>
                <w:p w14:paraId="0E70159A">
                  <w:pPr>
                    <w:pStyle w:val="56"/>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mg/m</w:t>
                  </w:r>
                  <w:r>
                    <w:rPr>
                      <w:color w:val="000000" w:themeColor="text1"/>
                      <w:sz w:val="21"/>
                      <w:highlight w:val="none"/>
                      <w:vertAlign w:val="superscript"/>
                      <w14:textFill>
                        <w14:solidFill>
                          <w14:schemeClr w14:val="tx1"/>
                        </w14:solidFill>
                      </w14:textFill>
                    </w:rPr>
                    <w:t>3</w:t>
                  </w:r>
                </w:p>
              </w:tc>
              <w:tc>
                <w:tcPr>
                  <w:tcW w:w="2285" w:type="dxa"/>
                  <w:vAlign w:val="center"/>
                </w:tcPr>
                <w:p w14:paraId="7CF9796D">
                  <w:pPr>
                    <w:pStyle w:val="56"/>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5</w:t>
                  </w:r>
                </w:p>
              </w:tc>
              <w:tc>
                <w:tcPr>
                  <w:tcW w:w="2338" w:type="dxa"/>
                  <w:vMerge w:val="restart"/>
                  <w:vAlign w:val="center"/>
                </w:tcPr>
                <w:p w14:paraId="09B44B8E">
                  <w:pPr>
                    <w:pStyle w:val="56"/>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《锅炉大气污染物排放标准》（DB13∕5161-2020）</w:t>
                  </w:r>
                </w:p>
              </w:tc>
            </w:tr>
            <w:tr w14:paraId="25551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426" w:type="dxa"/>
                  <w:vMerge w:val="continue"/>
                  <w:vAlign w:val="center"/>
                </w:tcPr>
                <w:p w14:paraId="76025EDA">
                  <w:pPr>
                    <w:pStyle w:val="56"/>
                    <w:rPr>
                      <w:color w:val="000000" w:themeColor="text1"/>
                      <w:sz w:val="21"/>
                      <w:highlight w:val="none"/>
                      <w14:textFill>
                        <w14:solidFill>
                          <w14:schemeClr w14:val="tx1"/>
                        </w14:solidFill>
                      </w14:textFill>
                    </w:rPr>
                  </w:pPr>
                </w:p>
              </w:tc>
              <w:tc>
                <w:tcPr>
                  <w:tcW w:w="1120" w:type="dxa"/>
                  <w:vMerge w:val="continue"/>
                  <w:vAlign w:val="center"/>
                </w:tcPr>
                <w:p w14:paraId="53FDC52F">
                  <w:pPr>
                    <w:pStyle w:val="56"/>
                    <w:rPr>
                      <w:color w:val="000000" w:themeColor="text1"/>
                      <w:sz w:val="21"/>
                      <w:highlight w:val="none"/>
                      <w14:textFill>
                        <w14:solidFill>
                          <w14:schemeClr w14:val="tx1"/>
                        </w14:solidFill>
                      </w14:textFill>
                    </w:rPr>
                  </w:pPr>
                </w:p>
              </w:tc>
              <w:tc>
                <w:tcPr>
                  <w:tcW w:w="982" w:type="dxa"/>
                  <w:vAlign w:val="center"/>
                </w:tcPr>
                <w:p w14:paraId="49827CCE">
                  <w:pPr>
                    <w:pStyle w:val="56"/>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SO</w:t>
                  </w:r>
                  <w:r>
                    <w:rPr>
                      <w:color w:val="000000" w:themeColor="text1"/>
                      <w:sz w:val="21"/>
                      <w:highlight w:val="none"/>
                      <w:vertAlign w:val="subscript"/>
                      <w14:textFill>
                        <w14:solidFill>
                          <w14:schemeClr w14:val="tx1"/>
                        </w14:solidFill>
                      </w14:textFill>
                    </w:rPr>
                    <w:t>2</w:t>
                  </w:r>
                </w:p>
              </w:tc>
              <w:tc>
                <w:tcPr>
                  <w:tcW w:w="849" w:type="dxa"/>
                  <w:vAlign w:val="center"/>
                </w:tcPr>
                <w:p w14:paraId="2DFAD7C8">
                  <w:pPr>
                    <w:pStyle w:val="56"/>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mg/m</w:t>
                  </w:r>
                  <w:r>
                    <w:rPr>
                      <w:color w:val="000000" w:themeColor="text1"/>
                      <w:sz w:val="21"/>
                      <w:highlight w:val="none"/>
                      <w:vertAlign w:val="superscript"/>
                      <w14:textFill>
                        <w14:solidFill>
                          <w14:schemeClr w14:val="tx1"/>
                        </w14:solidFill>
                      </w14:textFill>
                    </w:rPr>
                    <w:t>3</w:t>
                  </w:r>
                </w:p>
              </w:tc>
              <w:tc>
                <w:tcPr>
                  <w:tcW w:w="2285" w:type="dxa"/>
                  <w:vAlign w:val="center"/>
                </w:tcPr>
                <w:p w14:paraId="0B34F18C">
                  <w:pPr>
                    <w:pStyle w:val="56"/>
                    <w:rPr>
                      <w:rFonts w:hint="default" w:eastAsia="宋体"/>
                      <w:color w:val="000000" w:themeColor="text1"/>
                      <w:sz w:val="21"/>
                      <w:highlight w:val="none"/>
                      <w:lang w:val="en-US" w:eastAsia="zh-CN"/>
                      <w14:textFill>
                        <w14:solidFill>
                          <w14:schemeClr w14:val="tx1"/>
                        </w14:solidFill>
                      </w14:textFill>
                    </w:rPr>
                  </w:pPr>
                  <w:r>
                    <w:rPr>
                      <w:rFonts w:hint="eastAsia"/>
                      <w:color w:val="000000" w:themeColor="text1"/>
                      <w:sz w:val="21"/>
                      <w:highlight w:val="none"/>
                      <w:lang w:val="en-US" w:eastAsia="zh-CN"/>
                      <w14:textFill>
                        <w14:solidFill>
                          <w14:schemeClr w14:val="tx1"/>
                        </w14:solidFill>
                      </w14:textFill>
                    </w:rPr>
                    <w:t>10</w:t>
                  </w:r>
                </w:p>
              </w:tc>
              <w:tc>
                <w:tcPr>
                  <w:tcW w:w="2338" w:type="dxa"/>
                  <w:vMerge w:val="continue"/>
                  <w:vAlign w:val="center"/>
                </w:tcPr>
                <w:p w14:paraId="09232BD4">
                  <w:pPr>
                    <w:pStyle w:val="56"/>
                    <w:rPr>
                      <w:color w:val="000000" w:themeColor="text1"/>
                      <w:sz w:val="21"/>
                      <w:highlight w:val="none"/>
                      <w14:textFill>
                        <w14:solidFill>
                          <w14:schemeClr w14:val="tx1"/>
                        </w14:solidFill>
                      </w14:textFill>
                    </w:rPr>
                  </w:pPr>
                </w:p>
              </w:tc>
            </w:tr>
            <w:tr w14:paraId="4C326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426" w:type="dxa"/>
                  <w:vMerge w:val="continue"/>
                  <w:vAlign w:val="center"/>
                </w:tcPr>
                <w:p w14:paraId="6701BE9E">
                  <w:pPr>
                    <w:pStyle w:val="56"/>
                    <w:rPr>
                      <w:color w:val="000000" w:themeColor="text1"/>
                      <w:sz w:val="21"/>
                      <w:highlight w:val="none"/>
                      <w14:textFill>
                        <w14:solidFill>
                          <w14:schemeClr w14:val="tx1"/>
                        </w14:solidFill>
                      </w14:textFill>
                    </w:rPr>
                  </w:pPr>
                </w:p>
              </w:tc>
              <w:tc>
                <w:tcPr>
                  <w:tcW w:w="1120" w:type="dxa"/>
                  <w:vMerge w:val="continue"/>
                  <w:vAlign w:val="center"/>
                </w:tcPr>
                <w:p w14:paraId="48FA9B40">
                  <w:pPr>
                    <w:pStyle w:val="56"/>
                    <w:rPr>
                      <w:color w:val="000000" w:themeColor="text1"/>
                      <w:sz w:val="21"/>
                      <w:highlight w:val="none"/>
                      <w14:textFill>
                        <w14:solidFill>
                          <w14:schemeClr w14:val="tx1"/>
                        </w14:solidFill>
                      </w14:textFill>
                    </w:rPr>
                  </w:pPr>
                </w:p>
              </w:tc>
              <w:tc>
                <w:tcPr>
                  <w:tcW w:w="982" w:type="dxa"/>
                  <w:vAlign w:val="center"/>
                </w:tcPr>
                <w:p w14:paraId="5122B6A6">
                  <w:pPr>
                    <w:pStyle w:val="56"/>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NOx</w:t>
                  </w:r>
                </w:p>
              </w:tc>
              <w:tc>
                <w:tcPr>
                  <w:tcW w:w="849" w:type="dxa"/>
                  <w:vAlign w:val="center"/>
                </w:tcPr>
                <w:p w14:paraId="3BC5D453">
                  <w:pPr>
                    <w:pStyle w:val="56"/>
                    <w:rPr>
                      <w:color w:val="000000" w:themeColor="text1"/>
                      <w:sz w:val="21"/>
                      <w:highlight w:val="none"/>
                      <w14:textFill>
                        <w14:solidFill>
                          <w14:schemeClr w14:val="tx1"/>
                        </w14:solidFill>
                      </w14:textFill>
                    </w:rPr>
                  </w:pPr>
                  <w:r>
                    <w:rPr>
                      <w:color w:val="000000" w:themeColor="text1"/>
                      <w:sz w:val="21"/>
                      <w:highlight w:val="none"/>
                      <w14:textFill>
                        <w14:solidFill>
                          <w14:schemeClr w14:val="tx1"/>
                        </w14:solidFill>
                      </w14:textFill>
                    </w:rPr>
                    <w:t>mg/m</w:t>
                  </w:r>
                  <w:r>
                    <w:rPr>
                      <w:color w:val="000000" w:themeColor="text1"/>
                      <w:sz w:val="21"/>
                      <w:highlight w:val="none"/>
                      <w:vertAlign w:val="superscript"/>
                      <w14:textFill>
                        <w14:solidFill>
                          <w14:schemeClr w14:val="tx1"/>
                        </w14:solidFill>
                      </w14:textFill>
                    </w:rPr>
                    <w:t>3</w:t>
                  </w:r>
                </w:p>
              </w:tc>
              <w:tc>
                <w:tcPr>
                  <w:tcW w:w="2285" w:type="dxa"/>
                  <w:vAlign w:val="center"/>
                </w:tcPr>
                <w:p w14:paraId="2F6F3BB6">
                  <w:pPr>
                    <w:pStyle w:val="56"/>
                    <w:rPr>
                      <w:rFonts w:hint="default" w:eastAsia="宋体"/>
                      <w:color w:val="000000" w:themeColor="text1"/>
                      <w:sz w:val="21"/>
                      <w:highlight w:val="none"/>
                      <w:lang w:val="en-US" w:eastAsia="zh-CN"/>
                      <w14:textFill>
                        <w14:solidFill>
                          <w14:schemeClr w14:val="tx1"/>
                        </w14:solidFill>
                      </w14:textFill>
                    </w:rPr>
                  </w:pPr>
                  <w:r>
                    <w:rPr>
                      <w:rFonts w:hint="eastAsia"/>
                      <w:color w:val="000000" w:themeColor="text1"/>
                      <w:sz w:val="21"/>
                      <w:highlight w:val="none"/>
                      <w:lang w:val="en-US" w:eastAsia="zh-CN"/>
                      <w14:textFill>
                        <w14:solidFill>
                          <w14:schemeClr w14:val="tx1"/>
                        </w14:solidFill>
                      </w14:textFill>
                    </w:rPr>
                    <w:t>50</w:t>
                  </w:r>
                </w:p>
              </w:tc>
              <w:tc>
                <w:tcPr>
                  <w:tcW w:w="2338" w:type="dxa"/>
                  <w:vMerge w:val="continue"/>
                  <w:vAlign w:val="center"/>
                </w:tcPr>
                <w:p w14:paraId="59527A80">
                  <w:pPr>
                    <w:pStyle w:val="56"/>
                    <w:rPr>
                      <w:color w:val="000000" w:themeColor="text1"/>
                      <w:sz w:val="21"/>
                      <w:highlight w:val="none"/>
                      <w14:textFill>
                        <w14:solidFill>
                          <w14:schemeClr w14:val="tx1"/>
                        </w14:solidFill>
                      </w14:textFill>
                    </w:rPr>
                  </w:pPr>
                </w:p>
              </w:tc>
            </w:tr>
            <w:tr w14:paraId="23317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1" w:hRule="atLeast"/>
                <w:jc w:val="center"/>
              </w:trPr>
              <w:tc>
                <w:tcPr>
                  <w:tcW w:w="426" w:type="dxa"/>
                  <w:vMerge w:val="continue"/>
                  <w:vAlign w:val="center"/>
                </w:tcPr>
                <w:p w14:paraId="1C5D8102">
                  <w:pPr>
                    <w:pStyle w:val="56"/>
                    <w:rPr>
                      <w:color w:val="000000" w:themeColor="text1"/>
                      <w:sz w:val="21"/>
                      <w:highlight w:val="none"/>
                      <w14:textFill>
                        <w14:solidFill>
                          <w14:schemeClr w14:val="tx1"/>
                        </w14:solidFill>
                      </w14:textFill>
                    </w:rPr>
                  </w:pPr>
                </w:p>
              </w:tc>
              <w:tc>
                <w:tcPr>
                  <w:tcW w:w="1120" w:type="dxa"/>
                  <w:vMerge w:val="continue"/>
                  <w:vAlign w:val="center"/>
                </w:tcPr>
                <w:p w14:paraId="4A2AE286">
                  <w:pPr>
                    <w:pStyle w:val="56"/>
                    <w:rPr>
                      <w:color w:val="000000" w:themeColor="text1"/>
                      <w:sz w:val="21"/>
                      <w:highlight w:val="none"/>
                      <w14:textFill>
                        <w14:solidFill>
                          <w14:schemeClr w14:val="tx1"/>
                        </w14:solidFill>
                      </w14:textFill>
                    </w:rPr>
                  </w:pPr>
                </w:p>
              </w:tc>
              <w:tc>
                <w:tcPr>
                  <w:tcW w:w="982" w:type="dxa"/>
                  <w:vAlign w:val="center"/>
                </w:tcPr>
                <w:p w14:paraId="6A40FC61">
                  <w:pPr>
                    <w:pStyle w:val="56"/>
                    <w:rPr>
                      <w:color w:val="000000" w:themeColor="text1"/>
                      <w:sz w:val="18"/>
                      <w:highlight w:val="none"/>
                      <w14:textFill>
                        <w14:solidFill>
                          <w14:schemeClr w14:val="tx1"/>
                        </w14:solidFill>
                      </w14:textFill>
                    </w:rPr>
                  </w:pPr>
                  <w:r>
                    <w:rPr>
                      <w:rFonts w:hint="eastAsia"/>
                      <w:color w:val="000000" w:themeColor="text1"/>
                      <w:sz w:val="18"/>
                      <w:highlight w:val="none"/>
                      <w14:textFill>
                        <w14:solidFill>
                          <w14:schemeClr w14:val="tx1"/>
                        </w14:solidFill>
                      </w14:textFill>
                    </w:rPr>
                    <w:t>烟气黑度</w:t>
                  </w:r>
                </w:p>
              </w:tc>
              <w:tc>
                <w:tcPr>
                  <w:tcW w:w="849" w:type="dxa"/>
                  <w:vAlign w:val="center"/>
                </w:tcPr>
                <w:p w14:paraId="5A1EFCF0">
                  <w:pPr>
                    <w:pStyle w:val="56"/>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1级</w:t>
                  </w:r>
                </w:p>
              </w:tc>
              <w:tc>
                <w:tcPr>
                  <w:tcW w:w="2285" w:type="dxa"/>
                  <w:vAlign w:val="center"/>
                </w:tcPr>
                <w:p w14:paraId="71DA6C02">
                  <w:pPr>
                    <w:pStyle w:val="56"/>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1</w:t>
                  </w:r>
                </w:p>
              </w:tc>
              <w:tc>
                <w:tcPr>
                  <w:tcW w:w="2338" w:type="dxa"/>
                  <w:vMerge w:val="continue"/>
                  <w:vAlign w:val="center"/>
                </w:tcPr>
                <w:p w14:paraId="636E8D59">
                  <w:pPr>
                    <w:pStyle w:val="56"/>
                    <w:rPr>
                      <w:color w:val="000000" w:themeColor="text1"/>
                      <w:sz w:val="21"/>
                      <w:highlight w:val="none"/>
                      <w14:textFill>
                        <w14:solidFill>
                          <w14:schemeClr w14:val="tx1"/>
                        </w14:solidFill>
                      </w14:textFill>
                    </w:rPr>
                  </w:pPr>
                </w:p>
              </w:tc>
            </w:tr>
            <w:tr w14:paraId="71A85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426" w:type="dxa"/>
                  <w:vMerge w:val="continue"/>
                  <w:vAlign w:val="center"/>
                </w:tcPr>
                <w:p w14:paraId="62F75F0E">
                  <w:pPr>
                    <w:pStyle w:val="56"/>
                    <w:rPr>
                      <w:color w:val="000000" w:themeColor="text1"/>
                      <w:sz w:val="21"/>
                      <w:highlight w:val="none"/>
                      <w14:textFill>
                        <w14:solidFill>
                          <w14:schemeClr w14:val="tx1"/>
                        </w14:solidFill>
                      </w14:textFill>
                    </w:rPr>
                  </w:pPr>
                </w:p>
              </w:tc>
              <w:tc>
                <w:tcPr>
                  <w:tcW w:w="1120" w:type="dxa"/>
                  <w:vMerge w:val="continue"/>
                  <w:vAlign w:val="center"/>
                </w:tcPr>
                <w:p w14:paraId="75CB9E07">
                  <w:pPr>
                    <w:pStyle w:val="56"/>
                    <w:rPr>
                      <w:color w:val="000000" w:themeColor="text1"/>
                      <w:sz w:val="21"/>
                      <w:highlight w:val="none"/>
                      <w14:textFill>
                        <w14:solidFill>
                          <w14:schemeClr w14:val="tx1"/>
                        </w14:solidFill>
                      </w14:textFill>
                    </w:rPr>
                  </w:pPr>
                </w:p>
              </w:tc>
              <w:tc>
                <w:tcPr>
                  <w:tcW w:w="982" w:type="dxa"/>
                  <w:vAlign w:val="center"/>
                </w:tcPr>
                <w:p w14:paraId="096D68B0">
                  <w:pPr>
                    <w:pStyle w:val="56"/>
                    <w:rPr>
                      <w:rFonts w:hint="eastAsia" w:eastAsia="宋体"/>
                      <w:color w:val="000000" w:themeColor="text1"/>
                      <w:sz w:val="18"/>
                      <w:highlight w:val="none"/>
                      <w:lang w:val="en-US" w:eastAsia="zh-CN"/>
                      <w14:textFill>
                        <w14:solidFill>
                          <w14:schemeClr w14:val="tx1"/>
                        </w14:solidFill>
                      </w14:textFill>
                    </w:rPr>
                  </w:pPr>
                  <w:r>
                    <w:rPr>
                      <w:rFonts w:hint="eastAsia"/>
                      <w:color w:val="000000" w:themeColor="text1"/>
                      <w:sz w:val="18"/>
                      <w:highlight w:val="none"/>
                      <w:lang w:val="en-US" w:eastAsia="zh-CN"/>
                      <w14:textFill>
                        <w14:solidFill>
                          <w14:schemeClr w14:val="tx1"/>
                        </w14:solidFill>
                      </w14:textFill>
                    </w:rPr>
                    <w:t>烟筒</w:t>
                  </w:r>
                </w:p>
              </w:tc>
              <w:tc>
                <w:tcPr>
                  <w:tcW w:w="849" w:type="dxa"/>
                  <w:vAlign w:val="center"/>
                </w:tcPr>
                <w:p w14:paraId="36F3A088">
                  <w:pPr>
                    <w:pStyle w:val="56"/>
                    <w:rPr>
                      <w:rFonts w:hint="eastAsia" w:eastAsia="宋体"/>
                      <w:color w:val="000000" w:themeColor="text1"/>
                      <w:sz w:val="21"/>
                      <w:highlight w:val="none"/>
                      <w:lang w:val="en-US" w:eastAsia="zh-CN"/>
                      <w14:textFill>
                        <w14:solidFill>
                          <w14:schemeClr w14:val="tx1"/>
                        </w14:solidFill>
                      </w14:textFill>
                    </w:rPr>
                  </w:pPr>
                  <w:r>
                    <w:rPr>
                      <w:rFonts w:hint="eastAsia"/>
                      <w:color w:val="000000" w:themeColor="text1"/>
                      <w:sz w:val="21"/>
                      <w:highlight w:val="none"/>
                      <w:lang w:val="en-US" w:eastAsia="zh-CN"/>
                      <w14:textFill>
                        <w14:solidFill>
                          <w14:schemeClr w14:val="tx1"/>
                        </w14:solidFill>
                      </w14:textFill>
                    </w:rPr>
                    <w:t>m</w:t>
                  </w:r>
                </w:p>
              </w:tc>
              <w:tc>
                <w:tcPr>
                  <w:tcW w:w="2285" w:type="dxa"/>
                  <w:vAlign w:val="center"/>
                </w:tcPr>
                <w:p w14:paraId="446A5D9B">
                  <w:pPr>
                    <w:pStyle w:val="56"/>
                    <w:rPr>
                      <w:rFonts w:hint="default" w:eastAsia="宋体"/>
                      <w:color w:val="000000" w:themeColor="text1"/>
                      <w:sz w:val="21"/>
                      <w:highlight w:val="none"/>
                      <w:lang w:val="en-US" w:eastAsia="zh-CN"/>
                      <w14:textFill>
                        <w14:solidFill>
                          <w14:schemeClr w14:val="tx1"/>
                        </w14:solidFill>
                      </w14:textFill>
                    </w:rPr>
                  </w:pPr>
                  <w:r>
                    <w:rPr>
                      <w:rFonts w:hint="eastAsia"/>
                      <w:color w:val="000000" w:themeColor="text1"/>
                      <w:sz w:val="21"/>
                      <w:highlight w:val="none"/>
                      <w:lang w:val="en-US" w:eastAsia="zh-CN"/>
                      <w14:textFill>
                        <w14:solidFill>
                          <w14:schemeClr w14:val="tx1"/>
                        </w14:solidFill>
                      </w14:textFill>
                    </w:rPr>
                    <w:t>不低于8m且周围半径200m距离内有建筑物时，其烟囱应高出最高建筑物3m以上</w:t>
                  </w:r>
                </w:p>
              </w:tc>
              <w:tc>
                <w:tcPr>
                  <w:tcW w:w="2338" w:type="dxa"/>
                  <w:vAlign w:val="center"/>
                </w:tcPr>
                <w:p w14:paraId="320A161A">
                  <w:pPr>
                    <w:pStyle w:val="56"/>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《锅炉大气污染物排放标准》（GB13271-2014）</w:t>
                  </w:r>
                </w:p>
              </w:tc>
            </w:tr>
          </w:tbl>
          <w:p w14:paraId="6AE13E33">
            <w:pPr>
              <w:spacing w:before="120" w:beforeLines="50" w:line="360" w:lineRule="auto"/>
              <w:ind w:firstLine="482"/>
              <w:rPr>
                <w:b/>
                <w:sz w:val="24"/>
                <w:highlight w:val="none"/>
              </w:rPr>
            </w:pPr>
            <w:r>
              <w:rPr>
                <w:b/>
                <w:sz w:val="24"/>
                <w:highlight w:val="none"/>
              </w:rPr>
              <w:t>2．</w:t>
            </w:r>
            <w:r>
              <w:rPr>
                <w:rFonts w:hint="eastAsia"/>
                <w:b/>
                <w:sz w:val="24"/>
                <w:highlight w:val="none"/>
              </w:rPr>
              <w:t>废水排放标准</w:t>
            </w:r>
          </w:p>
          <w:p w14:paraId="720BFC9C">
            <w:pPr>
              <w:snapToGrid w:val="0"/>
              <w:spacing w:line="360" w:lineRule="auto"/>
              <w:ind w:firstLine="480"/>
              <w:outlineLvl w:val="0"/>
              <w:rPr>
                <w:bCs/>
                <w:sz w:val="24"/>
                <w:highlight w:val="none"/>
              </w:rPr>
            </w:pPr>
            <w:r>
              <w:rPr>
                <w:rFonts w:hint="eastAsia"/>
                <w:bCs/>
                <w:sz w:val="24"/>
                <w:highlight w:val="none"/>
                <w:lang w:val="en-US" w:eastAsia="zh-CN"/>
              </w:rPr>
              <w:t>废水排入承德泓辉双合淀粉有限公司污水处理站处理，</w:t>
            </w:r>
            <w:r>
              <w:rPr>
                <w:rFonts w:hint="eastAsia" w:ascii="Times New Roman" w:hAnsi="Times New Roman" w:cs="Times New Roman"/>
                <w:color w:val="auto"/>
                <w:sz w:val="24"/>
                <w:szCs w:val="24"/>
                <w:highlight w:val="none"/>
                <w:lang w:val="en-US" w:eastAsia="zh-CN"/>
              </w:rPr>
              <w:t>排放标准</w:t>
            </w:r>
            <w:r>
              <w:rPr>
                <w:rFonts w:hint="eastAsia" w:cs="Times New Roman"/>
                <w:color w:val="auto"/>
                <w:sz w:val="24"/>
                <w:szCs w:val="24"/>
                <w:highlight w:val="none"/>
                <w:lang w:val="en-US" w:eastAsia="zh-CN"/>
              </w:rPr>
              <w:t>满足承德泓辉双合淀粉有限公司污水处理站进水指标，经污水处理站处理后废水满足</w:t>
            </w:r>
            <w:r>
              <w:rPr>
                <w:rFonts w:hint="eastAsia" w:ascii="Times New Roman" w:hAnsi="Times New Roman" w:cs="Times New Roman"/>
                <w:color w:val="auto"/>
                <w:sz w:val="24"/>
                <w:szCs w:val="24"/>
                <w:highlight w:val="none"/>
                <w:lang w:val="en-US" w:eastAsia="zh-CN"/>
              </w:rPr>
              <w:t>《城镇污水处理厂污染物排放标准》（GB18918—2002）中</w:t>
            </w:r>
            <w:r>
              <w:rPr>
                <w:rFonts w:hint="eastAsia" w:cs="Times New Roman"/>
                <w:color w:val="auto"/>
                <w:sz w:val="24"/>
                <w:szCs w:val="24"/>
                <w:highlight w:val="none"/>
                <w:lang w:val="en-US" w:eastAsia="zh-CN"/>
              </w:rPr>
              <w:t>一</w:t>
            </w:r>
            <w:r>
              <w:rPr>
                <w:rFonts w:hint="eastAsia" w:ascii="Times New Roman" w:hAnsi="Times New Roman" w:cs="Times New Roman"/>
                <w:color w:val="auto"/>
                <w:sz w:val="24"/>
                <w:szCs w:val="24"/>
                <w:highlight w:val="none"/>
                <w:lang w:val="en-US" w:eastAsia="zh-CN"/>
              </w:rPr>
              <w:t>级A标准</w:t>
            </w:r>
            <w:r>
              <w:rPr>
                <w:rFonts w:hint="eastAsia"/>
                <w:bCs/>
                <w:sz w:val="24"/>
                <w:highlight w:val="none"/>
              </w:rPr>
              <w:t>。</w:t>
            </w:r>
          </w:p>
          <w:p w14:paraId="1424226E">
            <w:pPr>
              <w:pStyle w:val="49"/>
              <w:numPr>
                <w:ilvl w:val="0"/>
                <w:numId w:val="10"/>
              </w:numPr>
              <w:spacing w:line="360" w:lineRule="auto"/>
              <w:ind w:left="0" w:firstLine="0"/>
              <w:rPr>
                <w:rFonts w:eastAsia="宋体"/>
                <w:b/>
                <w:highlight w:val="none"/>
              </w:rPr>
            </w:pPr>
            <w:r>
              <w:rPr>
                <w:rFonts w:hint="eastAsia" w:eastAsia="宋体"/>
                <w:b/>
                <w:highlight w:val="none"/>
              </w:rPr>
              <w:t>废水</w:t>
            </w:r>
            <w:r>
              <w:rPr>
                <w:rFonts w:eastAsia="宋体"/>
                <w:b/>
                <w:highlight w:val="none"/>
              </w:rPr>
              <w:t>排放标准</w:t>
            </w:r>
            <w:r>
              <w:rPr>
                <w:rFonts w:hint="eastAsia" w:eastAsia="宋体"/>
                <w:b/>
                <w:highlight w:val="none"/>
              </w:rPr>
              <w:t>及限值一览表</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7"/>
              <w:gridCol w:w="1597"/>
              <w:gridCol w:w="2343"/>
              <w:gridCol w:w="2721"/>
            </w:tblGrid>
            <w:tr w14:paraId="27756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5" w:hRule="atLeast"/>
                <w:jc w:val="center"/>
              </w:trPr>
              <w:tc>
                <w:tcPr>
                  <w:tcW w:w="907" w:type="pct"/>
                  <w:tcBorders>
                    <w:top w:val="single" w:color="auto" w:sz="4" w:space="0"/>
                    <w:left w:val="single" w:color="auto" w:sz="4" w:space="0"/>
                    <w:bottom w:val="single" w:color="auto" w:sz="4" w:space="0"/>
                    <w:right w:val="single" w:color="auto" w:sz="4" w:space="0"/>
                  </w:tcBorders>
                  <w:vAlign w:val="center"/>
                </w:tcPr>
                <w:p w14:paraId="5B791E56">
                  <w:pPr>
                    <w:topLinePunct/>
                    <w:adjustRightInd w:val="0"/>
                    <w:jc w:val="center"/>
                    <w:textAlignment w:val="center"/>
                    <w:rPr>
                      <w:b/>
                      <w:szCs w:val="21"/>
                      <w:highlight w:val="none"/>
                    </w:rPr>
                  </w:pPr>
                  <w:r>
                    <w:rPr>
                      <w:rFonts w:hint="eastAsia"/>
                      <w:b/>
                      <w:szCs w:val="21"/>
                      <w:highlight w:val="none"/>
                    </w:rPr>
                    <w:t>污染源</w:t>
                  </w:r>
                </w:p>
                <w:p w14:paraId="508DABB3">
                  <w:pPr>
                    <w:topLinePunct/>
                    <w:adjustRightInd w:val="0"/>
                    <w:jc w:val="center"/>
                    <w:textAlignment w:val="center"/>
                    <w:rPr>
                      <w:b/>
                      <w:szCs w:val="21"/>
                      <w:highlight w:val="none"/>
                    </w:rPr>
                  </w:pPr>
                  <w:r>
                    <w:rPr>
                      <w:rFonts w:hint="eastAsia"/>
                      <w:b/>
                      <w:szCs w:val="21"/>
                      <w:highlight w:val="none"/>
                    </w:rPr>
                    <w:t>类别</w:t>
                  </w:r>
                </w:p>
              </w:tc>
              <w:tc>
                <w:tcPr>
                  <w:tcW w:w="981" w:type="pct"/>
                  <w:tcBorders>
                    <w:top w:val="single" w:color="auto" w:sz="4" w:space="0"/>
                    <w:left w:val="single" w:color="auto" w:sz="4" w:space="0"/>
                    <w:bottom w:val="single" w:color="auto" w:sz="4" w:space="0"/>
                    <w:right w:val="single" w:color="auto" w:sz="4" w:space="0"/>
                  </w:tcBorders>
                  <w:vAlign w:val="center"/>
                </w:tcPr>
                <w:p w14:paraId="6600BF6D">
                  <w:pPr>
                    <w:topLinePunct/>
                    <w:adjustRightInd w:val="0"/>
                    <w:jc w:val="center"/>
                    <w:textAlignment w:val="center"/>
                    <w:rPr>
                      <w:b/>
                      <w:szCs w:val="21"/>
                      <w:highlight w:val="none"/>
                    </w:rPr>
                  </w:pPr>
                  <w:r>
                    <w:rPr>
                      <w:rFonts w:hint="eastAsia"/>
                      <w:b/>
                      <w:szCs w:val="21"/>
                      <w:highlight w:val="none"/>
                    </w:rPr>
                    <w:t>污染物</w:t>
                  </w:r>
                </w:p>
              </w:tc>
              <w:tc>
                <w:tcPr>
                  <w:tcW w:w="1439" w:type="pct"/>
                  <w:tcBorders>
                    <w:top w:val="single" w:color="auto" w:sz="4" w:space="0"/>
                    <w:left w:val="single" w:color="auto" w:sz="4" w:space="0"/>
                    <w:bottom w:val="single" w:color="auto" w:sz="4" w:space="0"/>
                    <w:right w:val="single" w:color="auto" w:sz="4" w:space="0"/>
                  </w:tcBorders>
                  <w:shd w:val="clear" w:color="auto" w:fill="auto"/>
                  <w:vAlign w:val="center"/>
                </w:tcPr>
                <w:p w14:paraId="45BCAACA">
                  <w:pPr>
                    <w:keepNext w:val="0"/>
                    <w:keepLines w:val="0"/>
                    <w:pageBreakBefore w:val="0"/>
                    <w:widowControl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sz w:val="21"/>
                      <w:szCs w:val="21"/>
                      <w:highlight w:val="none"/>
                      <w:lang w:val="en-US" w:eastAsia="zh-CN"/>
                    </w:rPr>
                    <w:t>承德泓辉双合淀粉有限公司污水处理站进水指标</w:t>
                  </w:r>
                </w:p>
              </w:tc>
              <w:tc>
                <w:tcPr>
                  <w:tcW w:w="1671" w:type="pct"/>
                  <w:tcBorders>
                    <w:top w:val="single" w:color="auto" w:sz="4" w:space="0"/>
                    <w:left w:val="single" w:color="auto" w:sz="4" w:space="0"/>
                    <w:bottom w:val="single" w:color="auto" w:sz="4" w:space="0"/>
                    <w:right w:val="single" w:color="auto" w:sz="4" w:space="0"/>
                  </w:tcBorders>
                  <w:shd w:val="clear" w:color="auto" w:fill="auto"/>
                  <w:vAlign w:val="center"/>
                </w:tcPr>
                <w:p w14:paraId="71F0DA53">
                  <w:pPr>
                    <w:keepNext w:val="0"/>
                    <w:keepLines w:val="0"/>
                    <w:pageBreakBefore w:val="0"/>
                    <w:widowControl w:val="0"/>
                    <w:suppressLineNumbers w:val="0"/>
                    <w:kinsoku/>
                    <w:wordWrap/>
                    <w:overflowPunct/>
                    <w:topLinePunct/>
                    <w:autoSpaceDE/>
                    <w:autoSpaceDN/>
                    <w:bidi w:val="0"/>
                    <w:adjustRightInd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b/>
                      <w:color w:val="auto"/>
                      <w:kern w:val="2"/>
                      <w:sz w:val="21"/>
                      <w:szCs w:val="21"/>
                      <w:highlight w:val="none"/>
                      <w:lang w:val="en-US" w:eastAsia="zh-CN" w:bidi="ar-SA"/>
                    </w:rPr>
                  </w:pPr>
                  <w:r>
                    <w:rPr>
                      <w:rFonts w:hint="eastAsia" w:ascii="Times New Roman" w:hAnsi="Times New Roman" w:eastAsia="宋体" w:cs="Times New Roman"/>
                      <w:b/>
                      <w:color w:val="auto"/>
                      <w:sz w:val="21"/>
                      <w:szCs w:val="21"/>
                      <w:highlight w:val="none"/>
                      <w:lang w:val="en-US" w:eastAsia="zh-CN"/>
                    </w:rPr>
                    <w:t>《城镇污水处理厂污染物排放标准》（GB18918—2002）中一级A标准</w:t>
                  </w:r>
                </w:p>
              </w:tc>
            </w:tr>
            <w:tr w14:paraId="3D286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5" w:hRule="atLeast"/>
                <w:jc w:val="center"/>
              </w:trPr>
              <w:tc>
                <w:tcPr>
                  <w:tcW w:w="907" w:type="pct"/>
                  <w:vMerge w:val="restart"/>
                  <w:tcBorders>
                    <w:top w:val="single" w:color="auto" w:sz="4" w:space="0"/>
                    <w:left w:val="single" w:color="auto" w:sz="4" w:space="0"/>
                    <w:bottom w:val="single" w:color="auto" w:sz="4" w:space="0"/>
                    <w:right w:val="single" w:color="auto" w:sz="4" w:space="0"/>
                  </w:tcBorders>
                  <w:vAlign w:val="center"/>
                </w:tcPr>
                <w:p w14:paraId="5E6A16CC">
                  <w:pPr>
                    <w:topLinePunct/>
                    <w:adjustRightInd w:val="0"/>
                    <w:jc w:val="center"/>
                    <w:textAlignment w:val="center"/>
                    <w:rPr>
                      <w:rFonts w:hint="default" w:eastAsia="宋体"/>
                      <w:szCs w:val="21"/>
                      <w:highlight w:val="none"/>
                      <w:lang w:val="en-US" w:eastAsia="zh-CN"/>
                    </w:rPr>
                  </w:pPr>
                  <w:r>
                    <w:rPr>
                      <w:rFonts w:hint="eastAsia"/>
                      <w:szCs w:val="21"/>
                      <w:highlight w:val="none"/>
                      <w:lang w:val="en-US" w:eastAsia="zh-CN"/>
                    </w:rPr>
                    <w:t>废水</w:t>
                  </w:r>
                </w:p>
              </w:tc>
              <w:tc>
                <w:tcPr>
                  <w:tcW w:w="981" w:type="pct"/>
                  <w:tcBorders>
                    <w:top w:val="single" w:color="auto" w:sz="4" w:space="0"/>
                    <w:left w:val="single" w:color="auto" w:sz="4" w:space="0"/>
                    <w:bottom w:val="single" w:color="auto" w:sz="4" w:space="0"/>
                    <w:right w:val="single" w:color="auto" w:sz="4" w:space="0"/>
                  </w:tcBorders>
                  <w:vAlign w:val="center"/>
                </w:tcPr>
                <w:p w14:paraId="26F98B12">
                  <w:pPr>
                    <w:jc w:val="center"/>
                    <w:rPr>
                      <w:szCs w:val="21"/>
                      <w:highlight w:val="none"/>
                    </w:rPr>
                  </w:pPr>
                  <w:r>
                    <w:rPr>
                      <w:szCs w:val="21"/>
                      <w:highlight w:val="none"/>
                    </w:rPr>
                    <w:t>pH</w:t>
                  </w:r>
                </w:p>
              </w:tc>
              <w:tc>
                <w:tcPr>
                  <w:tcW w:w="1439" w:type="pct"/>
                  <w:tcBorders>
                    <w:top w:val="single" w:color="auto" w:sz="4" w:space="0"/>
                    <w:left w:val="single" w:color="auto" w:sz="4" w:space="0"/>
                    <w:bottom w:val="single" w:color="auto" w:sz="4" w:space="0"/>
                    <w:right w:val="single" w:color="auto" w:sz="4" w:space="0"/>
                  </w:tcBorders>
                  <w:vAlign w:val="center"/>
                </w:tcPr>
                <w:p w14:paraId="4E58E7C9">
                  <w:pPr>
                    <w:jc w:val="center"/>
                    <w:rPr>
                      <w:szCs w:val="21"/>
                      <w:highlight w:val="none"/>
                    </w:rPr>
                  </w:pPr>
                  <w:r>
                    <w:rPr>
                      <w:szCs w:val="21"/>
                      <w:highlight w:val="none"/>
                    </w:rPr>
                    <w:t>6-9</w:t>
                  </w:r>
                </w:p>
              </w:tc>
              <w:tc>
                <w:tcPr>
                  <w:tcW w:w="1671" w:type="pct"/>
                  <w:tcBorders>
                    <w:top w:val="single" w:color="auto" w:sz="4" w:space="0"/>
                    <w:left w:val="single" w:color="auto" w:sz="4" w:space="0"/>
                    <w:bottom w:val="single" w:color="auto" w:sz="4" w:space="0"/>
                    <w:right w:val="single" w:color="auto" w:sz="4" w:space="0"/>
                  </w:tcBorders>
                  <w:vAlign w:val="center"/>
                </w:tcPr>
                <w:p w14:paraId="43C0F757">
                  <w:pPr>
                    <w:topLinePunct/>
                    <w:adjustRightInd w:val="0"/>
                    <w:jc w:val="center"/>
                    <w:textAlignment w:val="center"/>
                    <w:rPr>
                      <w:szCs w:val="21"/>
                      <w:highlight w:val="none"/>
                    </w:rPr>
                  </w:pPr>
                  <w:r>
                    <w:rPr>
                      <w:szCs w:val="21"/>
                      <w:highlight w:val="none"/>
                    </w:rPr>
                    <w:t>6-9</w:t>
                  </w:r>
                </w:p>
              </w:tc>
            </w:tr>
            <w:tr w14:paraId="64712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5" w:hRule="atLeast"/>
                <w:jc w:val="center"/>
              </w:trPr>
              <w:tc>
                <w:tcPr>
                  <w:tcW w:w="907" w:type="pct"/>
                  <w:vMerge w:val="continue"/>
                  <w:tcBorders>
                    <w:top w:val="single" w:color="auto" w:sz="4" w:space="0"/>
                    <w:left w:val="single" w:color="auto" w:sz="4" w:space="0"/>
                    <w:bottom w:val="single" w:color="auto" w:sz="4" w:space="0"/>
                    <w:right w:val="single" w:color="auto" w:sz="4" w:space="0"/>
                  </w:tcBorders>
                  <w:vAlign w:val="center"/>
                </w:tcPr>
                <w:p w14:paraId="52CB039E">
                  <w:pPr>
                    <w:widowControl/>
                    <w:jc w:val="center"/>
                    <w:rPr>
                      <w:rFonts w:eastAsiaTheme="minorEastAsia"/>
                      <w:szCs w:val="21"/>
                      <w:highlight w:val="none"/>
                    </w:rPr>
                  </w:pPr>
                </w:p>
              </w:tc>
              <w:tc>
                <w:tcPr>
                  <w:tcW w:w="981" w:type="pct"/>
                  <w:tcBorders>
                    <w:top w:val="single" w:color="auto" w:sz="4" w:space="0"/>
                    <w:left w:val="single" w:color="auto" w:sz="4" w:space="0"/>
                    <w:bottom w:val="single" w:color="auto" w:sz="4" w:space="0"/>
                    <w:right w:val="single" w:color="auto" w:sz="4" w:space="0"/>
                  </w:tcBorders>
                  <w:vAlign w:val="center"/>
                </w:tcPr>
                <w:p w14:paraId="5156953F">
                  <w:pPr>
                    <w:jc w:val="center"/>
                    <w:rPr>
                      <w:szCs w:val="21"/>
                      <w:highlight w:val="none"/>
                    </w:rPr>
                  </w:pPr>
                  <w:r>
                    <w:rPr>
                      <w:szCs w:val="21"/>
                      <w:highlight w:val="none"/>
                    </w:rPr>
                    <w:t>COD</w:t>
                  </w:r>
                </w:p>
              </w:tc>
              <w:tc>
                <w:tcPr>
                  <w:tcW w:w="1439" w:type="pct"/>
                  <w:tcBorders>
                    <w:top w:val="single" w:color="auto" w:sz="4" w:space="0"/>
                    <w:left w:val="single" w:color="auto" w:sz="4" w:space="0"/>
                    <w:bottom w:val="single" w:color="auto" w:sz="4" w:space="0"/>
                    <w:right w:val="single" w:color="auto" w:sz="4" w:space="0"/>
                  </w:tcBorders>
                  <w:vAlign w:val="center"/>
                </w:tcPr>
                <w:p w14:paraId="01A86B5B">
                  <w:pPr>
                    <w:jc w:val="center"/>
                    <w:rPr>
                      <w:szCs w:val="21"/>
                      <w:highlight w:val="none"/>
                    </w:rPr>
                  </w:pPr>
                  <w:r>
                    <w:rPr>
                      <w:rFonts w:hint="eastAsia" w:cs="Times New Roman"/>
                      <w:color w:val="auto"/>
                      <w:kern w:val="2"/>
                      <w:sz w:val="21"/>
                      <w:szCs w:val="21"/>
                      <w:highlight w:val="none"/>
                      <w:lang w:val="en-US" w:eastAsia="zh-CN" w:bidi="ar-SA"/>
                    </w:rPr>
                    <w:t>20000</w:t>
                  </w:r>
                  <w:r>
                    <w:rPr>
                      <w:szCs w:val="21"/>
                      <w:highlight w:val="none"/>
                    </w:rPr>
                    <w:t>mg/L</w:t>
                  </w:r>
                </w:p>
              </w:tc>
              <w:tc>
                <w:tcPr>
                  <w:tcW w:w="1671" w:type="pct"/>
                  <w:tcBorders>
                    <w:top w:val="single" w:color="auto" w:sz="4" w:space="0"/>
                    <w:left w:val="single" w:color="auto" w:sz="4" w:space="0"/>
                    <w:bottom w:val="single" w:color="auto" w:sz="4" w:space="0"/>
                    <w:right w:val="single" w:color="auto" w:sz="4" w:space="0"/>
                  </w:tcBorders>
                  <w:vAlign w:val="center"/>
                </w:tcPr>
                <w:p w14:paraId="352B30E4">
                  <w:pPr>
                    <w:topLinePunct/>
                    <w:adjustRightInd w:val="0"/>
                    <w:jc w:val="center"/>
                    <w:textAlignment w:val="center"/>
                    <w:rPr>
                      <w:szCs w:val="21"/>
                      <w:highlight w:val="none"/>
                    </w:rPr>
                  </w:pPr>
                  <w:r>
                    <w:rPr>
                      <w:szCs w:val="21"/>
                      <w:highlight w:val="none"/>
                    </w:rPr>
                    <w:t>50mg/L</w:t>
                  </w:r>
                </w:p>
              </w:tc>
            </w:tr>
            <w:tr w14:paraId="56519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5" w:hRule="atLeast"/>
                <w:jc w:val="center"/>
              </w:trPr>
              <w:tc>
                <w:tcPr>
                  <w:tcW w:w="907" w:type="pct"/>
                  <w:vMerge w:val="continue"/>
                  <w:tcBorders>
                    <w:top w:val="single" w:color="auto" w:sz="4" w:space="0"/>
                    <w:left w:val="single" w:color="auto" w:sz="4" w:space="0"/>
                    <w:bottom w:val="single" w:color="auto" w:sz="4" w:space="0"/>
                    <w:right w:val="single" w:color="auto" w:sz="4" w:space="0"/>
                  </w:tcBorders>
                  <w:vAlign w:val="center"/>
                </w:tcPr>
                <w:p w14:paraId="10D8DAE0">
                  <w:pPr>
                    <w:widowControl/>
                    <w:jc w:val="center"/>
                    <w:rPr>
                      <w:rFonts w:eastAsiaTheme="minorEastAsia"/>
                      <w:szCs w:val="21"/>
                      <w:highlight w:val="none"/>
                    </w:rPr>
                  </w:pPr>
                </w:p>
              </w:tc>
              <w:tc>
                <w:tcPr>
                  <w:tcW w:w="981" w:type="pct"/>
                  <w:tcBorders>
                    <w:top w:val="single" w:color="auto" w:sz="4" w:space="0"/>
                    <w:left w:val="single" w:color="auto" w:sz="4" w:space="0"/>
                    <w:bottom w:val="single" w:color="auto" w:sz="4" w:space="0"/>
                    <w:right w:val="single" w:color="auto" w:sz="4" w:space="0"/>
                  </w:tcBorders>
                  <w:vAlign w:val="center"/>
                </w:tcPr>
                <w:p w14:paraId="6A516B71">
                  <w:pPr>
                    <w:jc w:val="center"/>
                    <w:rPr>
                      <w:szCs w:val="21"/>
                      <w:highlight w:val="none"/>
                    </w:rPr>
                  </w:pPr>
                  <w:r>
                    <w:rPr>
                      <w:szCs w:val="21"/>
                      <w:highlight w:val="none"/>
                    </w:rPr>
                    <w:t>SS</w:t>
                  </w:r>
                </w:p>
              </w:tc>
              <w:tc>
                <w:tcPr>
                  <w:tcW w:w="1439" w:type="pct"/>
                  <w:tcBorders>
                    <w:top w:val="single" w:color="auto" w:sz="4" w:space="0"/>
                    <w:left w:val="single" w:color="auto" w:sz="4" w:space="0"/>
                    <w:bottom w:val="single" w:color="auto" w:sz="4" w:space="0"/>
                    <w:right w:val="single" w:color="auto" w:sz="4" w:space="0"/>
                  </w:tcBorders>
                  <w:vAlign w:val="center"/>
                </w:tcPr>
                <w:p w14:paraId="5093B68E">
                  <w:pPr>
                    <w:jc w:val="center"/>
                    <w:rPr>
                      <w:szCs w:val="21"/>
                      <w:highlight w:val="none"/>
                    </w:rPr>
                  </w:pPr>
                  <w:r>
                    <w:rPr>
                      <w:rFonts w:hint="eastAsia" w:cs="Times New Roman"/>
                      <w:color w:val="auto"/>
                      <w:kern w:val="2"/>
                      <w:sz w:val="21"/>
                      <w:szCs w:val="21"/>
                      <w:highlight w:val="none"/>
                      <w:lang w:val="en-US" w:eastAsia="zh-CN" w:bidi="ar-SA"/>
                    </w:rPr>
                    <w:t>5000</w:t>
                  </w:r>
                  <w:r>
                    <w:rPr>
                      <w:szCs w:val="21"/>
                      <w:highlight w:val="none"/>
                    </w:rPr>
                    <w:t>mg/L</w:t>
                  </w:r>
                </w:p>
              </w:tc>
              <w:tc>
                <w:tcPr>
                  <w:tcW w:w="1671" w:type="pct"/>
                  <w:tcBorders>
                    <w:top w:val="single" w:color="auto" w:sz="4" w:space="0"/>
                    <w:left w:val="single" w:color="auto" w:sz="4" w:space="0"/>
                    <w:bottom w:val="single" w:color="auto" w:sz="4" w:space="0"/>
                    <w:right w:val="single" w:color="auto" w:sz="4" w:space="0"/>
                  </w:tcBorders>
                  <w:vAlign w:val="center"/>
                </w:tcPr>
                <w:p w14:paraId="4DCF5634">
                  <w:pPr>
                    <w:topLinePunct/>
                    <w:adjustRightInd w:val="0"/>
                    <w:jc w:val="center"/>
                    <w:textAlignment w:val="center"/>
                    <w:rPr>
                      <w:szCs w:val="21"/>
                      <w:highlight w:val="none"/>
                    </w:rPr>
                  </w:pPr>
                  <w:r>
                    <w:rPr>
                      <w:rFonts w:hint="eastAsia"/>
                      <w:szCs w:val="21"/>
                      <w:highlight w:val="none"/>
                      <w:lang w:val="en-US" w:eastAsia="zh-CN"/>
                    </w:rPr>
                    <w:t>10</w:t>
                  </w:r>
                  <w:r>
                    <w:rPr>
                      <w:szCs w:val="21"/>
                      <w:highlight w:val="none"/>
                    </w:rPr>
                    <w:t>mg/L</w:t>
                  </w:r>
                </w:p>
              </w:tc>
            </w:tr>
          </w:tbl>
          <w:p w14:paraId="5369D3EE">
            <w:pPr>
              <w:spacing w:before="120" w:beforeLines="50" w:line="360" w:lineRule="auto"/>
              <w:ind w:firstLine="482"/>
              <w:rPr>
                <w:b/>
                <w:sz w:val="24"/>
                <w:highlight w:val="none"/>
              </w:rPr>
            </w:pPr>
            <w:r>
              <w:rPr>
                <w:b/>
                <w:sz w:val="24"/>
                <w:highlight w:val="none"/>
              </w:rPr>
              <w:t>3．</w:t>
            </w:r>
            <w:r>
              <w:rPr>
                <w:rFonts w:hint="eastAsia"/>
                <w:b/>
                <w:sz w:val="24"/>
                <w:highlight w:val="none"/>
              </w:rPr>
              <w:t>噪声排放标准</w:t>
            </w:r>
          </w:p>
          <w:p w14:paraId="406C5789">
            <w:pPr>
              <w:snapToGrid w:val="0"/>
              <w:spacing w:line="360" w:lineRule="auto"/>
              <w:ind w:firstLine="480" w:firstLineChars="200"/>
              <w:rPr>
                <w:sz w:val="24"/>
                <w:highlight w:val="none"/>
                <w:lang w:bidi="ar"/>
              </w:rPr>
            </w:pPr>
            <w:r>
              <w:rPr>
                <w:rFonts w:hint="eastAsia"/>
                <w:sz w:val="24"/>
                <w:highlight w:val="none"/>
              </w:rPr>
              <w:t>施工期</w:t>
            </w:r>
            <w:r>
              <w:rPr>
                <w:rFonts w:hint="eastAsia"/>
                <w:sz w:val="24"/>
                <w:highlight w:val="none"/>
                <w:lang w:bidi="ar"/>
              </w:rPr>
              <w:t>噪声执行《建筑施工场界环境噪声排放标准》（</w:t>
            </w:r>
            <w:r>
              <w:rPr>
                <w:sz w:val="24"/>
                <w:highlight w:val="none"/>
                <w:lang w:bidi="ar"/>
              </w:rPr>
              <w:t>GB12523-2011</w:t>
            </w:r>
            <w:r>
              <w:rPr>
                <w:rFonts w:hint="eastAsia"/>
                <w:sz w:val="24"/>
                <w:highlight w:val="none"/>
                <w:lang w:bidi="ar"/>
              </w:rPr>
              <w:t>）标准限值；运营期噪声执行《工业企业厂界环境噪声排放标准》</w:t>
            </w:r>
            <w:r>
              <w:rPr>
                <w:sz w:val="24"/>
                <w:highlight w:val="none"/>
                <w:lang w:bidi="ar"/>
              </w:rPr>
              <w:t>(GB12348-2008)</w:t>
            </w:r>
            <w:r>
              <w:rPr>
                <w:rFonts w:hint="eastAsia"/>
                <w:sz w:val="24"/>
                <w:highlight w:val="none"/>
                <w:lang w:bidi="ar"/>
              </w:rPr>
              <w:t>中的</w:t>
            </w:r>
            <w:r>
              <w:rPr>
                <w:sz w:val="24"/>
                <w:highlight w:val="none"/>
                <w:lang w:bidi="ar"/>
              </w:rPr>
              <w:t>2</w:t>
            </w:r>
            <w:r>
              <w:rPr>
                <w:rFonts w:hint="eastAsia"/>
                <w:sz w:val="24"/>
                <w:highlight w:val="none"/>
                <w:lang w:bidi="ar"/>
              </w:rPr>
              <w:t>类标准。</w:t>
            </w:r>
          </w:p>
          <w:p w14:paraId="504B2002">
            <w:pPr>
              <w:adjustRightInd w:val="0"/>
              <w:snapToGrid w:val="0"/>
              <w:spacing w:line="360" w:lineRule="auto"/>
              <w:ind w:firstLine="480" w:firstLineChars="200"/>
              <w:rPr>
                <w:sz w:val="24"/>
                <w:highlight w:val="none"/>
              </w:rPr>
            </w:pPr>
            <w:r>
              <w:rPr>
                <w:rFonts w:hint="eastAsia"/>
                <w:sz w:val="24"/>
                <w:highlight w:val="none"/>
              </w:rPr>
              <w:t>相关标准限值列表如下：</w:t>
            </w:r>
          </w:p>
          <w:p w14:paraId="6D17D15A">
            <w:pPr>
              <w:pStyle w:val="49"/>
              <w:numPr>
                <w:ilvl w:val="0"/>
                <w:numId w:val="10"/>
              </w:numPr>
              <w:spacing w:line="360" w:lineRule="auto"/>
              <w:ind w:left="0" w:firstLine="0"/>
              <w:rPr>
                <w:rFonts w:eastAsia="宋体"/>
                <w:b/>
                <w:highlight w:val="none"/>
              </w:rPr>
            </w:pPr>
            <w:r>
              <w:rPr>
                <w:rFonts w:hint="eastAsia" w:eastAsia="宋体"/>
                <w:b/>
                <w:highlight w:val="none"/>
              </w:rPr>
              <w:t>噪声</w:t>
            </w:r>
            <w:r>
              <w:rPr>
                <w:rFonts w:eastAsia="宋体"/>
                <w:b/>
                <w:highlight w:val="none"/>
              </w:rPr>
              <w:t>排放标准</w:t>
            </w:r>
            <w:r>
              <w:rPr>
                <w:rFonts w:hint="eastAsia" w:eastAsia="宋体"/>
                <w:b/>
                <w:highlight w:val="none"/>
              </w:rPr>
              <w:t>及限值一览表</w:t>
            </w:r>
            <w:r>
              <w:rPr>
                <w:rFonts w:eastAsia="宋体"/>
                <w:b/>
                <w:highlight w:val="none"/>
              </w:rPr>
              <w:t>（单位：dB（A））</w:t>
            </w:r>
          </w:p>
          <w:tbl>
            <w:tblPr>
              <w:tblStyle w:val="23"/>
              <w:tblW w:w="80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4"/>
              <w:gridCol w:w="1094"/>
              <w:gridCol w:w="1093"/>
              <w:gridCol w:w="1232"/>
              <w:gridCol w:w="3564"/>
            </w:tblGrid>
            <w:tr w14:paraId="0B47B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2178" w:type="dxa"/>
                  <w:gridSpan w:val="2"/>
                  <w:vMerge w:val="restart"/>
                  <w:vAlign w:val="center"/>
                </w:tcPr>
                <w:p w14:paraId="45C767BA">
                  <w:pPr>
                    <w:pStyle w:val="56"/>
                    <w:rPr>
                      <w:b/>
                      <w:color w:val="000000" w:themeColor="text1"/>
                      <w:sz w:val="21"/>
                      <w:highlight w:val="none"/>
                      <w14:textFill>
                        <w14:solidFill>
                          <w14:schemeClr w14:val="tx1"/>
                        </w14:solidFill>
                      </w14:textFill>
                    </w:rPr>
                  </w:pPr>
                  <w:r>
                    <w:rPr>
                      <w:b/>
                      <w:color w:val="000000" w:themeColor="text1"/>
                      <w:sz w:val="21"/>
                      <w:highlight w:val="none"/>
                      <w14:textFill>
                        <w14:solidFill>
                          <w14:schemeClr w14:val="tx1"/>
                        </w14:solidFill>
                      </w14:textFill>
                    </w:rPr>
                    <w:t>污染物名称</w:t>
                  </w:r>
                </w:p>
              </w:tc>
              <w:tc>
                <w:tcPr>
                  <w:tcW w:w="2325" w:type="dxa"/>
                  <w:gridSpan w:val="2"/>
                  <w:vAlign w:val="center"/>
                </w:tcPr>
                <w:p w14:paraId="0DE31221">
                  <w:pPr>
                    <w:pStyle w:val="56"/>
                    <w:rPr>
                      <w:b/>
                      <w:color w:val="000000" w:themeColor="text1"/>
                      <w:sz w:val="21"/>
                      <w:highlight w:val="none"/>
                      <w14:textFill>
                        <w14:solidFill>
                          <w14:schemeClr w14:val="tx1"/>
                        </w14:solidFill>
                      </w14:textFill>
                    </w:rPr>
                  </w:pPr>
                  <w:r>
                    <w:rPr>
                      <w:b/>
                      <w:color w:val="000000" w:themeColor="text1"/>
                      <w:sz w:val="21"/>
                      <w:highlight w:val="none"/>
                      <w14:textFill>
                        <w14:solidFill>
                          <w14:schemeClr w14:val="tx1"/>
                        </w14:solidFill>
                      </w14:textFill>
                    </w:rPr>
                    <w:t>标准值</w:t>
                  </w:r>
                </w:p>
              </w:tc>
              <w:tc>
                <w:tcPr>
                  <w:tcW w:w="3564" w:type="dxa"/>
                  <w:vMerge w:val="restart"/>
                  <w:vAlign w:val="center"/>
                </w:tcPr>
                <w:p w14:paraId="5B3B415F">
                  <w:pPr>
                    <w:pStyle w:val="56"/>
                    <w:rPr>
                      <w:b/>
                      <w:color w:val="000000" w:themeColor="text1"/>
                      <w:sz w:val="21"/>
                      <w:highlight w:val="none"/>
                      <w14:textFill>
                        <w14:solidFill>
                          <w14:schemeClr w14:val="tx1"/>
                        </w14:solidFill>
                      </w14:textFill>
                    </w:rPr>
                  </w:pPr>
                  <w:r>
                    <w:rPr>
                      <w:b/>
                      <w:color w:val="000000" w:themeColor="text1"/>
                      <w:sz w:val="21"/>
                      <w:highlight w:val="none"/>
                      <w14:textFill>
                        <w14:solidFill>
                          <w14:schemeClr w14:val="tx1"/>
                        </w14:solidFill>
                      </w14:textFill>
                    </w:rPr>
                    <w:t>标准名称</w:t>
                  </w:r>
                </w:p>
              </w:tc>
            </w:tr>
            <w:tr w14:paraId="105DB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2178" w:type="dxa"/>
                  <w:gridSpan w:val="2"/>
                  <w:vMerge w:val="continue"/>
                  <w:vAlign w:val="center"/>
                </w:tcPr>
                <w:p w14:paraId="59DD882D">
                  <w:pPr>
                    <w:pStyle w:val="56"/>
                    <w:rPr>
                      <w:b/>
                      <w:color w:val="000000" w:themeColor="text1"/>
                      <w:sz w:val="21"/>
                      <w:highlight w:val="none"/>
                      <w14:textFill>
                        <w14:solidFill>
                          <w14:schemeClr w14:val="tx1"/>
                        </w14:solidFill>
                      </w14:textFill>
                    </w:rPr>
                  </w:pPr>
                </w:p>
              </w:tc>
              <w:tc>
                <w:tcPr>
                  <w:tcW w:w="1093" w:type="dxa"/>
                  <w:vAlign w:val="center"/>
                </w:tcPr>
                <w:p w14:paraId="22BE0163">
                  <w:pPr>
                    <w:pStyle w:val="56"/>
                    <w:rPr>
                      <w:b/>
                      <w:color w:val="000000" w:themeColor="text1"/>
                      <w:sz w:val="21"/>
                      <w:highlight w:val="none"/>
                      <w14:textFill>
                        <w14:solidFill>
                          <w14:schemeClr w14:val="tx1"/>
                        </w14:solidFill>
                      </w14:textFill>
                    </w:rPr>
                  </w:pPr>
                  <w:r>
                    <w:rPr>
                      <w:b/>
                      <w:color w:val="000000" w:themeColor="text1"/>
                      <w:sz w:val="21"/>
                      <w:highlight w:val="none"/>
                      <w14:textFill>
                        <w14:solidFill>
                          <w14:schemeClr w14:val="tx1"/>
                        </w14:solidFill>
                      </w14:textFill>
                    </w:rPr>
                    <w:t>单位</w:t>
                  </w:r>
                </w:p>
              </w:tc>
              <w:tc>
                <w:tcPr>
                  <w:tcW w:w="1231" w:type="dxa"/>
                  <w:vAlign w:val="center"/>
                </w:tcPr>
                <w:p w14:paraId="6E48010A">
                  <w:pPr>
                    <w:pStyle w:val="56"/>
                    <w:rPr>
                      <w:b/>
                      <w:color w:val="000000" w:themeColor="text1"/>
                      <w:sz w:val="21"/>
                      <w:highlight w:val="none"/>
                      <w14:textFill>
                        <w14:solidFill>
                          <w14:schemeClr w14:val="tx1"/>
                        </w14:solidFill>
                      </w14:textFill>
                    </w:rPr>
                  </w:pPr>
                  <w:r>
                    <w:rPr>
                      <w:b/>
                      <w:color w:val="000000" w:themeColor="text1"/>
                      <w:sz w:val="21"/>
                      <w:highlight w:val="none"/>
                      <w14:textFill>
                        <w14:solidFill>
                          <w14:schemeClr w14:val="tx1"/>
                        </w14:solidFill>
                      </w14:textFill>
                    </w:rPr>
                    <w:t>数值</w:t>
                  </w:r>
                </w:p>
              </w:tc>
              <w:tc>
                <w:tcPr>
                  <w:tcW w:w="3564" w:type="dxa"/>
                  <w:vMerge w:val="continue"/>
                  <w:vAlign w:val="center"/>
                </w:tcPr>
                <w:p w14:paraId="5B5CC0D0">
                  <w:pPr>
                    <w:pStyle w:val="56"/>
                    <w:rPr>
                      <w:b/>
                      <w:color w:val="000000" w:themeColor="text1"/>
                      <w:sz w:val="21"/>
                      <w:highlight w:val="none"/>
                      <w14:textFill>
                        <w14:solidFill>
                          <w14:schemeClr w14:val="tx1"/>
                        </w14:solidFill>
                      </w14:textFill>
                    </w:rPr>
                  </w:pPr>
                </w:p>
              </w:tc>
            </w:tr>
            <w:tr w14:paraId="07348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084" w:type="dxa"/>
                  <w:vMerge w:val="restart"/>
                  <w:vAlign w:val="center"/>
                </w:tcPr>
                <w:p w14:paraId="77961BA8">
                  <w:pPr>
                    <w:pStyle w:val="56"/>
                    <w:rPr>
                      <w:color w:val="auto"/>
                      <w:sz w:val="21"/>
                      <w:highlight w:val="none"/>
                    </w:rPr>
                  </w:pPr>
                  <w:r>
                    <w:rPr>
                      <w:rFonts w:hint="eastAsia"/>
                      <w:color w:val="auto"/>
                      <w:sz w:val="21"/>
                      <w:highlight w:val="none"/>
                    </w:rPr>
                    <w:t>施工期</w:t>
                  </w:r>
                </w:p>
              </w:tc>
              <w:tc>
                <w:tcPr>
                  <w:tcW w:w="1094" w:type="dxa"/>
                  <w:vAlign w:val="center"/>
                </w:tcPr>
                <w:p w14:paraId="54AFF9D6">
                  <w:pPr>
                    <w:pStyle w:val="56"/>
                    <w:rPr>
                      <w:color w:val="auto"/>
                      <w:sz w:val="21"/>
                      <w:highlight w:val="none"/>
                    </w:rPr>
                  </w:pPr>
                  <w:r>
                    <w:rPr>
                      <w:color w:val="auto"/>
                      <w:sz w:val="21"/>
                      <w:highlight w:val="none"/>
                    </w:rPr>
                    <w:t>昼间</w:t>
                  </w:r>
                </w:p>
              </w:tc>
              <w:tc>
                <w:tcPr>
                  <w:tcW w:w="1093" w:type="dxa"/>
                  <w:vAlign w:val="center"/>
                </w:tcPr>
                <w:p w14:paraId="7E105FAE">
                  <w:pPr>
                    <w:pStyle w:val="56"/>
                    <w:rPr>
                      <w:color w:val="auto"/>
                      <w:sz w:val="21"/>
                      <w:highlight w:val="none"/>
                    </w:rPr>
                  </w:pPr>
                  <w:r>
                    <w:rPr>
                      <w:color w:val="auto"/>
                      <w:sz w:val="21"/>
                      <w:highlight w:val="none"/>
                    </w:rPr>
                    <w:t>dB（A）</w:t>
                  </w:r>
                </w:p>
              </w:tc>
              <w:tc>
                <w:tcPr>
                  <w:tcW w:w="1231" w:type="dxa"/>
                  <w:vAlign w:val="center"/>
                </w:tcPr>
                <w:p w14:paraId="5533875A">
                  <w:pPr>
                    <w:pStyle w:val="56"/>
                    <w:rPr>
                      <w:color w:val="auto"/>
                      <w:sz w:val="21"/>
                      <w:highlight w:val="none"/>
                    </w:rPr>
                  </w:pPr>
                  <w:r>
                    <w:rPr>
                      <w:color w:val="auto"/>
                      <w:sz w:val="21"/>
                      <w:highlight w:val="none"/>
                    </w:rPr>
                    <w:t>70</w:t>
                  </w:r>
                </w:p>
              </w:tc>
              <w:tc>
                <w:tcPr>
                  <w:tcW w:w="3564" w:type="dxa"/>
                  <w:vMerge w:val="restart"/>
                  <w:vAlign w:val="center"/>
                </w:tcPr>
                <w:p w14:paraId="34DC6C53">
                  <w:pPr>
                    <w:pStyle w:val="56"/>
                    <w:rPr>
                      <w:color w:val="auto"/>
                      <w:sz w:val="21"/>
                      <w:highlight w:val="none"/>
                    </w:rPr>
                  </w:pPr>
                  <w:r>
                    <w:rPr>
                      <w:color w:val="auto"/>
                      <w:sz w:val="21"/>
                      <w:highlight w:val="none"/>
                    </w:rPr>
                    <w:t>《建筑施工场界环境噪声排放标准》（GB12523-2011）表1中噪声限值</w:t>
                  </w:r>
                </w:p>
              </w:tc>
            </w:tr>
            <w:tr w14:paraId="20747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084" w:type="dxa"/>
                  <w:vMerge w:val="continue"/>
                  <w:vAlign w:val="center"/>
                </w:tcPr>
                <w:p w14:paraId="04B1D6B3">
                  <w:pPr>
                    <w:pStyle w:val="56"/>
                    <w:rPr>
                      <w:color w:val="auto"/>
                      <w:sz w:val="21"/>
                      <w:highlight w:val="none"/>
                    </w:rPr>
                  </w:pPr>
                </w:p>
              </w:tc>
              <w:tc>
                <w:tcPr>
                  <w:tcW w:w="1094" w:type="dxa"/>
                  <w:vAlign w:val="center"/>
                </w:tcPr>
                <w:p w14:paraId="3586487A">
                  <w:pPr>
                    <w:pStyle w:val="56"/>
                    <w:rPr>
                      <w:color w:val="auto"/>
                      <w:sz w:val="21"/>
                      <w:highlight w:val="none"/>
                    </w:rPr>
                  </w:pPr>
                  <w:r>
                    <w:rPr>
                      <w:color w:val="auto"/>
                      <w:sz w:val="21"/>
                      <w:highlight w:val="none"/>
                    </w:rPr>
                    <w:t>夜间</w:t>
                  </w:r>
                </w:p>
              </w:tc>
              <w:tc>
                <w:tcPr>
                  <w:tcW w:w="1093" w:type="dxa"/>
                  <w:vAlign w:val="center"/>
                </w:tcPr>
                <w:p w14:paraId="7B9733AD">
                  <w:pPr>
                    <w:pStyle w:val="56"/>
                    <w:rPr>
                      <w:color w:val="auto"/>
                      <w:sz w:val="21"/>
                      <w:highlight w:val="none"/>
                    </w:rPr>
                  </w:pPr>
                  <w:r>
                    <w:rPr>
                      <w:color w:val="auto"/>
                      <w:sz w:val="21"/>
                      <w:highlight w:val="none"/>
                    </w:rPr>
                    <w:t>dB（A）</w:t>
                  </w:r>
                </w:p>
              </w:tc>
              <w:tc>
                <w:tcPr>
                  <w:tcW w:w="1231" w:type="dxa"/>
                  <w:vAlign w:val="center"/>
                </w:tcPr>
                <w:p w14:paraId="72A67F5D">
                  <w:pPr>
                    <w:pStyle w:val="56"/>
                    <w:rPr>
                      <w:color w:val="auto"/>
                      <w:sz w:val="21"/>
                      <w:highlight w:val="none"/>
                    </w:rPr>
                  </w:pPr>
                  <w:r>
                    <w:rPr>
                      <w:color w:val="auto"/>
                      <w:sz w:val="21"/>
                      <w:highlight w:val="none"/>
                    </w:rPr>
                    <w:t>55</w:t>
                  </w:r>
                </w:p>
              </w:tc>
              <w:tc>
                <w:tcPr>
                  <w:tcW w:w="3564" w:type="dxa"/>
                  <w:vMerge w:val="continue"/>
                  <w:vAlign w:val="center"/>
                </w:tcPr>
                <w:p w14:paraId="7870F503">
                  <w:pPr>
                    <w:pStyle w:val="56"/>
                    <w:rPr>
                      <w:color w:val="auto"/>
                      <w:sz w:val="21"/>
                      <w:highlight w:val="none"/>
                    </w:rPr>
                  </w:pPr>
                </w:p>
              </w:tc>
            </w:tr>
            <w:tr w14:paraId="1E8FA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1084" w:type="dxa"/>
                  <w:vMerge w:val="restart"/>
                  <w:vAlign w:val="center"/>
                </w:tcPr>
                <w:p w14:paraId="2F61AA33">
                  <w:pPr>
                    <w:pStyle w:val="56"/>
                    <w:rPr>
                      <w:color w:val="auto"/>
                      <w:sz w:val="21"/>
                      <w:highlight w:val="none"/>
                    </w:rPr>
                  </w:pPr>
                  <w:r>
                    <w:rPr>
                      <w:rFonts w:hint="eastAsia"/>
                      <w:color w:val="auto"/>
                      <w:sz w:val="21"/>
                      <w:highlight w:val="none"/>
                    </w:rPr>
                    <w:t>运营期</w:t>
                  </w:r>
                </w:p>
              </w:tc>
              <w:tc>
                <w:tcPr>
                  <w:tcW w:w="1094" w:type="dxa"/>
                  <w:vAlign w:val="center"/>
                </w:tcPr>
                <w:p w14:paraId="50CB3B32">
                  <w:pPr>
                    <w:pStyle w:val="56"/>
                    <w:rPr>
                      <w:color w:val="auto"/>
                      <w:sz w:val="21"/>
                      <w:highlight w:val="none"/>
                    </w:rPr>
                  </w:pPr>
                  <w:r>
                    <w:rPr>
                      <w:color w:val="auto"/>
                      <w:sz w:val="21"/>
                      <w:highlight w:val="none"/>
                    </w:rPr>
                    <w:t>昼间</w:t>
                  </w:r>
                </w:p>
              </w:tc>
              <w:tc>
                <w:tcPr>
                  <w:tcW w:w="1093" w:type="dxa"/>
                  <w:vAlign w:val="center"/>
                </w:tcPr>
                <w:p w14:paraId="1FAAD0BF">
                  <w:pPr>
                    <w:pStyle w:val="56"/>
                    <w:rPr>
                      <w:color w:val="auto"/>
                      <w:sz w:val="21"/>
                      <w:highlight w:val="none"/>
                    </w:rPr>
                  </w:pPr>
                  <w:r>
                    <w:rPr>
                      <w:color w:val="auto"/>
                      <w:sz w:val="21"/>
                      <w:highlight w:val="none"/>
                    </w:rPr>
                    <w:t>dB（A）</w:t>
                  </w:r>
                </w:p>
              </w:tc>
              <w:tc>
                <w:tcPr>
                  <w:tcW w:w="1231" w:type="dxa"/>
                  <w:vAlign w:val="center"/>
                </w:tcPr>
                <w:p w14:paraId="7716F238">
                  <w:pPr>
                    <w:pStyle w:val="56"/>
                    <w:rPr>
                      <w:color w:val="auto"/>
                      <w:sz w:val="21"/>
                      <w:highlight w:val="none"/>
                    </w:rPr>
                  </w:pPr>
                  <w:r>
                    <w:rPr>
                      <w:color w:val="auto"/>
                      <w:sz w:val="21"/>
                      <w:highlight w:val="none"/>
                    </w:rPr>
                    <w:t>60</w:t>
                  </w:r>
                </w:p>
              </w:tc>
              <w:tc>
                <w:tcPr>
                  <w:tcW w:w="3564" w:type="dxa"/>
                  <w:vMerge w:val="restart"/>
                  <w:vAlign w:val="center"/>
                </w:tcPr>
                <w:p w14:paraId="46574F72">
                  <w:pPr>
                    <w:pStyle w:val="56"/>
                    <w:rPr>
                      <w:color w:val="auto"/>
                      <w:sz w:val="21"/>
                      <w:highlight w:val="none"/>
                    </w:rPr>
                  </w:pPr>
                  <w:r>
                    <w:rPr>
                      <w:color w:val="auto"/>
                      <w:sz w:val="21"/>
                      <w:highlight w:val="none"/>
                    </w:rPr>
                    <w:t>《工业企业厂界环境噪声排放标准》（GB12348</w:t>
                  </w:r>
                  <w:r>
                    <w:rPr>
                      <w:rFonts w:hint="eastAsia"/>
                      <w:color w:val="auto"/>
                      <w:sz w:val="21"/>
                      <w:highlight w:val="none"/>
                    </w:rPr>
                    <w:t>-</w:t>
                  </w:r>
                  <w:r>
                    <w:rPr>
                      <w:color w:val="auto"/>
                      <w:sz w:val="21"/>
                      <w:highlight w:val="none"/>
                    </w:rPr>
                    <w:t>2008）2类标准</w:t>
                  </w:r>
                </w:p>
              </w:tc>
            </w:tr>
            <w:tr w14:paraId="4227A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1084" w:type="dxa"/>
                  <w:vMerge w:val="continue"/>
                  <w:vAlign w:val="center"/>
                </w:tcPr>
                <w:p w14:paraId="07226B5C">
                  <w:pPr>
                    <w:pStyle w:val="56"/>
                    <w:rPr>
                      <w:color w:val="auto"/>
                      <w:sz w:val="21"/>
                      <w:highlight w:val="none"/>
                    </w:rPr>
                  </w:pPr>
                </w:p>
              </w:tc>
              <w:tc>
                <w:tcPr>
                  <w:tcW w:w="1094" w:type="dxa"/>
                  <w:vAlign w:val="center"/>
                </w:tcPr>
                <w:p w14:paraId="4E7D50A8">
                  <w:pPr>
                    <w:pStyle w:val="56"/>
                    <w:rPr>
                      <w:color w:val="auto"/>
                      <w:sz w:val="21"/>
                      <w:highlight w:val="none"/>
                    </w:rPr>
                  </w:pPr>
                  <w:r>
                    <w:rPr>
                      <w:color w:val="auto"/>
                      <w:sz w:val="21"/>
                      <w:highlight w:val="none"/>
                    </w:rPr>
                    <w:t>夜间</w:t>
                  </w:r>
                </w:p>
              </w:tc>
              <w:tc>
                <w:tcPr>
                  <w:tcW w:w="1093" w:type="dxa"/>
                  <w:vAlign w:val="center"/>
                </w:tcPr>
                <w:p w14:paraId="388C2BA0">
                  <w:pPr>
                    <w:pStyle w:val="56"/>
                    <w:rPr>
                      <w:color w:val="auto"/>
                      <w:sz w:val="21"/>
                      <w:highlight w:val="none"/>
                    </w:rPr>
                  </w:pPr>
                  <w:r>
                    <w:rPr>
                      <w:color w:val="auto"/>
                      <w:sz w:val="21"/>
                      <w:highlight w:val="none"/>
                    </w:rPr>
                    <w:t>dB（A）</w:t>
                  </w:r>
                </w:p>
              </w:tc>
              <w:tc>
                <w:tcPr>
                  <w:tcW w:w="1231" w:type="dxa"/>
                  <w:vAlign w:val="center"/>
                </w:tcPr>
                <w:p w14:paraId="747276DB">
                  <w:pPr>
                    <w:pStyle w:val="56"/>
                    <w:rPr>
                      <w:color w:val="auto"/>
                      <w:sz w:val="21"/>
                      <w:highlight w:val="none"/>
                    </w:rPr>
                  </w:pPr>
                  <w:r>
                    <w:rPr>
                      <w:color w:val="auto"/>
                      <w:sz w:val="21"/>
                      <w:highlight w:val="none"/>
                    </w:rPr>
                    <w:t>50</w:t>
                  </w:r>
                </w:p>
              </w:tc>
              <w:tc>
                <w:tcPr>
                  <w:tcW w:w="3564" w:type="dxa"/>
                  <w:vMerge w:val="continue"/>
                  <w:vAlign w:val="center"/>
                </w:tcPr>
                <w:p w14:paraId="6646B8AD">
                  <w:pPr>
                    <w:pStyle w:val="56"/>
                    <w:rPr>
                      <w:color w:val="auto"/>
                      <w:sz w:val="21"/>
                      <w:highlight w:val="none"/>
                    </w:rPr>
                  </w:pPr>
                </w:p>
              </w:tc>
            </w:tr>
          </w:tbl>
          <w:p w14:paraId="07557CB7">
            <w:pPr>
              <w:spacing w:before="120" w:beforeLines="50" w:line="360" w:lineRule="auto"/>
              <w:ind w:firstLine="482"/>
              <w:rPr>
                <w:b/>
                <w:sz w:val="24"/>
                <w:highlight w:val="none"/>
              </w:rPr>
            </w:pPr>
            <w:r>
              <w:rPr>
                <w:b/>
                <w:sz w:val="24"/>
                <w:highlight w:val="none"/>
              </w:rPr>
              <w:t>4．</w:t>
            </w:r>
            <w:r>
              <w:rPr>
                <w:rFonts w:hint="eastAsia"/>
                <w:b/>
                <w:sz w:val="24"/>
                <w:highlight w:val="none"/>
              </w:rPr>
              <w:t>固体废物控制标准</w:t>
            </w:r>
          </w:p>
          <w:p w14:paraId="4DFDFF36">
            <w:pPr>
              <w:snapToGrid w:val="0"/>
              <w:spacing w:line="360" w:lineRule="auto"/>
              <w:ind w:firstLine="480" w:firstLineChars="200"/>
              <w:rPr>
                <w:highlight w:val="none"/>
              </w:rPr>
            </w:pPr>
            <w:r>
              <w:rPr>
                <w:rFonts w:hint="eastAsia"/>
                <w:sz w:val="24"/>
                <w:highlight w:val="none"/>
              </w:rPr>
              <w:t>一般工业固体废物执行《一般工业固体废物贮存和填埋污染控制标准》（</w:t>
            </w:r>
            <w:r>
              <w:rPr>
                <w:sz w:val="24"/>
                <w:highlight w:val="none"/>
              </w:rPr>
              <w:t>GB18599-2020</w:t>
            </w:r>
            <w:r>
              <w:rPr>
                <w:rFonts w:hint="eastAsia"/>
                <w:sz w:val="24"/>
                <w:highlight w:val="none"/>
              </w:rPr>
              <w:t>）的相关规定。危险废物执行《危险废物贮存污染控制标准》（</w:t>
            </w:r>
            <w:r>
              <w:rPr>
                <w:sz w:val="24"/>
                <w:highlight w:val="none"/>
              </w:rPr>
              <w:t>GB18597-2023</w:t>
            </w:r>
            <w:r>
              <w:rPr>
                <w:rFonts w:hint="eastAsia"/>
                <w:sz w:val="24"/>
                <w:highlight w:val="none"/>
              </w:rPr>
              <w:t>）标准。</w:t>
            </w:r>
          </w:p>
        </w:tc>
      </w:tr>
      <w:tr w14:paraId="7CBCC2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vAlign w:val="center"/>
          </w:tcPr>
          <w:p w14:paraId="13497A7C">
            <w:pPr>
              <w:adjustRightInd w:val="0"/>
              <w:snapToGrid w:val="0"/>
              <w:jc w:val="center"/>
              <w:rPr>
                <w:rFonts w:ascii="宋体" w:hAnsi="宋体" w:cs="宋体"/>
                <w:kern w:val="0"/>
                <w:sz w:val="24"/>
                <w:highlight w:val="none"/>
              </w:rPr>
            </w:pPr>
            <w:r>
              <w:rPr>
                <w:rFonts w:hint="eastAsia" w:ascii="宋体" w:hAnsi="宋体" w:cs="宋体"/>
                <w:kern w:val="0"/>
                <w:sz w:val="24"/>
                <w:highlight w:val="none"/>
              </w:rPr>
              <w:t>总量</w:t>
            </w:r>
          </w:p>
          <w:p w14:paraId="04ECA790">
            <w:pPr>
              <w:adjustRightInd w:val="0"/>
              <w:snapToGrid w:val="0"/>
              <w:jc w:val="center"/>
              <w:rPr>
                <w:rFonts w:ascii="宋体" w:hAnsi="宋体" w:cs="宋体"/>
                <w:kern w:val="0"/>
                <w:sz w:val="24"/>
                <w:highlight w:val="none"/>
              </w:rPr>
            </w:pPr>
            <w:r>
              <w:rPr>
                <w:rFonts w:hint="eastAsia" w:ascii="宋体" w:hAnsi="宋体" w:cs="宋体"/>
                <w:kern w:val="0"/>
                <w:sz w:val="24"/>
                <w:highlight w:val="none"/>
              </w:rPr>
              <w:t>控制</w:t>
            </w:r>
          </w:p>
          <w:p w14:paraId="05E501DA">
            <w:pPr>
              <w:adjustRightInd w:val="0"/>
              <w:snapToGrid w:val="0"/>
              <w:jc w:val="center"/>
              <w:rPr>
                <w:rFonts w:ascii="宋体" w:hAnsi="宋体" w:cs="宋体"/>
                <w:kern w:val="0"/>
                <w:sz w:val="24"/>
                <w:highlight w:val="none"/>
              </w:rPr>
            </w:pPr>
            <w:r>
              <w:rPr>
                <w:rFonts w:hint="eastAsia" w:ascii="宋体" w:hAnsi="宋体" w:cs="宋体"/>
                <w:kern w:val="0"/>
                <w:sz w:val="24"/>
                <w:highlight w:val="none"/>
              </w:rPr>
              <w:t>指标</w:t>
            </w:r>
          </w:p>
        </w:tc>
        <w:tc>
          <w:tcPr>
            <w:tcW w:w="8190" w:type="dxa"/>
            <w:vAlign w:val="center"/>
          </w:tcPr>
          <w:p w14:paraId="2F8825EB">
            <w:pPr>
              <w:adjustRightInd w:val="0"/>
              <w:snapToGrid w:val="0"/>
              <w:spacing w:before="120" w:beforeLines="50" w:line="360" w:lineRule="auto"/>
              <w:ind w:firstLine="480" w:firstLineChars="200"/>
              <w:rPr>
                <w:sz w:val="24"/>
                <w:highlight w:val="none"/>
              </w:rPr>
            </w:pPr>
            <w:r>
              <w:rPr>
                <w:rFonts w:hint="eastAsia"/>
                <w:kern w:val="0"/>
                <w:sz w:val="24"/>
                <w:highlight w:val="none"/>
                <w:lang w:val="en-US" w:eastAsia="zh-CN"/>
              </w:rPr>
              <w:t>承德泓辉双合淀粉有限公司现有11t/h生物质锅炉及4t/h生物质沼气两用锅炉各1台，园区集中供热实施后，现有两台锅炉转为备用。因此，在薯类产品集中生产季以及集中供暖期等园区热源厂集中供热期间，企业所在片区均为集中供热，承德泓辉双合淀粉有限公司现有两台锅炉无法使用，导致沼气资源无法消纳，造成沼气资源浪费，因此本项目新增2t/h沼气锅炉对沼气进行资源化利用；不在园区供热期间，将采取11t/h生物质锅炉及4t/h生物质锅炉和2t/h沼气锅炉相结合的方式为本公司蛋白回收、污水处理站和生活提供热源</w:t>
            </w:r>
            <w:r>
              <w:rPr>
                <w:rFonts w:hint="eastAsia"/>
                <w:sz w:val="24"/>
                <w:highlight w:val="none"/>
              </w:rPr>
              <w:t>。</w:t>
            </w:r>
          </w:p>
          <w:p w14:paraId="1D25BC8B">
            <w:pPr>
              <w:snapToGrid w:val="0"/>
              <w:spacing w:line="360" w:lineRule="auto"/>
              <w:ind w:firstLine="480" w:firstLineChars="200"/>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根据</w:t>
            </w:r>
            <w:r>
              <w:rPr>
                <w:rFonts w:hint="default" w:ascii="Times New Roman" w:hAnsi="Times New Roman" w:cs="Times New Roman"/>
                <w:color w:val="auto"/>
                <w:sz w:val="24"/>
                <w:szCs w:val="24"/>
                <w:highlight w:val="none"/>
                <w:lang w:val="en-US" w:eastAsia="zh-CN"/>
              </w:rPr>
              <w:t>《承德泓辉双合淀粉有限公司环保污水处理工程提升扩建项目环境影响报告表》（围环评[2018]21号）</w:t>
            </w:r>
            <w:r>
              <w:rPr>
                <w:rFonts w:hint="eastAsia" w:ascii="Times New Roman" w:hAnsi="Times New Roman" w:cs="Times New Roman"/>
                <w:color w:val="auto"/>
                <w:sz w:val="24"/>
                <w:szCs w:val="24"/>
                <w:highlight w:val="none"/>
                <w:lang w:val="en-US" w:eastAsia="zh-CN"/>
              </w:rPr>
              <w:t>可知，现有2台锅炉污染物排放量为二氧化硫4.259t/a，氮氧化物3.651t/a，COD4.05t/a；</w:t>
            </w:r>
          </w:p>
          <w:p w14:paraId="3B183FFF">
            <w:pPr>
              <w:snapToGrid w:val="0"/>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2023年5月，企业编制了</w:t>
            </w:r>
            <w:r>
              <w:rPr>
                <w:rFonts w:hint="default" w:ascii="Times New Roman" w:hAnsi="Times New Roman" w:cs="Times New Roman"/>
                <w:color w:val="auto"/>
                <w:sz w:val="24"/>
                <w:szCs w:val="24"/>
                <w:highlight w:val="none"/>
                <w:lang w:val="en-US" w:eastAsia="zh-CN"/>
              </w:rPr>
              <w:t>《承德泓辉双合淀粉有限公司</w:t>
            </w:r>
            <w:r>
              <w:rPr>
                <w:rFonts w:hint="eastAsia" w:cs="Times New Roman"/>
                <w:color w:val="auto"/>
                <w:sz w:val="24"/>
                <w:szCs w:val="24"/>
                <w:highlight w:val="none"/>
                <w:lang w:val="en-US" w:eastAsia="zh-CN"/>
              </w:rPr>
              <w:t>排污权确权申请技术报告</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，该报告中</w:t>
            </w:r>
            <w:r>
              <w:rPr>
                <w:rFonts w:hint="default" w:ascii="Times New Roman" w:hAnsi="Times New Roman" w:cs="Times New Roman"/>
                <w:color w:val="auto"/>
                <w:sz w:val="24"/>
                <w:szCs w:val="24"/>
                <w:highlight w:val="none"/>
                <w:lang w:val="en-US" w:eastAsia="zh-CN"/>
              </w:rPr>
              <w:t>承德泓辉双合淀粉有限公司</w:t>
            </w:r>
            <w:r>
              <w:rPr>
                <w:rFonts w:hint="eastAsia" w:ascii="Times New Roman" w:hAnsi="Times New Roman" w:cs="Times New Roman"/>
                <w:color w:val="auto"/>
                <w:sz w:val="24"/>
                <w:szCs w:val="24"/>
                <w:highlight w:val="none"/>
                <w:lang w:val="en-US" w:eastAsia="zh-CN"/>
              </w:rPr>
              <w:t>现有2台锅炉污染物</w:t>
            </w:r>
            <w:r>
              <w:rPr>
                <w:rFonts w:hint="eastAsia" w:cs="Times New Roman"/>
                <w:color w:val="auto"/>
                <w:sz w:val="24"/>
                <w:szCs w:val="24"/>
                <w:highlight w:val="none"/>
                <w:lang w:val="en-US" w:eastAsia="zh-CN"/>
              </w:rPr>
              <w:t>确权</w:t>
            </w:r>
            <w:r>
              <w:rPr>
                <w:rFonts w:hint="eastAsia" w:ascii="Times New Roman" w:hAnsi="Times New Roman" w:cs="Times New Roman"/>
                <w:color w:val="auto"/>
                <w:sz w:val="24"/>
                <w:szCs w:val="24"/>
                <w:highlight w:val="none"/>
                <w:lang w:val="en-US" w:eastAsia="zh-CN"/>
              </w:rPr>
              <w:t>排放量为二氧化硫</w:t>
            </w:r>
            <w:r>
              <w:rPr>
                <w:rFonts w:hint="eastAsia" w:cs="Times New Roman"/>
                <w:color w:val="auto"/>
                <w:sz w:val="24"/>
                <w:szCs w:val="24"/>
                <w:highlight w:val="none"/>
                <w:lang w:val="en-US" w:eastAsia="zh-CN"/>
              </w:rPr>
              <w:t>1.438</w:t>
            </w:r>
            <w:r>
              <w:rPr>
                <w:rFonts w:hint="eastAsia" w:ascii="Times New Roman" w:hAnsi="Times New Roman" w:cs="Times New Roman"/>
                <w:color w:val="auto"/>
                <w:sz w:val="24"/>
                <w:szCs w:val="24"/>
                <w:highlight w:val="none"/>
                <w:lang w:val="en-US" w:eastAsia="zh-CN"/>
              </w:rPr>
              <w:t>t/a，氮氧化物</w:t>
            </w:r>
            <w:r>
              <w:rPr>
                <w:rFonts w:hint="eastAsia" w:cs="Times New Roman"/>
                <w:color w:val="auto"/>
                <w:sz w:val="24"/>
                <w:szCs w:val="24"/>
                <w:highlight w:val="none"/>
                <w:lang w:val="en-US" w:eastAsia="zh-CN"/>
              </w:rPr>
              <w:t>4.349</w:t>
            </w:r>
            <w:r>
              <w:rPr>
                <w:rFonts w:hint="eastAsia" w:ascii="Times New Roman" w:hAnsi="Times New Roman" w:cs="Times New Roman"/>
                <w:color w:val="auto"/>
                <w:sz w:val="24"/>
                <w:szCs w:val="24"/>
                <w:highlight w:val="none"/>
                <w:lang w:val="en-US" w:eastAsia="zh-CN"/>
              </w:rPr>
              <w:t>t/a，COD</w:t>
            </w:r>
            <w:r>
              <w:rPr>
                <w:rFonts w:hint="eastAsia" w:cs="Times New Roman"/>
                <w:color w:val="auto"/>
                <w:sz w:val="24"/>
                <w:szCs w:val="24"/>
                <w:highlight w:val="none"/>
                <w:lang w:val="en-US" w:eastAsia="zh-CN"/>
              </w:rPr>
              <w:t>4.12</w:t>
            </w:r>
            <w:r>
              <w:rPr>
                <w:rFonts w:hint="eastAsia" w:ascii="Times New Roman" w:hAnsi="Times New Roman" w:cs="Times New Roman"/>
                <w:color w:val="auto"/>
                <w:sz w:val="24"/>
                <w:szCs w:val="24"/>
                <w:highlight w:val="none"/>
                <w:lang w:val="en-US" w:eastAsia="zh-CN"/>
              </w:rPr>
              <w:t>t/a</w:t>
            </w:r>
            <w:r>
              <w:rPr>
                <w:rFonts w:hint="eastAsia" w:cs="Times New Roman"/>
                <w:color w:val="auto"/>
                <w:sz w:val="24"/>
                <w:szCs w:val="24"/>
                <w:highlight w:val="none"/>
                <w:lang w:val="en-US" w:eastAsia="zh-CN"/>
              </w:rPr>
              <w:t>。</w:t>
            </w:r>
          </w:p>
          <w:p w14:paraId="2DB03489">
            <w:pPr>
              <w:snapToGrid w:val="0"/>
              <w:spacing w:line="360" w:lineRule="auto"/>
              <w:ind w:firstLine="480" w:firstLineChars="200"/>
              <w:rPr>
                <w:rFonts w:hint="eastAsia" w:ascii="Times New Roman" w:hAnsi="Times New Roman" w:cs="Times New Roman"/>
                <w:color w:val="auto"/>
                <w:sz w:val="24"/>
                <w:szCs w:val="24"/>
                <w:highlight w:val="none"/>
                <w:lang w:val="en-US" w:eastAsia="zh-CN"/>
              </w:rPr>
            </w:pPr>
            <w:r>
              <w:rPr>
                <w:rFonts w:hint="eastAsia"/>
                <w:b w:val="0"/>
                <w:bCs/>
                <w:sz w:val="24"/>
                <w:highlight w:val="none"/>
                <w:lang w:val="en-US" w:eastAsia="zh-CN"/>
              </w:rPr>
              <w:t>本项目新增2t/h沼气锅炉一台，但未新增燃料，本项目新增污染物的总量为现有工程所减少的总量，因此总量未增加。</w:t>
            </w:r>
          </w:p>
          <w:p w14:paraId="266B219D">
            <w:pPr>
              <w:snapToGrid w:val="0"/>
              <w:spacing w:line="360" w:lineRule="auto"/>
              <w:ind w:firstLine="480" w:firstLineChars="200"/>
              <w:rPr>
                <w:rFonts w:hint="default" w:eastAsia="宋体"/>
                <w:b w:val="0"/>
                <w:bCs/>
                <w:sz w:val="24"/>
                <w:highlight w:val="none"/>
                <w:lang w:val="en-US" w:eastAsia="zh-CN"/>
              </w:rPr>
            </w:pPr>
            <w:r>
              <w:rPr>
                <w:rFonts w:hint="eastAsia" w:ascii="Times New Roman" w:hAnsi="Times New Roman" w:cs="Times New Roman"/>
                <w:color w:val="auto"/>
                <w:sz w:val="24"/>
                <w:szCs w:val="24"/>
                <w:highlight w:val="none"/>
                <w:lang w:val="en-US" w:eastAsia="zh-CN"/>
              </w:rPr>
              <w:t>本项目根据源强核算可知，2t/h沼气锅炉污染物排放量为二氧化硫0.069t/a，氮氧化物0.265t/a，COD0.011t/a；</w:t>
            </w:r>
          </w:p>
          <w:p w14:paraId="4915EE08">
            <w:pPr>
              <w:snapToGrid w:val="0"/>
              <w:spacing w:line="360" w:lineRule="auto"/>
              <w:ind w:firstLine="480" w:firstLineChars="200"/>
              <w:rPr>
                <w:rFonts w:hint="eastAsia" w:ascii="Times New Roman" w:hAnsi="Times New Roman" w:cs="Times New Roman"/>
                <w:b w:val="0"/>
                <w:bCs/>
                <w:color w:val="auto"/>
                <w:sz w:val="24"/>
                <w:szCs w:val="24"/>
                <w:highlight w:val="none"/>
                <w:lang w:val="en-US" w:eastAsia="zh-CN"/>
              </w:rPr>
            </w:pPr>
            <w:r>
              <w:rPr>
                <w:rFonts w:hint="eastAsia"/>
                <w:b w:val="0"/>
                <w:bCs/>
                <w:sz w:val="24"/>
                <w:highlight w:val="none"/>
                <w:lang w:val="en-US" w:eastAsia="zh-CN"/>
              </w:rPr>
              <w:t>锅炉废水不涉及氨氮的排放，本项目建成后全厂三台锅炉污染物“三本账”如下表</w:t>
            </w:r>
            <w:r>
              <w:rPr>
                <w:rFonts w:hint="eastAsia" w:ascii="Times New Roman" w:hAnsi="Times New Roman" w:cs="Times New Roman"/>
                <w:b w:val="0"/>
                <w:bCs/>
                <w:color w:val="auto"/>
                <w:sz w:val="24"/>
                <w:szCs w:val="24"/>
                <w:highlight w:val="none"/>
                <w:lang w:val="en-US" w:eastAsia="zh-CN"/>
              </w:rPr>
              <w:t>。</w:t>
            </w:r>
          </w:p>
          <w:p w14:paraId="315E570F">
            <w:pPr>
              <w:pStyle w:val="49"/>
              <w:numPr>
                <w:ilvl w:val="0"/>
                <w:numId w:val="10"/>
              </w:numPr>
              <w:spacing w:line="360" w:lineRule="auto"/>
              <w:rPr>
                <w:rFonts w:eastAsia="宋体"/>
                <w:b/>
                <w:highlight w:val="none"/>
              </w:rPr>
            </w:pPr>
            <w:r>
              <w:rPr>
                <w:rFonts w:hint="eastAsia" w:eastAsia="宋体"/>
                <w:b/>
                <w:highlight w:val="none"/>
              </w:rPr>
              <w:t xml:space="preserve"> 本项目</w:t>
            </w:r>
            <w:r>
              <w:rPr>
                <w:rFonts w:hint="eastAsia" w:eastAsia="宋体"/>
                <w:b/>
                <w:highlight w:val="none"/>
                <w:lang w:val="en-US" w:eastAsia="zh-CN"/>
              </w:rPr>
              <w:t>建成</w:t>
            </w:r>
            <w:r>
              <w:rPr>
                <w:rFonts w:hint="eastAsia" w:eastAsia="宋体"/>
                <w:b/>
                <w:highlight w:val="none"/>
              </w:rPr>
              <w:t>后</w:t>
            </w:r>
            <w:r>
              <w:rPr>
                <w:rFonts w:hint="eastAsia" w:eastAsia="宋体"/>
                <w:b/>
                <w:highlight w:val="none"/>
                <w:lang w:val="en-US" w:eastAsia="zh-CN"/>
              </w:rPr>
              <w:t>全厂锅炉污染物</w:t>
            </w:r>
            <w:r>
              <w:rPr>
                <w:rFonts w:hint="eastAsia" w:eastAsia="宋体"/>
                <w:b/>
                <w:highlight w:val="none"/>
              </w:rPr>
              <w:t>“三本账”一览表（单位：t/a）</w:t>
            </w:r>
          </w:p>
          <w:tbl>
            <w:tblPr>
              <w:tblStyle w:val="2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0"/>
              <w:gridCol w:w="1163"/>
              <w:gridCol w:w="1163"/>
              <w:gridCol w:w="1163"/>
              <w:gridCol w:w="1163"/>
              <w:gridCol w:w="1163"/>
              <w:gridCol w:w="1163"/>
            </w:tblGrid>
            <w:tr w14:paraId="17E19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pct"/>
                  <w:vAlign w:val="center"/>
                </w:tcPr>
                <w:p w14:paraId="64813B67">
                  <w:pPr>
                    <w:adjustRightInd w:val="0"/>
                    <w:snapToGrid w:val="0"/>
                    <w:spacing w:line="360" w:lineRule="auto"/>
                    <w:jc w:val="center"/>
                    <w:rPr>
                      <w:rFonts w:hint="default" w:ascii="Times New Roman" w:hAnsi="Times New Roman" w:cs="Times New Roman"/>
                      <w:b/>
                      <w:bCs/>
                      <w:color w:val="000000"/>
                      <w:sz w:val="21"/>
                      <w:szCs w:val="21"/>
                      <w:highlight w:val="none"/>
                      <w:vertAlign w:val="baseline"/>
                      <w:lang w:val="en-US" w:eastAsia="zh-CN"/>
                    </w:rPr>
                  </w:pPr>
                  <w:r>
                    <w:rPr>
                      <w:rFonts w:hint="eastAsia" w:ascii="Times New Roman" w:hAnsi="Times New Roman" w:cs="Times New Roman"/>
                      <w:b/>
                      <w:bCs/>
                      <w:color w:val="000000"/>
                      <w:sz w:val="21"/>
                      <w:szCs w:val="21"/>
                      <w:highlight w:val="none"/>
                      <w:vertAlign w:val="baseline"/>
                      <w:lang w:val="en-US" w:eastAsia="zh-CN"/>
                    </w:rPr>
                    <w:t>污染源</w:t>
                  </w:r>
                </w:p>
              </w:tc>
              <w:tc>
                <w:tcPr>
                  <w:tcW w:w="714" w:type="pct"/>
                  <w:vAlign w:val="center"/>
                </w:tcPr>
                <w:p w14:paraId="3E2AC188">
                  <w:pPr>
                    <w:adjustRightInd w:val="0"/>
                    <w:snapToGrid w:val="0"/>
                    <w:spacing w:line="360" w:lineRule="auto"/>
                    <w:jc w:val="center"/>
                    <w:rPr>
                      <w:rFonts w:hint="default" w:ascii="Times New Roman" w:hAnsi="Times New Roman" w:cs="Times New Roman"/>
                      <w:b/>
                      <w:bCs/>
                      <w:color w:val="000000"/>
                      <w:sz w:val="21"/>
                      <w:szCs w:val="21"/>
                      <w:highlight w:val="none"/>
                      <w:vertAlign w:val="baseline"/>
                      <w:lang w:val="en-US" w:eastAsia="zh-CN"/>
                    </w:rPr>
                  </w:pPr>
                  <w:r>
                    <w:rPr>
                      <w:rFonts w:hint="eastAsia" w:ascii="Times New Roman" w:hAnsi="Times New Roman" w:cs="Times New Roman"/>
                      <w:b/>
                      <w:bCs/>
                      <w:color w:val="000000"/>
                      <w:sz w:val="21"/>
                      <w:szCs w:val="21"/>
                      <w:highlight w:val="none"/>
                      <w:vertAlign w:val="baseline"/>
                      <w:lang w:val="en-US" w:eastAsia="zh-CN"/>
                    </w:rPr>
                    <w:t>污染物</w:t>
                  </w:r>
                </w:p>
              </w:tc>
              <w:tc>
                <w:tcPr>
                  <w:tcW w:w="714" w:type="pct"/>
                  <w:vAlign w:val="center"/>
                </w:tcPr>
                <w:p w14:paraId="28AABF76">
                  <w:pPr>
                    <w:adjustRightInd w:val="0"/>
                    <w:snapToGrid w:val="0"/>
                    <w:spacing w:line="360" w:lineRule="auto"/>
                    <w:jc w:val="center"/>
                    <w:rPr>
                      <w:rFonts w:hint="default" w:ascii="Times New Roman" w:hAnsi="Times New Roman" w:cs="Times New Roman"/>
                      <w:b/>
                      <w:bCs/>
                      <w:color w:val="000000"/>
                      <w:sz w:val="21"/>
                      <w:szCs w:val="21"/>
                      <w:highlight w:val="none"/>
                      <w:vertAlign w:val="baseline"/>
                      <w:lang w:val="en-US" w:eastAsia="zh-CN"/>
                    </w:rPr>
                  </w:pPr>
                  <w:r>
                    <w:rPr>
                      <w:rFonts w:hint="eastAsia" w:ascii="Times New Roman" w:hAnsi="Times New Roman" w:cs="Times New Roman"/>
                      <w:b/>
                      <w:bCs/>
                      <w:color w:val="000000"/>
                      <w:sz w:val="21"/>
                      <w:szCs w:val="21"/>
                      <w:highlight w:val="none"/>
                      <w:vertAlign w:val="baseline"/>
                      <w:lang w:val="en-US" w:eastAsia="zh-CN"/>
                    </w:rPr>
                    <w:t>现有工程排放量</w:t>
                  </w:r>
                </w:p>
              </w:tc>
              <w:tc>
                <w:tcPr>
                  <w:tcW w:w="714" w:type="pct"/>
                  <w:vAlign w:val="center"/>
                </w:tcPr>
                <w:p w14:paraId="3804DE96">
                  <w:pPr>
                    <w:adjustRightInd w:val="0"/>
                    <w:snapToGrid w:val="0"/>
                    <w:spacing w:line="360" w:lineRule="auto"/>
                    <w:jc w:val="center"/>
                    <w:rPr>
                      <w:rFonts w:hint="default" w:ascii="Times New Roman" w:hAnsi="Times New Roman" w:cs="Times New Roman"/>
                      <w:b/>
                      <w:bCs/>
                      <w:color w:val="000000"/>
                      <w:sz w:val="21"/>
                      <w:szCs w:val="21"/>
                      <w:highlight w:val="none"/>
                      <w:vertAlign w:val="baseline"/>
                      <w:lang w:val="en-US" w:eastAsia="zh-CN"/>
                    </w:rPr>
                  </w:pPr>
                  <w:r>
                    <w:rPr>
                      <w:rFonts w:hint="eastAsia" w:ascii="Times New Roman" w:hAnsi="Times New Roman" w:cs="Times New Roman"/>
                      <w:b/>
                      <w:bCs/>
                      <w:color w:val="000000"/>
                      <w:sz w:val="21"/>
                      <w:szCs w:val="21"/>
                      <w:highlight w:val="none"/>
                      <w:vertAlign w:val="baseline"/>
                      <w:lang w:val="en-US" w:eastAsia="zh-CN"/>
                    </w:rPr>
                    <w:t>本项目排放量</w:t>
                  </w:r>
                </w:p>
              </w:tc>
              <w:tc>
                <w:tcPr>
                  <w:tcW w:w="714" w:type="pct"/>
                  <w:vAlign w:val="center"/>
                </w:tcPr>
                <w:p w14:paraId="456D25DD">
                  <w:pPr>
                    <w:adjustRightInd w:val="0"/>
                    <w:snapToGrid w:val="0"/>
                    <w:spacing w:line="360" w:lineRule="auto"/>
                    <w:jc w:val="center"/>
                    <w:rPr>
                      <w:rFonts w:hint="default" w:ascii="Times New Roman" w:hAnsi="Times New Roman" w:cs="Times New Roman"/>
                      <w:b/>
                      <w:bCs/>
                      <w:color w:val="000000"/>
                      <w:sz w:val="21"/>
                      <w:szCs w:val="21"/>
                      <w:highlight w:val="none"/>
                      <w:vertAlign w:val="baseline"/>
                      <w:lang w:val="en-US" w:eastAsia="zh-CN"/>
                    </w:rPr>
                  </w:pPr>
                  <w:r>
                    <w:rPr>
                      <w:rFonts w:hint="eastAsia" w:ascii="Times New Roman" w:hAnsi="Times New Roman" w:cs="Times New Roman"/>
                      <w:b/>
                      <w:bCs/>
                      <w:color w:val="000000"/>
                      <w:sz w:val="21"/>
                      <w:szCs w:val="21"/>
                      <w:highlight w:val="none"/>
                      <w:vertAlign w:val="baseline"/>
                      <w:lang w:val="en-US" w:eastAsia="zh-CN"/>
                    </w:rPr>
                    <w:t>以新带老削减量</w:t>
                  </w:r>
                </w:p>
              </w:tc>
              <w:tc>
                <w:tcPr>
                  <w:tcW w:w="714" w:type="pct"/>
                  <w:vAlign w:val="center"/>
                </w:tcPr>
                <w:p w14:paraId="1C235AC6">
                  <w:pPr>
                    <w:adjustRightInd w:val="0"/>
                    <w:snapToGrid w:val="0"/>
                    <w:spacing w:line="360" w:lineRule="auto"/>
                    <w:jc w:val="center"/>
                    <w:rPr>
                      <w:rFonts w:hint="default" w:ascii="Times New Roman" w:hAnsi="Times New Roman" w:cs="Times New Roman"/>
                      <w:b/>
                      <w:bCs/>
                      <w:color w:val="000000"/>
                      <w:sz w:val="21"/>
                      <w:szCs w:val="21"/>
                      <w:highlight w:val="none"/>
                      <w:vertAlign w:val="baseline"/>
                      <w:lang w:val="en-US" w:eastAsia="zh-CN"/>
                    </w:rPr>
                  </w:pPr>
                  <w:r>
                    <w:rPr>
                      <w:rFonts w:hint="eastAsia" w:ascii="Times New Roman" w:hAnsi="Times New Roman" w:cs="Times New Roman"/>
                      <w:b/>
                      <w:bCs/>
                      <w:color w:val="000000"/>
                      <w:sz w:val="21"/>
                      <w:szCs w:val="21"/>
                      <w:highlight w:val="none"/>
                      <w:vertAlign w:val="baseline"/>
                      <w:lang w:val="en-US" w:eastAsia="zh-CN"/>
                    </w:rPr>
                    <w:t>排放增减量</w:t>
                  </w:r>
                </w:p>
              </w:tc>
              <w:tc>
                <w:tcPr>
                  <w:tcW w:w="714" w:type="pct"/>
                  <w:vAlign w:val="center"/>
                </w:tcPr>
                <w:p w14:paraId="31ACD2A8">
                  <w:pPr>
                    <w:adjustRightInd w:val="0"/>
                    <w:snapToGrid w:val="0"/>
                    <w:spacing w:line="360" w:lineRule="auto"/>
                    <w:jc w:val="center"/>
                    <w:rPr>
                      <w:rFonts w:hint="default" w:ascii="Times New Roman" w:hAnsi="Times New Roman" w:cs="Times New Roman"/>
                      <w:b/>
                      <w:bCs/>
                      <w:color w:val="000000"/>
                      <w:sz w:val="21"/>
                      <w:szCs w:val="21"/>
                      <w:highlight w:val="none"/>
                      <w:vertAlign w:val="baseline"/>
                      <w:lang w:val="en-US" w:eastAsia="zh-CN"/>
                    </w:rPr>
                  </w:pPr>
                  <w:r>
                    <w:rPr>
                      <w:rFonts w:hint="eastAsia" w:ascii="Times New Roman" w:hAnsi="Times New Roman" w:cs="Times New Roman"/>
                      <w:b/>
                      <w:bCs/>
                      <w:color w:val="000000"/>
                      <w:sz w:val="21"/>
                      <w:szCs w:val="21"/>
                      <w:highlight w:val="none"/>
                      <w:vertAlign w:val="baseline"/>
                      <w:lang w:val="en-US" w:eastAsia="zh-CN"/>
                    </w:rPr>
                    <w:t>全厂最终排放量</w:t>
                  </w:r>
                </w:p>
              </w:tc>
            </w:tr>
            <w:tr w14:paraId="7AC3C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pct"/>
                  <w:vMerge w:val="restart"/>
                  <w:vAlign w:val="center"/>
                </w:tcPr>
                <w:p w14:paraId="48A0D2DE">
                  <w:pPr>
                    <w:adjustRightInd w:val="0"/>
                    <w:snapToGrid w:val="0"/>
                    <w:spacing w:line="360" w:lineRule="auto"/>
                    <w:jc w:val="center"/>
                    <w:rPr>
                      <w:rFonts w:hint="default" w:ascii="Times New Roman" w:hAnsi="Times New Roman" w:cs="Times New Roman"/>
                      <w:color w:val="000000"/>
                      <w:sz w:val="21"/>
                      <w:szCs w:val="21"/>
                      <w:highlight w:val="none"/>
                      <w:vertAlign w:val="baseline"/>
                      <w:lang w:val="en-US" w:eastAsia="zh-CN"/>
                    </w:rPr>
                  </w:pPr>
                  <w:r>
                    <w:rPr>
                      <w:rFonts w:hint="eastAsia" w:ascii="Times New Roman" w:hAnsi="Times New Roman" w:cs="Times New Roman"/>
                      <w:color w:val="000000"/>
                      <w:sz w:val="21"/>
                      <w:szCs w:val="21"/>
                      <w:highlight w:val="none"/>
                      <w:vertAlign w:val="baseline"/>
                      <w:lang w:val="en-US" w:eastAsia="zh-CN"/>
                    </w:rPr>
                    <w:t>废气</w:t>
                  </w:r>
                </w:p>
              </w:tc>
              <w:tc>
                <w:tcPr>
                  <w:tcW w:w="714" w:type="pct"/>
                  <w:shd w:val="clear" w:color="auto" w:fill="auto"/>
                  <w:vAlign w:val="center"/>
                </w:tcPr>
                <w:p w14:paraId="4C2B9CF6">
                  <w:pPr>
                    <w:adjustRightInd w:val="0"/>
                    <w:snapToGrid w:val="0"/>
                    <w:spacing w:line="360" w:lineRule="auto"/>
                    <w:jc w:val="center"/>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ascii="Times New Roman" w:hAnsi="Times New Roman" w:cs="Times New Roman"/>
                      <w:color w:val="000000"/>
                      <w:sz w:val="21"/>
                      <w:szCs w:val="21"/>
                      <w:highlight w:val="none"/>
                      <w:vertAlign w:val="baseline"/>
                      <w:lang w:val="en-US" w:eastAsia="zh-CN"/>
                    </w:rPr>
                    <w:t>二氧化硫</w:t>
                  </w:r>
                </w:p>
              </w:tc>
              <w:tc>
                <w:tcPr>
                  <w:tcW w:w="714" w:type="pct"/>
                  <w:shd w:val="clear" w:color="auto" w:fill="auto"/>
                  <w:vAlign w:val="center"/>
                </w:tcPr>
                <w:p w14:paraId="3B76D8F4">
                  <w:pPr>
                    <w:adjustRightInd w:val="0"/>
                    <w:snapToGrid w:val="0"/>
                    <w:spacing w:line="360" w:lineRule="auto"/>
                    <w:jc w:val="center"/>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sz w:val="21"/>
                      <w:szCs w:val="21"/>
                      <w:highlight w:val="none"/>
                      <w:vertAlign w:val="baseline"/>
                      <w:lang w:val="en-US" w:eastAsia="zh-CN"/>
                    </w:rPr>
                    <w:t>1.438</w:t>
                  </w:r>
                </w:p>
              </w:tc>
              <w:tc>
                <w:tcPr>
                  <w:tcW w:w="714" w:type="pct"/>
                  <w:shd w:val="clear" w:color="auto" w:fill="auto"/>
                  <w:vAlign w:val="center"/>
                </w:tcPr>
                <w:p w14:paraId="0BE35333">
                  <w:pPr>
                    <w:adjustRightInd w:val="0"/>
                    <w:snapToGrid w:val="0"/>
                    <w:spacing w:line="360" w:lineRule="auto"/>
                    <w:jc w:val="center"/>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kern w:val="2"/>
                      <w:sz w:val="21"/>
                      <w:szCs w:val="21"/>
                      <w:highlight w:val="none"/>
                      <w:vertAlign w:val="baseline"/>
                      <w:lang w:val="en-US" w:eastAsia="zh-CN" w:bidi="ar-SA"/>
                    </w:rPr>
                    <w:t>0.069</w:t>
                  </w:r>
                </w:p>
              </w:tc>
              <w:tc>
                <w:tcPr>
                  <w:tcW w:w="714" w:type="pct"/>
                  <w:shd w:val="clear" w:color="auto" w:fill="auto"/>
                  <w:vAlign w:val="center"/>
                </w:tcPr>
                <w:p w14:paraId="5AC0B3BB">
                  <w:pPr>
                    <w:adjustRightInd w:val="0"/>
                    <w:snapToGrid w:val="0"/>
                    <w:spacing w:line="360" w:lineRule="auto"/>
                    <w:jc w:val="center"/>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sz w:val="21"/>
                      <w:szCs w:val="21"/>
                      <w:highlight w:val="none"/>
                      <w:vertAlign w:val="baseline"/>
                      <w:lang w:val="en-US" w:eastAsia="zh-CN"/>
                    </w:rPr>
                    <w:t>-</w:t>
                  </w:r>
                  <w:r>
                    <w:rPr>
                      <w:rFonts w:hint="eastAsia" w:ascii="Times New Roman" w:hAnsi="Times New Roman" w:cs="Times New Roman"/>
                      <w:color w:val="000000"/>
                      <w:sz w:val="21"/>
                      <w:szCs w:val="21"/>
                      <w:highlight w:val="none"/>
                      <w:vertAlign w:val="baseline"/>
                      <w:lang w:val="en-US" w:eastAsia="zh-CN"/>
                    </w:rPr>
                    <w:t>0.0</w:t>
                  </w:r>
                  <w:r>
                    <w:rPr>
                      <w:rFonts w:hint="eastAsia" w:cs="Times New Roman"/>
                      <w:color w:val="000000"/>
                      <w:sz w:val="21"/>
                      <w:szCs w:val="21"/>
                      <w:highlight w:val="none"/>
                      <w:vertAlign w:val="baseline"/>
                      <w:lang w:val="en-US" w:eastAsia="zh-CN"/>
                    </w:rPr>
                    <w:t>69</w:t>
                  </w:r>
                </w:p>
              </w:tc>
              <w:tc>
                <w:tcPr>
                  <w:tcW w:w="714" w:type="pct"/>
                  <w:shd w:val="clear" w:color="auto" w:fill="auto"/>
                  <w:vAlign w:val="center"/>
                </w:tcPr>
                <w:p w14:paraId="7D80ED63">
                  <w:pPr>
                    <w:adjustRightInd w:val="0"/>
                    <w:snapToGrid w:val="0"/>
                    <w:spacing w:line="360" w:lineRule="auto"/>
                    <w:jc w:val="center"/>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sz w:val="21"/>
                      <w:szCs w:val="21"/>
                      <w:highlight w:val="none"/>
                      <w:vertAlign w:val="baseline"/>
                      <w:lang w:val="en-US" w:eastAsia="zh-CN"/>
                    </w:rPr>
                    <w:t>-</w:t>
                  </w:r>
                  <w:r>
                    <w:rPr>
                      <w:rFonts w:hint="eastAsia" w:ascii="Times New Roman" w:hAnsi="Times New Roman" w:cs="Times New Roman"/>
                      <w:color w:val="000000"/>
                      <w:sz w:val="21"/>
                      <w:szCs w:val="21"/>
                      <w:highlight w:val="none"/>
                      <w:vertAlign w:val="baseline"/>
                      <w:lang w:val="en-US" w:eastAsia="zh-CN"/>
                    </w:rPr>
                    <w:t>0.0</w:t>
                  </w:r>
                  <w:r>
                    <w:rPr>
                      <w:rFonts w:hint="eastAsia" w:cs="Times New Roman"/>
                      <w:color w:val="000000"/>
                      <w:sz w:val="21"/>
                      <w:szCs w:val="21"/>
                      <w:highlight w:val="none"/>
                      <w:vertAlign w:val="baseline"/>
                      <w:lang w:val="en-US" w:eastAsia="zh-CN"/>
                    </w:rPr>
                    <w:t>69</w:t>
                  </w:r>
                </w:p>
              </w:tc>
              <w:tc>
                <w:tcPr>
                  <w:tcW w:w="714" w:type="pct"/>
                  <w:shd w:val="clear" w:color="auto" w:fill="auto"/>
                  <w:vAlign w:val="center"/>
                </w:tcPr>
                <w:p w14:paraId="2D6FFD3A">
                  <w:pPr>
                    <w:adjustRightInd w:val="0"/>
                    <w:snapToGrid w:val="0"/>
                    <w:spacing w:line="360" w:lineRule="auto"/>
                    <w:jc w:val="center"/>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sz w:val="21"/>
                      <w:szCs w:val="21"/>
                      <w:highlight w:val="none"/>
                      <w:vertAlign w:val="baseline"/>
                      <w:lang w:val="en-US" w:eastAsia="zh-CN"/>
                    </w:rPr>
                    <w:t>1.438</w:t>
                  </w:r>
                </w:p>
              </w:tc>
            </w:tr>
            <w:tr w14:paraId="580A1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12" w:type="pct"/>
                  <w:vMerge w:val="continue"/>
                  <w:vAlign w:val="center"/>
                </w:tcPr>
                <w:p w14:paraId="04C33129">
                  <w:pPr>
                    <w:adjustRightInd w:val="0"/>
                    <w:snapToGrid w:val="0"/>
                    <w:spacing w:line="360" w:lineRule="auto"/>
                    <w:jc w:val="center"/>
                    <w:rPr>
                      <w:rFonts w:hint="eastAsia" w:ascii="Times New Roman" w:hAnsi="Times New Roman" w:cs="Times New Roman"/>
                      <w:color w:val="000000"/>
                      <w:sz w:val="21"/>
                      <w:szCs w:val="21"/>
                      <w:highlight w:val="none"/>
                      <w:vertAlign w:val="baseline"/>
                      <w:lang w:val="en-US" w:eastAsia="zh-CN"/>
                    </w:rPr>
                  </w:pPr>
                </w:p>
              </w:tc>
              <w:tc>
                <w:tcPr>
                  <w:tcW w:w="714" w:type="pct"/>
                  <w:shd w:val="clear" w:color="auto" w:fill="auto"/>
                  <w:vAlign w:val="center"/>
                </w:tcPr>
                <w:p w14:paraId="6E6832B4">
                  <w:pPr>
                    <w:adjustRightInd w:val="0"/>
                    <w:snapToGrid w:val="0"/>
                    <w:spacing w:line="360" w:lineRule="auto"/>
                    <w:jc w:val="center"/>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ascii="Times New Roman" w:hAnsi="Times New Roman" w:cs="Times New Roman"/>
                      <w:color w:val="000000"/>
                      <w:sz w:val="21"/>
                      <w:szCs w:val="21"/>
                      <w:highlight w:val="none"/>
                      <w:vertAlign w:val="baseline"/>
                      <w:lang w:val="en-US" w:eastAsia="zh-CN"/>
                    </w:rPr>
                    <w:t>氮氧化物</w:t>
                  </w:r>
                </w:p>
              </w:tc>
              <w:tc>
                <w:tcPr>
                  <w:tcW w:w="714" w:type="pct"/>
                  <w:shd w:val="clear" w:color="auto" w:fill="auto"/>
                  <w:vAlign w:val="center"/>
                </w:tcPr>
                <w:p w14:paraId="083CD6BD">
                  <w:pPr>
                    <w:adjustRightInd w:val="0"/>
                    <w:snapToGrid w:val="0"/>
                    <w:spacing w:line="360" w:lineRule="auto"/>
                    <w:jc w:val="center"/>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kern w:val="2"/>
                      <w:sz w:val="21"/>
                      <w:szCs w:val="21"/>
                      <w:highlight w:val="none"/>
                      <w:vertAlign w:val="baseline"/>
                      <w:lang w:val="en-US" w:eastAsia="zh-CN" w:bidi="ar-SA"/>
                    </w:rPr>
                    <w:t>4.349</w:t>
                  </w:r>
                </w:p>
              </w:tc>
              <w:tc>
                <w:tcPr>
                  <w:tcW w:w="714" w:type="pct"/>
                  <w:shd w:val="clear" w:color="auto" w:fill="auto"/>
                  <w:vAlign w:val="center"/>
                </w:tcPr>
                <w:p w14:paraId="06AB4736">
                  <w:pPr>
                    <w:adjustRightInd w:val="0"/>
                    <w:snapToGrid w:val="0"/>
                    <w:spacing w:line="360" w:lineRule="auto"/>
                    <w:jc w:val="center"/>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kern w:val="2"/>
                      <w:sz w:val="21"/>
                      <w:szCs w:val="21"/>
                      <w:highlight w:val="none"/>
                      <w:vertAlign w:val="baseline"/>
                      <w:lang w:val="en-US" w:eastAsia="zh-CN" w:bidi="ar-SA"/>
                    </w:rPr>
                    <w:t>0.265</w:t>
                  </w:r>
                </w:p>
              </w:tc>
              <w:tc>
                <w:tcPr>
                  <w:tcW w:w="714" w:type="pct"/>
                  <w:shd w:val="clear" w:color="auto" w:fill="auto"/>
                  <w:vAlign w:val="center"/>
                </w:tcPr>
                <w:p w14:paraId="1CCF3EC2">
                  <w:pPr>
                    <w:adjustRightInd w:val="0"/>
                    <w:snapToGrid w:val="0"/>
                    <w:spacing w:line="360" w:lineRule="auto"/>
                    <w:jc w:val="center"/>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sz w:val="21"/>
                      <w:szCs w:val="21"/>
                      <w:highlight w:val="none"/>
                      <w:vertAlign w:val="baseline"/>
                      <w:lang w:val="en-US" w:eastAsia="zh-CN"/>
                    </w:rPr>
                    <w:t>-</w:t>
                  </w:r>
                  <w:r>
                    <w:rPr>
                      <w:rFonts w:hint="eastAsia" w:ascii="Times New Roman" w:hAnsi="Times New Roman" w:cs="Times New Roman"/>
                      <w:color w:val="000000"/>
                      <w:sz w:val="21"/>
                      <w:szCs w:val="21"/>
                      <w:highlight w:val="none"/>
                      <w:vertAlign w:val="baseline"/>
                      <w:lang w:val="en-US" w:eastAsia="zh-CN"/>
                    </w:rPr>
                    <w:t>0.</w:t>
                  </w:r>
                  <w:r>
                    <w:rPr>
                      <w:rFonts w:hint="eastAsia" w:cs="Times New Roman"/>
                      <w:color w:val="000000"/>
                      <w:sz w:val="21"/>
                      <w:szCs w:val="21"/>
                      <w:highlight w:val="none"/>
                      <w:vertAlign w:val="baseline"/>
                      <w:lang w:val="en-US" w:eastAsia="zh-CN"/>
                    </w:rPr>
                    <w:t>265</w:t>
                  </w:r>
                </w:p>
              </w:tc>
              <w:tc>
                <w:tcPr>
                  <w:tcW w:w="714" w:type="pct"/>
                  <w:shd w:val="clear" w:color="auto" w:fill="auto"/>
                  <w:vAlign w:val="center"/>
                </w:tcPr>
                <w:p w14:paraId="200A29E9">
                  <w:pPr>
                    <w:adjustRightInd w:val="0"/>
                    <w:snapToGrid w:val="0"/>
                    <w:spacing w:line="360" w:lineRule="auto"/>
                    <w:jc w:val="center"/>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sz w:val="21"/>
                      <w:szCs w:val="21"/>
                      <w:highlight w:val="none"/>
                      <w:vertAlign w:val="baseline"/>
                      <w:lang w:val="en-US" w:eastAsia="zh-CN"/>
                    </w:rPr>
                    <w:t>-</w:t>
                  </w:r>
                  <w:r>
                    <w:rPr>
                      <w:rFonts w:hint="eastAsia" w:ascii="Times New Roman" w:hAnsi="Times New Roman" w:cs="Times New Roman"/>
                      <w:color w:val="000000"/>
                      <w:sz w:val="21"/>
                      <w:szCs w:val="21"/>
                      <w:highlight w:val="none"/>
                      <w:vertAlign w:val="baseline"/>
                      <w:lang w:val="en-US" w:eastAsia="zh-CN"/>
                    </w:rPr>
                    <w:t>0.</w:t>
                  </w:r>
                  <w:r>
                    <w:rPr>
                      <w:rFonts w:hint="eastAsia" w:cs="Times New Roman"/>
                      <w:color w:val="000000"/>
                      <w:sz w:val="21"/>
                      <w:szCs w:val="21"/>
                      <w:highlight w:val="none"/>
                      <w:vertAlign w:val="baseline"/>
                      <w:lang w:val="en-US" w:eastAsia="zh-CN"/>
                    </w:rPr>
                    <w:t>265</w:t>
                  </w:r>
                </w:p>
              </w:tc>
              <w:tc>
                <w:tcPr>
                  <w:tcW w:w="714" w:type="pct"/>
                  <w:shd w:val="clear" w:color="auto" w:fill="auto"/>
                  <w:vAlign w:val="center"/>
                </w:tcPr>
                <w:p w14:paraId="4E247739">
                  <w:pPr>
                    <w:adjustRightInd w:val="0"/>
                    <w:snapToGrid w:val="0"/>
                    <w:spacing w:line="360" w:lineRule="auto"/>
                    <w:jc w:val="center"/>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kern w:val="2"/>
                      <w:sz w:val="21"/>
                      <w:szCs w:val="21"/>
                      <w:highlight w:val="none"/>
                      <w:vertAlign w:val="baseline"/>
                      <w:lang w:val="en-US" w:eastAsia="zh-CN" w:bidi="ar-SA"/>
                    </w:rPr>
                    <w:t>4.349</w:t>
                  </w:r>
                </w:p>
              </w:tc>
            </w:tr>
            <w:tr w14:paraId="76392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pct"/>
                  <w:vAlign w:val="center"/>
                </w:tcPr>
                <w:p w14:paraId="5CF57176">
                  <w:pPr>
                    <w:adjustRightInd w:val="0"/>
                    <w:snapToGrid w:val="0"/>
                    <w:spacing w:line="360" w:lineRule="auto"/>
                    <w:jc w:val="center"/>
                    <w:rPr>
                      <w:rFonts w:hint="default" w:ascii="Times New Roman" w:hAnsi="Times New Roman" w:cs="Times New Roman"/>
                      <w:color w:val="000000"/>
                      <w:sz w:val="21"/>
                      <w:szCs w:val="21"/>
                      <w:highlight w:val="none"/>
                      <w:vertAlign w:val="baseline"/>
                      <w:lang w:val="en-US" w:eastAsia="zh-CN"/>
                    </w:rPr>
                  </w:pPr>
                  <w:r>
                    <w:rPr>
                      <w:rFonts w:hint="eastAsia" w:ascii="Times New Roman" w:hAnsi="Times New Roman" w:cs="Times New Roman"/>
                      <w:color w:val="000000"/>
                      <w:sz w:val="21"/>
                      <w:szCs w:val="21"/>
                      <w:highlight w:val="none"/>
                      <w:vertAlign w:val="baseline"/>
                      <w:lang w:val="en-US" w:eastAsia="zh-CN"/>
                    </w:rPr>
                    <w:t>废水</w:t>
                  </w:r>
                </w:p>
              </w:tc>
              <w:tc>
                <w:tcPr>
                  <w:tcW w:w="714" w:type="pct"/>
                  <w:vAlign w:val="center"/>
                </w:tcPr>
                <w:p w14:paraId="0DECB7CD">
                  <w:pPr>
                    <w:adjustRightInd w:val="0"/>
                    <w:snapToGrid w:val="0"/>
                    <w:spacing w:line="360" w:lineRule="auto"/>
                    <w:jc w:val="center"/>
                    <w:rPr>
                      <w:rFonts w:hint="default" w:ascii="Times New Roman" w:hAnsi="Times New Roman" w:cs="Times New Roman"/>
                      <w:color w:val="000000"/>
                      <w:sz w:val="21"/>
                      <w:szCs w:val="21"/>
                      <w:highlight w:val="none"/>
                      <w:vertAlign w:val="baseline"/>
                      <w:lang w:val="en-US" w:eastAsia="zh-CN"/>
                    </w:rPr>
                  </w:pPr>
                  <w:r>
                    <w:rPr>
                      <w:rFonts w:hint="eastAsia" w:ascii="Times New Roman" w:hAnsi="Times New Roman" w:cs="Times New Roman"/>
                      <w:color w:val="000000"/>
                      <w:sz w:val="21"/>
                      <w:szCs w:val="21"/>
                      <w:highlight w:val="none"/>
                      <w:vertAlign w:val="baseline"/>
                      <w:lang w:val="en-US" w:eastAsia="zh-CN"/>
                    </w:rPr>
                    <w:t>COD</w:t>
                  </w:r>
                </w:p>
              </w:tc>
              <w:tc>
                <w:tcPr>
                  <w:tcW w:w="714" w:type="pct"/>
                  <w:vAlign w:val="center"/>
                </w:tcPr>
                <w:p w14:paraId="6831EF8F">
                  <w:pPr>
                    <w:adjustRightInd w:val="0"/>
                    <w:snapToGrid w:val="0"/>
                    <w:spacing w:line="360" w:lineRule="auto"/>
                    <w:jc w:val="center"/>
                    <w:rPr>
                      <w:rFonts w:hint="default" w:ascii="Times New Roman" w:hAnsi="Times New Roman" w:cs="Times New Roman"/>
                      <w:color w:val="000000"/>
                      <w:sz w:val="21"/>
                      <w:szCs w:val="21"/>
                      <w:highlight w:val="none"/>
                      <w:vertAlign w:val="baseline"/>
                      <w:lang w:val="en-US" w:eastAsia="zh-CN"/>
                    </w:rPr>
                  </w:pPr>
                  <w:r>
                    <w:rPr>
                      <w:rFonts w:hint="eastAsia" w:cs="Times New Roman"/>
                      <w:color w:val="000000"/>
                      <w:sz w:val="21"/>
                      <w:szCs w:val="21"/>
                      <w:highlight w:val="none"/>
                      <w:vertAlign w:val="baseline"/>
                      <w:lang w:val="en-US" w:eastAsia="zh-CN"/>
                    </w:rPr>
                    <w:t>4.12</w:t>
                  </w:r>
                </w:p>
              </w:tc>
              <w:tc>
                <w:tcPr>
                  <w:tcW w:w="714" w:type="pct"/>
                  <w:vAlign w:val="center"/>
                </w:tcPr>
                <w:p w14:paraId="30E4D741">
                  <w:pPr>
                    <w:adjustRightInd w:val="0"/>
                    <w:snapToGrid w:val="0"/>
                    <w:spacing w:line="360" w:lineRule="auto"/>
                    <w:jc w:val="center"/>
                    <w:rPr>
                      <w:rFonts w:hint="default" w:ascii="Times New Roman" w:hAnsi="Times New Roman" w:cs="Times New Roman"/>
                      <w:color w:val="000000"/>
                      <w:sz w:val="21"/>
                      <w:szCs w:val="21"/>
                      <w:highlight w:val="none"/>
                      <w:vertAlign w:val="baseline"/>
                      <w:lang w:val="en-US" w:eastAsia="zh-CN"/>
                    </w:rPr>
                  </w:pPr>
                  <w:r>
                    <w:rPr>
                      <w:rFonts w:hint="eastAsia" w:cs="Times New Roman"/>
                      <w:color w:val="000000"/>
                      <w:sz w:val="21"/>
                      <w:szCs w:val="21"/>
                      <w:highlight w:val="none"/>
                      <w:vertAlign w:val="baseline"/>
                      <w:lang w:val="en-US" w:eastAsia="zh-CN"/>
                    </w:rPr>
                    <w:t>0.011</w:t>
                  </w:r>
                </w:p>
              </w:tc>
              <w:tc>
                <w:tcPr>
                  <w:tcW w:w="714" w:type="pct"/>
                  <w:shd w:val="clear" w:color="auto" w:fill="auto"/>
                  <w:vAlign w:val="center"/>
                </w:tcPr>
                <w:p w14:paraId="18653465">
                  <w:pPr>
                    <w:adjustRightInd w:val="0"/>
                    <w:snapToGrid w:val="0"/>
                    <w:spacing w:line="360" w:lineRule="auto"/>
                    <w:jc w:val="center"/>
                    <w:rPr>
                      <w:rFonts w:hint="eastAsia"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sz w:val="21"/>
                      <w:szCs w:val="21"/>
                      <w:highlight w:val="none"/>
                      <w:vertAlign w:val="baseline"/>
                      <w:lang w:val="en-US" w:eastAsia="zh-CN"/>
                    </w:rPr>
                    <w:t>-</w:t>
                  </w:r>
                  <w:r>
                    <w:rPr>
                      <w:rFonts w:hint="eastAsia" w:ascii="Times New Roman" w:hAnsi="Times New Roman" w:cs="Times New Roman"/>
                      <w:color w:val="000000"/>
                      <w:sz w:val="21"/>
                      <w:szCs w:val="21"/>
                      <w:highlight w:val="none"/>
                      <w:vertAlign w:val="baseline"/>
                      <w:lang w:val="en-US" w:eastAsia="zh-CN"/>
                    </w:rPr>
                    <w:t>0.</w:t>
                  </w:r>
                  <w:r>
                    <w:rPr>
                      <w:rFonts w:hint="eastAsia" w:cs="Times New Roman"/>
                      <w:color w:val="000000"/>
                      <w:sz w:val="21"/>
                      <w:szCs w:val="21"/>
                      <w:highlight w:val="none"/>
                      <w:vertAlign w:val="baseline"/>
                      <w:lang w:val="en-US" w:eastAsia="zh-CN"/>
                    </w:rPr>
                    <w:t>011</w:t>
                  </w:r>
                </w:p>
              </w:tc>
              <w:tc>
                <w:tcPr>
                  <w:tcW w:w="714" w:type="pct"/>
                  <w:vAlign w:val="center"/>
                </w:tcPr>
                <w:p w14:paraId="52DEA43B">
                  <w:pPr>
                    <w:adjustRightInd w:val="0"/>
                    <w:snapToGrid w:val="0"/>
                    <w:spacing w:line="360" w:lineRule="auto"/>
                    <w:jc w:val="center"/>
                    <w:rPr>
                      <w:rFonts w:hint="default" w:ascii="Times New Roman" w:hAnsi="Times New Roman" w:cs="Times New Roman"/>
                      <w:color w:val="000000"/>
                      <w:sz w:val="21"/>
                      <w:szCs w:val="21"/>
                      <w:highlight w:val="none"/>
                      <w:vertAlign w:val="baseline"/>
                      <w:lang w:val="en-US" w:eastAsia="zh-CN"/>
                    </w:rPr>
                  </w:pPr>
                  <w:r>
                    <w:rPr>
                      <w:rFonts w:hint="eastAsia" w:cs="Times New Roman"/>
                      <w:color w:val="000000"/>
                      <w:sz w:val="21"/>
                      <w:szCs w:val="21"/>
                      <w:highlight w:val="none"/>
                      <w:vertAlign w:val="baseline"/>
                      <w:lang w:val="en-US" w:eastAsia="zh-CN"/>
                    </w:rPr>
                    <w:t>-</w:t>
                  </w:r>
                  <w:r>
                    <w:rPr>
                      <w:rFonts w:hint="eastAsia" w:ascii="Times New Roman" w:hAnsi="Times New Roman" w:cs="Times New Roman"/>
                      <w:color w:val="000000"/>
                      <w:sz w:val="21"/>
                      <w:szCs w:val="21"/>
                      <w:highlight w:val="none"/>
                      <w:vertAlign w:val="baseline"/>
                      <w:lang w:val="en-US" w:eastAsia="zh-CN"/>
                    </w:rPr>
                    <w:t>0.</w:t>
                  </w:r>
                  <w:r>
                    <w:rPr>
                      <w:rFonts w:hint="eastAsia" w:cs="Times New Roman"/>
                      <w:color w:val="000000"/>
                      <w:sz w:val="21"/>
                      <w:szCs w:val="21"/>
                      <w:highlight w:val="none"/>
                      <w:vertAlign w:val="baseline"/>
                      <w:lang w:val="en-US" w:eastAsia="zh-CN"/>
                    </w:rPr>
                    <w:t>011</w:t>
                  </w:r>
                </w:p>
              </w:tc>
              <w:tc>
                <w:tcPr>
                  <w:tcW w:w="714" w:type="pct"/>
                  <w:shd w:val="clear" w:color="auto" w:fill="auto"/>
                  <w:vAlign w:val="center"/>
                </w:tcPr>
                <w:p w14:paraId="54BF9842">
                  <w:pPr>
                    <w:adjustRightInd w:val="0"/>
                    <w:snapToGrid w:val="0"/>
                    <w:spacing w:line="360" w:lineRule="auto"/>
                    <w:jc w:val="center"/>
                    <w:rPr>
                      <w:rFonts w:hint="default" w:ascii="Times New Roman" w:hAnsi="Times New Roman" w:eastAsia="宋体" w:cs="Times New Roman"/>
                      <w:color w:val="000000"/>
                      <w:kern w:val="2"/>
                      <w:sz w:val="21"/>
                      <w:szCs w:val="21"/>
                      <w:highlight w:val="none"/>
                      <w:vertAlign w:val="baseline"/>
                      <w:lang w:val="en-US" w:eastAsia="zh-CN" w:bidi="ar-SA"/>
                    </w:rPr>
                  </w:pPr>
                  <w:r>
                    <w:rPr>
                      <w:rFonts w:hint="eastAsia" w:cs="Times New Roman"/>
                      <w:color w:val="000000"/>
                      <w:sz w:val="21"/>
                      <w:szCs w:val="21"/>
                      <w:highlight w:val="none"/>
                      <w:vertAlign w:val="baseline"/>
                      <w:lang w:val="en-US" w:eastAsia="zh-CN"/>
                    </w:rPr>
                    <w:t>4.12</w:t>
                  </w:r>
                </w:p>
              </w:tc>
            </w:tr>
          </w:tbl>
          <w:p w14:paraId="613E4470">
            <w:pPr>
              <w:snapToGrid w:val="0"/>
              <w:spacing w:line="360" w:lineRule="auto"/>
              <w:ind w:firstLine="480" w:firstLineChars="200"/>
              <w:rPr>
                <w:sz w:val="24"/>
                <w:highlight w:val="none"/>
              </w:rPr>
            </w:pPr>
            <w:r>
              <w:rPr>
                <w:rFonts w:hint="eastAsia"/>
                <w:sz w:val="24"/>
                <w:highlight w:val="none"/>
              </w:rPr>
              <w:t>综上所述，</w:t>
            </w:r>
            <w:r>
              <w:rPr>
                <w:rFonts w:hint="eastAsia"/>
                <w:sz w:val="24"/>
                <w:highlight w:val="none"/>
                <w:lang w:val="en-US" w:eastAsia="zh-CN"/>
              </w:rPr>
              <w:t>本</w:t>
            </w:r>
            <w:r>
              <w:rPr>
                <w:rFonts w:hint="eastAsia"/>
                <w:sz w:val="24"/>
                <w:highlight w:val="none"/>
              </w:rPr>
              <w:t>项目</w:t>
            </w:r>
            <w:r>
              <w:rPr>
                <w:rFonts w:hint="eastAsia"/>
                <w:sz w:val="24"/>
                <w:highlight w:val="none"/>
                <w:lang w:val="en-US" w:eastAsia="zh-CN"/>
              </w:rPr>
              <w:t>建成后全厂</w:t>
            </w:r>
            <w:r>
              <w:rPr>
                <w:rFonts w:hint="eastAsia"/>
                <w:sz w:val="24"/>
                <w:highlight w:val="none"/>
              </w:rPr>
              <w:t>特征污染因子</w:t>
            </w:r>
            <w:r>
              <w:rPr>
                <w:rFonts w:hint="eastAsia"/>
                <w:sz w:val="24"/>
                <w:highlight w:val="none"/>
                <w:lang w:val="en-US" w:eastAsia="zh-CN"/>
              </w:rPr>
              <w:t>排放量不新增，</w:t>
            </w:r>
            <w:r>
              <w:rPr>
                <w:rFonts w:hint="eastAsia" w:ascii="Times New Roman" w:hAnsi="Times New Roman" w:cs="Times New Roman"/>
                <w:color w:val="auto"/>
                <w:sz w:val="24"/>
                <w:szCs w:val="24"/>
                <w:highlight w:val="none"/>
                <w:lang w:val="en-US" w:eastAsia="zh-CN"/>
              </w:rPr>
              <w:t>二氧化硫</w:t>
            </w:r>
            <w:r>
              <w:rPr>
                <w:rFonts w:hint="eastAsia" w:cs="Times New Roman"/>
                <w:color w:val="auto"/>
                <w:sz w:val="24"/>
                <w:szCs w:val="24"/>
                <w:highlight w:val="none"/>
                <w:lang w:val="en-US" w:eastAsia="zh-CN"/>
              </w:rPr>
              <w:t>1.438</w:t>
            </w:r>
            <w:r>
              <w:rPr>
                <w:rFonts w:hint="eastAsia" w:ascii="Times New Roman" w:hAnsi="Times New Roman" w:cs="Times New Roman"/>
                <w:color w:val="auto"/>
                <w:sz w:val="24"/>
                <w:szCs w:val="24"/>
                <w:highlight w:val="none"/>
                <w:lang w:val="en-US" w:eastAsia="zh-CN"/>
              </w:rPr>
              <w:t>t/a，氮氧化物</w:t>
            </w:r>
            <w:r>
              <w:rPr>
                <w:rFonts w:hint="eastAsia" w:cs="Times New Roman"/>
                <w:color w:val="auto"/>
                <w:sz w:val="24"/>
                <w:szCs w:val="24"/>
                <w:highlight w:val="none"/>
                <w:lang w:val="en-US" w:eastAsia="zh-CN"/>
              </w:rPr>
              <w:t>4.349</w:t>
            </w:r>
            <w:r>
              <w:rPr>
                <w:rFonts w:hint="eastAsia" w:ascii="Times New Roman" w:hAnsi="Times New Roman" w:cs="Times New Roman"/>
                <w:color w:val="auto"/>
                <w:sz w:val="24"/>
                <w:szCs w:val="24"/>
                <w:highlight w:val="none"/>
                <w:lang w:val="en-US" w:eastAsia="zh-CN"/>
              </w:rPr>
              <w:t>t/a，COD4.</w:t>
            </w:r>
            <w:r>
              <w:rPr>
                <w:rFonts w:hint="eastAsia" w:cs="Times New Roman"/>
                <w:color w:val="auto"/>
                <w:sz w:val="24"/>
                <w:szCs w:val="24"/>
                <w:highlight w:val="none"/>
                <w:lang w:val="en-US" w:eastAsia="zh-CN"/>
              </w:rPr>
              <w:t>12</w:t>
            </w:r>
            <w:r>
              <w:rPr>
                <w:rFonts w:hint="eastAsia" w:ascii="Times New Roman" w:hAnsi="Times New Roman" w:cs="Times New Roman"/>
                <w:color w:val="auto"/>
                <w:sz w:val="24"/>
                <w:szCs w:val="24"/>
                <w:highlight w:val="none"/>
                <w:lang w:val="en-US" w:eastAsia="zh-CN"/>
              </w:rPr>
              <w:t>t/a</w:t>
            </w:r>
            <w:r>
              <w:rPr>
                <w:rFonts w:hint="eastAsia"/>
                <w:sz w:val="24"/>
                <w:highlight w:val="none"/>
              </w:rPr>
              <w:t>。</w:t>
            </w:r>
          </w:p>
          <w:p w14:paraId="09FD586D">
            <w:pPr>
              <w:snapToGrid w:val="0"/>
              <w:spacing w:line="360" w:lineRule="auto"/>
              <w:rPr>
                <w:sz w:val="24"/>
                <w:highlight w:val="none"/>
              </w:rPr>
            </w:pPr>
          </w:p>
          <w:p w14:paraId="1572D742">
            <w:pPr>
              <w:snapToGrid w:val="0"/>
              <w:spacing w:line="360" w:lineRule="auto"/>
              <w:rPr>
                <w:sz w:val="24"/>
                <w:highlight w:val="none"/>
              </w:rPr>
            </w:pPr>
          </w:p>
          <w:p w14:paraId="76CDF8FA">
            <w:pPr>
              <w:pStyle w:val="14"/>
              <w:ind w:left="0" w:leftChars="0" w:firstLine="0" w:firstLineChars="0"/>
              <w:rPr>
                <w:sz w:val="24"/>
                <w:highlight w:val="none"/>
              </w:rPr>
            </w:pPr>
          </w:p>
          <w:p w14:paraId="6056A2B6">
            <w:pPr>
              <w:rPr>
                <w:highlight w:val="none"/>
              </w:rPr>
            </w:pPr>
          </w:p>
          <w:p w14:paraId="633FD84E">
            <w:pPr>
              <w:pStyle w:val="20"/>
              <w:rPr>
                <w:highlight w:val="none"/>
              </w:rPr>
            </w:pPr>
          </w:p>
          <w:p w14:paraId="29D57380">
            <w:pPr>
              <w:pStyle w:val="2"/>
              <w:ind w:left="0" w:leftChars="0" w:firstLine="0" w:firstLineChars="0"/>
              <w:jc w:val="both"/>
              <w:rPr>
                <w:highlight w:val="none"/>
              </w:rPr>
            </w:pPr>
          </w:p>
        </w:tc>
      </w:tr>
    </w:tbl>
    <w:p w14:paraId="460B3FA8">
      <w:pPr>
        <w:pStyle w:val="2"/>
        <w:ind w:left="420"/>
        <w:rPr>
          <w:highlight w:val="green"/>
        </w:rPr>
        <w:sectPr>
          <w:pgSz w:w="11907" w:h="16840"/>
          <w:pgMar w:top="1701" w:right="1531" w:bottom="1701" w:left="1531" w:header="851" w:footer="851" w:gutter="0"/>
          <w:cols w:space="720" w:num="1"/>
          <w:docGrid w:linePitch="312" w:charSpace="0"/>
        </w:sectPr>
      </w:pPr>
    </w:p>
    <w:p w14:paraId="4588DBB1">
      <w:pPr>
        <w:pStyle w:val="19"/>
        <w:spacing w:before="120" w:beforeLines="50" w:beforeAutospacing="0" w:after="240" w:afterLines="100" w:afterAutospacing="0"/>
        <w:jc w:val="center"/>
        <w:outlineLvl w:val="0"/>
        <w:rPr>
          <w:rFonts w:ascii="黑体" w:hAnsi="黑体" w:eastAsia="黑体"/>
          <w:snapToGrid w:val="0"/>
          <w:sz w:val="30"/>
          <w:szCs w:val="30"/>
        </w:rPr>
      </w:pPr>
      <w:r>
        <w:rPr>
          <w:rFonts w:hint="eastAsia" w:ascii="黑体" w:hAnsi="黑体" w:eastAsia="黑体"/>
          <w:snapToGrid w:val="0"/>
          <w:sz w:val="30"/>
          <w:szCs w:val="30"/>
        </w:rPr>
        <w:t>四、主要环境影响和保护措施</w:t>
      </w:r>
    </w:p>
    <w:tbl>
      <w:tblPr>
        <w:tblStyle w:val="23"/>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93"/>
        <w:gridCol w:w="8688"/>
      </w:tblGrid>
      <w:tr w14:paraId="5E9CDA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49" w:hRule="atLeast"/>
          <w:jc w:val="center"/>
        </w:trPr>
        <w:tc>
          <w:tcPr>
            <w:tcW w:w="746" w:type="dxa"/>
            <w:tcMar>
              <w:left w:w="28" w:type="dxa"/>
              <w:right w:w="28" w:type="dxa"/>
            </w:tcMar>
            <w:vAlign w:val="center"/>
          </w:tcPr>
          <w:p w14:paraId="1C339A36">
            <w:pPr>
              <w:pStyle w:val="19"/>
              <w:adjustRightInd w:val="0"/>
              <w:snapToGrid w:val="0"/>
              <w:spacing w:before="0" w:beforeAutospacing="0" w:after="0" w:afterAutospacing="0"/>
              <w:jc w:val="center"/>
              <w:rPr>
                <w:rFonts w:cs="宋体"/>
                <w:kern w:val="2"/>
                <w:szCs w:val="21"/>
                <w:highlight w:val="none"/>
              </w:rPr>
            </w:pPr>
            <w:r>
              <w:rPr>
                <w:rFonts w:hint="eastAsia" w:cs="宋体"/>
                <w:kern w:val="2"/>
                <w:szCs w:val="21"/>
                <w:highlight w:val="none"/>
              </w:rPr>
              <w:t>施工</w:t>
            </w:r>
          </w:p>
          <w:p w14:paraId="02AFBD19">
            <w:pPr>
              <w:pStyle w:val="19"/>
              <w:adjustRightInd w:val="0"/>
              <w:snapToGrid w:val="0"/>
              <w:spacing w:before="0" w:beforeAutospacing="0" w:after="0" w:afterAutospacing="0"/>
              <w:jc w:val="center"/>
              <w:rPr>
                <w:rFonts w:cs="宋体"/>
                <w:kern w:val="2"/>
                <w:szCs w:val="21"/>
                <w:highlight w:val="none"/>
              </w:rPr>
            </w:pPr>
            <w:r>
              <w:rPr>
                <w:rFonts w:hint="eastAsia" w:cs="宋体"/>
                <w:kern w:val="2"/>
                <w:szCs w:val="21"/>
                <w:highlight w:val="none"/>
              </w:rPr>
              <w:t>期环</w:t>
            </w:r>
          </w:p>
          <w:p w14:paraId="2AF61364">
            <w:pPr>
              <w:pStyle w:val="19"/>
              <w:adjustRightInd w:val="0"/>
              <w:snapToGrid w:val="0"/>
              <w:spacing w:before="0" w:beforeAutospacing="0" w:after="0" w:afterAutospacing="0"/>
              <w:jc w:val="center"/>
              <w:rPr>
                <w:rFonts w:cs="宋体"/>
                <w:kern w:val="2"/>
                <w:szCs w:val="21"/>
                <w:highlight w:val="none"/>
              </w:rPr>
            </w:pPr>
            <w:r>
              <w:rPr>
                <w:rFonts w:hint="eastAsia" w:cs="宋体"/>
                <w:kern w:val="2"/>
                <w:szCs w:val="21"/>
                <w:highlight w:val="none"/>
              </w:rPr>
              <w:t>境保</w:t>
            </w:r>
          </w:p>
          <w:p w14:paraId="3D52BCB8">
            <w:pPr>
              <w:pStyle w:val="19"/>
              <w:adjustRightInd w:val="0"/>
              <w:snapToGrid w:val="0"/>
              <w:spacing w:before="0" w:beforeAutospacing="0" w:after="0" w:afterAutospacing="0"/>
              <w:jc w:val="center"/>
              <w:rPr>
                <w:rFonts w:cs="宋体"/>
                <w:kern w:val="2"/>
                <w:szCs w:val="21"/>
                <w:highlight w:val="none"/>
              </w:rPr>
            </w:pPr>
            <w:r>
              <w:rPr>
                <w:rFonts w:hint="eastAsia" w:cs="宋体"/>
                <w:kern w:val="2"/>
                <w:szCs w:val="21"/>
                <w:highlight w:val="none"/>
              </w:rPr>
              <w:t>护措</w:t>
            </w:r>
          </w:p>
          <w:p w14:paraId="2A1EC413">
            <w:pPr>
              <w:pStyle w:val="19"/>
              <w:adjustRightInd w:val="0"/>
              <w:snapToGrid w:val="0"/>
              <w:spacing w:before="0" w:beforeAutospacing="0" w:after="0" w:afterAutospacing="0"/>
              <w:jc w:val="center"/>
              <w:rPr>
                <w:rFonts w:cs="宋体"/>
                <w:bCs/>
                <w:kern w:val="2"/>
                <w:szCs w:val="21"/>
                <w:highlight w:val="none"/>
              </w:rPr>
            </w:pPr>
            <w:r>
              <w:rPr>
                <w:rFonts w:hint="eastAsia" w:cs="宋体"/>
                <w:kern w:val="2"/>
                <w:szCs w:val="21"/>
                <w:highlight w:val="none"/>
              </w:rPr>
              <w:t>施</w:t>
            </w:r>
          </w:p>
        </w:tc>
        <w:tc>
          <w:tcPr>
            <w:tcW w:w="8162" w:type="dxa"/>
            <w:vAlign w:val="center"/>
          </w:tcPr>
          <w:p w14:paraId="7954CF96">
            <w:pPr>
              <w:spacing w:before="120" w:beforeLines="50" w:line="360" w:lineRule="auto"/>
              <w:ind w:firstLine="482" w:firstLineChars="200"/>
              <w:rPr>
                <w:b/>
                <w:sz w:val="24"/>
                <w:highlight w:val="none"/>
              </w:rPr>
            </w:pPr>
            <w:r>
              <w:rPr>
                <w:rFonts w:hint="eastAsia"/>
                <w:b/>
                <w:sz w:val="24"/>
                <w:highlight w:val="none"/>
              </w:rPr>
              <w:t>1</w:t>
            </w:r>
            <w:r>
              <w:rPr>
                <w:b/>
                <w:sz w:val="24"/>
                <w:highlight w:val="none"/>
              </w:rPr>
              <w:t>．</w:t>
            </w:r>
            <w:r>
              <w:rPr>
                <w:rFonts w:hint="eastAsia"/>
                <w:b/>
                <w:sz w:val="24"/>
                <w:highlight w:val="none"/>
              </w:rPr>
              <w:t>施工扬尘环境影响和施工扬尘污染防治措施</w:t>
            </w:r>
          </w:p>
          <w:p w14:paraId="45ACA0A8">
            <w:pPr>
              <w:spacing w:line="360" w:lineRule="auto"/>
              <w:ind w:firstLine="480"/>
              <w:rPr>
                <w:sz w:val="24"/>
                <w:highlight w:val="none"/>
              </w:rPr>
            </w:pPr>
            <w:r>
              <w:rPr>
                <w:sz w:val="24"/>
                <w:highlight w:val="none"/>
              </w:rPr>
              <w:t>项目</w:t>
            </w:r>
            <w:r>
              <w:rPr>
                <w:rFonts w:hint="eastAsia"/>
                <w:sz w:val="24"/>
                <w:highlight w:val="none"/>
              </w:rPr>
              <w:t>施工期</w:t>
            </w:r>
            <w:r>
              <w:rPr>
                <w:sz w:val="24"/>
                <w:highlight w:val="none"/>
              </w:rPr>
              <w:t>土方挖掘及运输、土地平整、建筑材料装卸及堆存、工程施工</w:t>
            </w:r>
            <w:r>
              <w:rPr>
                <w:rFonts w:hint="eastAsia"/>
                <w:sz w:val="24"/>
                <w:highlight w:val="none"/>
              </w:rPr>
              <w:t>、</w:t>
            </w:r>
            <w:r>
              <w:rPr>
                <w:sz w:val="24"/>
                <w:highlight w:val="none"/>
              </w:rPr>
              <w:t>车辆行驶等过程产生的扬尘，对周边环境空气产生一定的影响。</w:t>
            </w:r>
          </w:p>
          <w:p w14:paraId="0A9C2DEB">
            <w:pPr>
              <w:spacing w:line="360" w:lineRule="auto"/>
              <w:ind w:firstLine="480"/>
              <w:rPr>
                <w:sz w:val="24"/>
                <w:highlight w:val="none"/>
              </w:rPr>
            </w:pPr>
            <w:r>
              <w:rPr>
                <w:sz w:val="24"/>
                <w:highlight w:val="none"/>
              </w:rPr>
              <w:t>就一般而言，建设项目施工过程中由于土石方挖掘破坏了地表的原有结构，造成地面扬尘污染环境</w:t>
            </w:r>
            <w:r>
              <w:rPr>
                <w:rFonts w:hint="eastAsia"/>
                <w:sz w:val="24"/>
                <w:highlight w:val="none"/>
              </w:rPr>
              <w:t>。</w:t>
            </w:r>
            <w:r>
              <w:rPr>
                <w:sz w:val="24"/>
                <w:highlight w:val="none"/>
              </w:rPr>
              <w:t>扬尘量的大小与</w:t>
            </w:r>
            <w:r>
              <w:rPr>
                <w:rFonts w:hint="eastAsia"/>
                <w:sz w:val="24"/>
                <w:highlight w:val="none"/>
              </w:rPr>
              <w:t>建设施工</w:t>
            </w:r>
            <w:r>
              <w:rPr>
                <w:sz w:val="24"/>
                <w:highlight w:val="none"/>
              </w:rPr>
              <w:t>现场条件、施工阶段、管理水平、机械化程度及施工季节、土质及天气条件等诸多因素有关。根据对多个建筑施工工地的扬尘情况进行的类比调查：建筑施工扬尘较严重，施工场界周边无组织排放浓度一般达到4-6mg/m</w:t>
            </w:r>
            <w:r>
              <w:rPr>
                <w:sz w:val="24"/>
                <w:highlight w:val="none"/>
                <w:vertAlign w:val="superscript"/>
              </w:rPr>
              <w:t>3</w:t>
            </w:r>
            <w:r>
              <w:rPr>
                <w:sz w:val="24"/>
                <w:highlight w:val="none"/>
              </w:rPr>
              <w:t>左右；当风速为2.5m/s时，工地内的</w:t>
            </w:r>
            <w:r>
              <w:rPr>
                <w:rFonts w:hint="eastAsia"/>
                <w:sz w:val="24"/>
                <w:highlight w:val="none"/>
              </w:rPr>
              <w:t>颗粒物</w:t>
            </w:r>
            <w:r>
              <w:rPr>
                <w:sz w:val="24"/>
                <w:highlight w:val="none"/>
              </w:rPr>
              <w:t>浓度为上风向对照点的1.9倍。实践表明，施工场地洒水与否对扬尘的影响很大，场地洒水后扬尘量将降低28%～75%，大大减少其对</w:t>
            </w:r>
            <w:r>
              <w:rPr>
                <w:rFonts w:hint="eastAsia"/>
                <w:sz w:val="24"/>
                <w:highlight w:val="none"/>
              </w:rPr>
              <w:t>区域环境空气</w:t>
            </w:r>
            <w:r>
              <w:rPr>
                <w:sz w:val="24"/>
                <w:highlight w:val="none"/>
              </w:rPr>
              <w:t>的影响。</w:t>
            </w:r>
          </w:p>
          <w:p w14:paraId="249A3E87">
            <w:pPr>
              <w:spacing w:line="360" w:lineRule="auto"/>
              <w:ind w:firstLine="480"/>
              <w:rPr>
                <w:sz w:val="24"/>
                <w:highlight w:val="none"/>
              </w:rPr>
            </w:pPr>
            <w:r>
              <w:rPr>
                <w:rFonts w:hint="eastAsia"/>
                <w:sz w:val="24"/>
                <w:highlight w:val="none"/>
              </w:rPr>
              <w:t>对照</w:t>
            </w:r>
            <w:r>
              <w:rPr>
                <w:sz w:val="24"/>
                <w:highlight w:val="none"/>
              </w:rPr>
              <w:t>《河北省扬尘污染防治办法》（河北省人民政府令【2020】第1号）</w:t>
            </w:r>
            <w:r>
              <w:rPr>
                <w:rFonts w:hint="eastAsia"/>
                <w:sz w:val="24"/>
                <w:highlight w:val="none"/>
              </w:rPr>
              <w:t>的规定，项目施工期采取以下扬尘污染防治措施：</w:t>
            </w:r>
          </w:p>
          <w:p w14:paraId="4C5D96B0">
            <w:pPr>
              <w:spacing w:line="360" w:lineRule="auto"/>
              <w:ind w:firstLine="480"/>
              <w:rPr>
                <w:sz w:val="24"/>
                <w:highlight w:val="none"/>
              </w:rPr>
            </w:pPr>
            <w:r>
              <w:rPr>
                <w:rFonts w:hint="eastAsia"/>
                <w:sz w:val="24"/>
                <w:highlight w:val="none"/>
              </w:rPr>
              <w:t>（1）建设施工过程中：</w:t>
            </w:r>
          </w:p>
          <w:p w14:paraId="3D6AA904">
            <w:pPr>
              <w:spacing w:line="360" w:lineRule="auto"/>
              <w:ind w:firstLine="480"/>
              <w:rPr>
                <w:sz w:val="24"/>
                <w:highlight w:val="none"/>
              </w:rPr>
            </w:pPr>
            <w:r>
              <w:rPr>
                <w:sz w:val="24"/>
                <w:highlight w:val="none"/>
              </w:rPr>
              <w:t>①</w:t>
            </w:r>
            <w:r>
              <w:rPr>
                <w:rFonts w:hint="eastAsia"/>
                <w:sz w:val="24"/>
                <w:highlight w:val="none"/>
              </w:rPr>
              <w:t>建设工程施工应当采取有效措施防止、减少扬尘污染，保证施工场地扬尘污染物排放符合国家和河北省污染物排放标准。</w:t>
            </w:r>
          </w:p>
          <w:p w14:paraId="3FE2D871">
            <w:pPr>
              <w:spacing w:line="360" w:lineRule="auto"/>
              <w:ind w:firstLine="480"/>
              <w:rPr>
                <w:sz w:val="24"/>
                <w:highlight w:val="none"/>
              </w:rPr>
            </w:pPr>
            <w:r>
              <w:rPr>
                <w:sz w:val="24"/>
                <w:highlight w:val="none"/>
              </w:rPr>
              <w:t>②</w:t>
            </w:r>
            <w:r>
              <w:rPr>
                <w:rFonts w:hint="eastAsia"/>
                <w:sz w:val="24"/>
                <w:highlight w:val="none"/>
              </w:rPr>
              <w:t>在施工现场出入口明显位置设置公示牌，公示施工现场负责人、环保监督员、防尘措施、扬尘监督管理部门、举报投诉电话等信息；</w:t>
            </w:r>
          </w:p>
          <w:p w14:paraId="7C9646A8">
            <w:pPr>
              <w:spacing w:line="360" w:lineRule="auto"/>
              <w:ind w:firstLine="480"/>
              <w:rPr>
                <w:sz w:val="24"/>
                <w:highlight w:val="none"/>
              </w:rPr>
            </w:pPr>
            <w:r>
              <w:rPr>
                <w:sz w:val="24"/>
                <w:highlight w:val="none"/>
              </w:rPr>
              <w:t>③</w:t>
            </w:r>
            <w:r>
              <w:rPr>
                <w:rFonts w:hint="eastAsia"/>
                <w:sz w:val="24"/>
                <w:highlight w:val="none"/>
              </w:rPr>
              <w:t>在施工现场周边设置硬质封闭围挡或者围墙，位于主要路段的，高度不低于</w:t>
            </w:r>
            <w:r>
              <w:rPr>
                <w:sz w:val="24"/>
                <w:highlight w:val="none"/>
              </w:rPr>
              <w:t>2.5</w:t>
            </w:r>
            <w:r>
              <w:rPr>
                <w:rFonts w:hint="eastAsia"/>
                <w:sz w:val="24"/>
                <w:highlight w:val="none"/>
              </w:rPr>
              <w:t>米，位于一般路段的，高度不低于</w:t>
            </w:r>
            <w:r>
              <w:rPr>
                <w:sz w:val="24"/>
                <w:highlight w:val="none"/>
              </w:rPr>
              <w:t>1.8</w:t>
            </w:r>
            <w:r>
              <w:rPr>
                <w:rFonts w:hint="eastAsia"/>
                <w:sz w:val="24"/>
                <w:highlight w:val="none"/>
              </w:rPr>
              <w:t>米，并在围挡底端设置不低于</w:t>
            </w:r>
            <w:r>
              <w:rPr>
                <w:sz w:val="24"/>
                <w:highlight w:val="none"/>
              </w:rPr>
              <w:t>0.2</w:t>
            </w:r>
            <w:r>
              <w:rPr>
                <w:rFonts w:hint="eastAsia"/>
                <w:sz w:val="24"/>
                <w:highlight w:val="none"/>
              </w:rPr>
              <w:t>米的防溢座；</w:t>
            </w:r>
          </w:p>
          <w:p w14:paraId="2C21928B">
            <w:pPr>
              <w:spacing w:line="360" w:lineRule="auto"/>
              <w:ind w:firstLine="480"/>
              <w:rPr>
                <w:sz w:val="24"/>
                <w:highlight w:val="none"/>
              </w:rPr>
            </w:pPr>
            <w:r>
              <w:rPr>
                <w:sz w:val="24"/>
                <w:highlight w:val="none"/>
              </w:rPr>
              <w:t>④</w:t>
            </w:r>
            <w:r>
              <w:rPr>
                <w:rFonts w:hint="eastAsia"/>
                <w:sz w:val="24"/>
                <w:highlight w:val="none"/>
              </w:rPr>
              <w:t>对施工现场出入口、场内施工道路、材料加工堆放区、办公区、生活区进行硬化处理，并保持地面整洁；</w:t>
            </w:r>
          </w:p>
          <w:p w14:paraId="1EFFAD8C">
            <w:pPr>
              <w:spacing w:line="360" w:lineRule="auto"/>
              <w:ind w:firstLine="480"/>
              <w:rPr>
                <w:sz w:val="24"/>
                <w:highlight w:val="none"/>
              </w:rPr>
            </w:pPr>
            <w:r>
              <w:rPr>
                <w:sz w:val="24"/>
                <w:highlight w:val="none"/>
              </w:rPr>
              <w:t>⑤</w:t>
            </w:r>
            <w:r>
              <w:rPr>
                <w:rFonts w:hint="eastAsia"/>
                <w:sz w:val="24"/>
                <w:highlight w:val="none"/>
              </w:rPr>
              <w:t>在施工现场出口处设置车辆清洗设施并配套设置排水、泥浆沉淀设施，车辆冲洗干净后方可驶出；</w:t>
            </w:r>
          </w:p>
          <w:p w14:paraId="51B19F89">
            <w:pPr>
              <w:spacing w:line="360" w:lineRule="auto"/>
              <w:ind w:firstLine="480"/>
              <w:rPr>
                <w:sz w:val="24"/>
                <w:highlight w:val="none"/>
              </w:rPr>
            </w:pPr>
            <w:r>
              <w:rPr>
                <w:sz w:val="24"/>
                <w:highlight w:val="none"/>
              </w:rPr>
              <w:t>⑥</w:t>
            </w:r>
            <w:r>
              <w:rPr>
                <w:rFonts w:hint="eastAsia"/>
                <w:sz w:val="24"/>
                <w:highlight w:val="none"/>
              </w:rPr>
              <w:t>按照规定使用预拌混凝土、预拌砂浆等建筑材料，只能现场搅拌的，应当采取防尘措施；</w:t>
            </w:r>
          </w:p>
          <w:p w14:paraId="26423625">
            <w:pPr>
              <w:spacing w:line="360" w:lineRule="auto"/>
              <w:ind w:firstLine="480"/>
              <w:rPr>
                <w:sz w:val="24"/>
                <w:highlight w:val="none"/>
              </w:rPr>
            </w:pPr>
            <w:r>
              <w:rPr>
                <w:sz w:val="24"/>
                <w:highlight w:val="none"/>
              </w:rPr>
              <w:t>⑦</w:t>
            </w:r>
            <w:r>
              <w:rPr>
                <w:rFonts w:hint="eastAsia"/>
                <w:sz w:val="24"/>
                <w:highlight w:val="none"/>
              </w:rPr>
              <w:t>在施工工地内堆放水泥、灰土、砂石、建筑土方等易产生扬尘的粉状、粒状建筑材料的，应当采取密闭或者遮盖等防尘措施，装卸、搬运时应当采取防尘措施；</w:t>
            </w:r>
          </w:p>
          <w:p w14:paraId="5523E815">
            <w:pPr>
              <w:spacing w:line="360" w:lineRule="auto"/>
              <w:ind w:firstLine="480"/>
              <w:rPr>
                <w:sz w:val="24"/>
                <w:highlight w:val="none"/>
              </w:rPr>
            </w:pPr>
            <w:r>
              <w:rPr>
                <w:sz w:val="24"/>
                <w:highlight w:val="none"/>
              </w:rPr>
              <w:t>⑧</w:t>
            </w:r>
            <w:r>
              <w:rPr>
                <w:rFonts w:hint="eastAsia"/>
                <w:sz w:val="24"/>
                <w:highlight w:val="none"/>
              </w:rPr>
              <w:t>建筑垃圾应当及时清运，在场地内堆存的，应当集中堆放并采取密闭或者遮盖等防尘措施；</w:t>
            </w:r>
          </w:p>
          <w:p w14:paraId="5D8B41C6">
            <w:pPr>
              <w:spacing w:line="360" w:lineRule="auto"/>
              <w:ind w:firstLine="480"/>
              <w:rPr>
                <w:sz w:val="24"/>
                <w:highlight w:val="none"/>
              </w:rPr>
            </w:pPr>
            <w:r>
              <w:rPr>
                <w:sz w:val="24"/>
                <w:highlight w:val="none"/>
              </w:rPr>
              <w:t>⑨</w:t>
            </w:r>
            <w:r>
              <w:rPr>
                <w:rFonts w:hint="eastAsia"/>
                <w:sz w:val="24"/>
                <w:highlight w:val="none"/>
              </w:rPr>
              <w:t>在施工工地同步安装视频监控设备和扬尘污染物在线监测设备，分别与建设主管部门、生态环境主管部门的监控设备联网，并保证系统正常运行，发生故障应当在二十四小时内修复；</w:t>
            </w:r>
          </w:p>
          <w:p w14:paraId="42672218">
            <w:pPr>
              <w:spacing w:line="360" w:lineRule="auto"/>
              <w:ind w:firstLine="480"/>
              <w:rPr>
                <w:sz w:val="24"/>
                <w:highlight w:val="none"/>
              </w:rPr>
            </w:pPr>
            <w:r>
              <w:rPr>
                <w:rFonts w:hint="eastAsia"/>
                <w:sz w:val="24"/>
                <w:highlight w:val="none"/>
              </w:rPr>
              <w:t>（2）物料堆存过程中：</w:t>
            </w:r>
          </w:p>
          <w:p w14:paraId="0993D268">
            <w:pPr>
              <w:spacing w:line="360" w:lineRule="auto"/>
              <w:ind w:firstLine="480"/>
              <w:rPr>
                <w:sz w:val="24"/>
                <w:highlight w:val="none"/>
              </w:rPr>
            </w:pPr>
            <w:r>
              <w:rPr>
                <w:sz w:val="24"/>
                <w:highlight w:val="none"/>
              </w:rPr>
              <w:t>①</w:t>
            </w:r>
            <w:r>
              <w:rPr>
                <w:rFonts w:hint="eastAsia"/>
                <w:sz w:val="24"/>
                <w:highlight w:val="none"/>
              </w:rPr>
              <w:t>划分物料区域和道路界限，及时清除散落的物料，保持物料堆放区域和道路整洁；</w:t>
            </w:r>
          </w:p>
          <w:p w14:paraId="06FB918A">
            <w:pPr>
              <w:spacing w:line="360" w:lineRule="auto"/>
              <w:ind w:firstLine="480"/>
              <w:rPr>
                <w:sz w:val="24"/>
                <w:highlight w:val="none"/>
              </w:rPr>
            </w:pPr>
            <w:r>
              <w:rPr>
                <w:sz w:val="24"/>
                <w:highlight w:val="none"/>
              </w:rPr>
              <w:t>②</w:t>
            </w:r>
            <w:r>
              <w:rPr>
                <w:rFonts w:hint="eastAsia"/>
                <w:sz w:val="24"/>
                <w:highlight w:val="none"/>
              </w:rPr>
              <w:t>场地进行硬化处理，并及时清扫、清洗；</w:t>
            </w:r>
          </w:p>
          <w:p w14:paraId="7C0AFF9F">
            <w:pPr>
              <w:spacing w:line="360" w:lineRule="auto"/>
              <w:ind w:firstLine="480"/>
              <w:rPr>
                <w:sz w:val="24"/>
                <w:highlight w:val="none"/>
              </w:rPr>
            </w:pPr>
            <w:r>
              <w:rPr>
                <w:sz w:val="24"/>
                <w:highlight w:val="none"/>
              </w:rPr>
              <w:t>③</w:t>
            </w:r>
            <w:r>
              <w:rPr>
                <w:rFonts w:hint="eastAsia"/>
                <w:sz w:val="24"/>
                <w:highlight w:val="none"/>
              </w:rPr>
              <w:t>物料堆场周边设置高于堆存物料的围挡、防风网等设施，并采取遮盖、喷淋等防尘措施；</w:t>
            </w:r>
          </w:p>
          <w:p w14:paraId="4CFD6235">
            <w:pPr>
              <w:spacing w:line="360" w:lineRule="auto"/>
              <w:ind w:firstLine="480"/>
              <w:rPr>
                <w:sz w:val="24"/>
                <w:highlight w:val="none"/>
              </w:rPr>
            </w:pPr>
            <w:r>
              <w:rPr>
                <w:sz w:val="24"/>
                <w:highlight w:val="none"/>
              </w:rPr>
              <w:t>④</w:t>
            </w:r>
            <w:r>
              <w:rPr>
                <w:rFonts w:hint="eastAsia"/>
                <w:sz w:val="24"/>
                <w:highlight w:val="none"/>
              </w:rPr>
              <w:t>露天装卸作业的，应当采取洒水等防尘措施，采用密闭输送设备作业的，在装料、卸料处配备吸尘、喷淋等防尘设施，并保持防尘设施正常使用；</w:t>
            </w:r>
          </w:p>
          <w:p w14:paraId="2FAD7760">
            <w:pPr>
              <w:spacing w:line="360" w:lineRule="auto"/>
              <w:ind w:firstLine="480"/>
              <w:rPr>
                <w:sz w:val="24"/>
                <w:highlight w:val="none"/>
              </w:rPr>
            </w:pPr>
            <w:r>
              <w:rPr>
                <w:sz w:val="24"/>
                <w:highlight w:val="none"/>
              </w:rPr>
              <w:t>⑤</w:t>
            </w:r>
            <w:r>
              <w:rPr>
                <w:rFonts w:hint="eastAsia"/>
                <w:sz w:val="24"/>
                <w:highlight w:val="none"/>
              </w:rPr>
              <w:t>出口应硬化地面并设置车辆清洗保洁设施，车辆冲洗干净后方可驶出；</w:t>
            </w:r>
          </w:p>
          <w:p w14:paraId="2CC97BD6">
            <w:pPr>
              <w:spacing w:line="360" w:lineRule="auto"/>
              <w:ind w:firstLine="480"/>
              <w:rPr>
                <w:sz w:val="24"/>
                <w:highlight w:val="none"/>
              </w:rPr>
            </w:pPr>
            <w:r>
              <w:rPr>
                <w:sz w:val="24"/>
                <w:highlight w:val="none"/>
              </w:rPr>
              <w:t>⑥</w:t>
            </w:r>
            <w:r>
              <w:rPr>
                <w:rFonts w:hint="eastAsia"/>
                <w:sz w:val="24"/>
                <w:highlight w:val="none"/>
              </w:rPr>
              <w:t>需要使用防尘网遮盖的，防尘网的密度应当符合要求，并采取有效防风加固措施。遮盖块状物料的防尘网，网目密度不得少于</w:t>
            </w:r>
            <w:r>
              <w:rPr>
                <w:sz w:val="24"/>
                <w:highlight w:val="none"/>
              </w:rPr>
              <w:t>800</w:t>
            </w:r>
            <w:r>
              <w:rPr>
                <w:rFonts w:hint="eastAsia"/>
                <w:sz w:val="24"/>
                <w:highlight w:val="none"/>
              </w:rPr>
              <w:t>目</w:t>
            </w:r>
            <w:r>
              <w:rPr>
                <w:sz w:val="24"/>
                <w:highlight w:val="none"/>
              </w:rPr>
              <w:t>/100</w:t>
            </w:r>
            <w:r>
              <w:rPr>
                <w:rFonts w:hint="eastAsia"/>
                <w:sz w:val="24"/>
                <w:highlight w:val="none"/>
              </w:rPr>
              <w:t>平方厘米；遮盖粒状、粉状物料和裸露地面等的防尘网，网目密度不得少于</w:t>
            </w:r>
            <w:r>
              <w:rPr>
                <w:sz w:val="24"/>
                <w:highlight w:val="none"/>
              </w:rPr>
              <w:t>2000</w:t>
            </w:r>
            <w:r>
              <w:rPr>
                <w:rFonts w:hint="eastAsia"/>
                <w:sz w:val="24"/>
                <w:highlight w:val="none"/>
              </w:rPr>
              <w:t>目</w:t>
            </w:r>
            <w:r>
              <w:rPr>
                <w:sz w:val="24"/>
                <w:highlight w:val="none"/>
              </w:rPr>
              <w:t>/100</w:t>
            </w:r>
            <w:r>
              <w:rPr>
                <w:rFonts w:hint="eastAsia"/>
                <w:sz w:val="24"/>
                <w:highlight w:val="none"/>
              </w:rPr>
              <w:t>平方厘米。</w:t>
            </w:r>
          </w:p>
          <w:p w14:paraId="02839294">
            <w:pPr>
              <w:spacing w:line="360" w:lineRule="auto"/>
              <w:ind w:firstLine="480"/>
              <w:rPr>
                <w:sz w:val="24"/>
                <w:highlight w:val="none"/>
              </w:rPr>
            </w:pPr>
            <w:r>
              <w:rPr>
                <w:sz w:val="24"/>
                <w:highlight w:val="none"/>
              </w:rPr>
              <w:t>⑦</w:t>
            </w:r>
            <w:r>
              <w:rPr>
                <w:rFonts w:hint="eastAsia"/>
                <w:sz w:val="24"/>
                <w:highlight w:val="none"/>
              </w:rPr>
              <w:t>防尘网应当保持完整无损，破损的应当及时修复或者更换。</w:t>
            </w:r>
          </w:p>
          <w:p w14:paraId="2F02AAC3">
            <w:pPr>
              <w:spacing w:line="360" w:lineRule="auto"/>
              <w:ind w:firstLine="480"/>
              <w:rPr>
                <w:sz w:val="24"/>
                <w:highlight w:val="none"/>
              </w:rPr>
            </w:pPr>
            <w:r>
              <w:rPr>
                <w:sz w:val="24"/>
                <w:highlight w:val="none"/>
              </w:rPr>
              <w:t>通过采取上述措施，项目施工期场地周界外扬尘排放</w:t>
            </w:r>
            <w:r>
              <w:rPr>
                <w:rFonts w:hint="eastAsia"/>
                <w:sz w:val="24"/>
                <w:highlight w:val="none"/>
              </w:rPr>
              <w:t>满足</w:t>
            </w:r>
            <w:r>
              <w:rPr>
                <w:sz w:val="24"/>
                <w:highlight w:val="none"/>
              </w:rPr>
              <w:t>《</w:t>
            </w:r>
            <w:r>
              <w:rPr>
                <w:rFonts w:hint="eastAsia"/>
                <w:sz w:val="24"/>
                <w:highlight w:val="none"/>
              </w:rPr>
              <w:t>施工场地扬尘排放标准</w:t>
            </w:r>
            <w:r>
              <w:rPr>
                <w:sz w:val="24"/>
                <w:highlight w:val="none"/>
              </w:rPr>
              <w:t>》（DB13/2934-2019）中表1</w:t>
            </w:r>
            <w:r>
              <w:rPr>
                <w:rFonts w:hint="eastAsia"/>
                <w:sz w:val="24"/>
                <w:highlight w:val="none"/>
              </w:rPr>
              <w:t>施工场地扬尘排放浓度限值</w:t>
            </w:r>
            <w:r>
              <w:rPr>
                <w:sz w:val="24"/>
                <w:highlight w:val="none"/>
              </w:rPr>
              <w:t>的要求，对周边</w:t>
            </w:r>
            <w:r>
              <w:rPr>
                <w:rFonts w:hint="eastAsia"/>
                <w:sz w:val="24"/>
                <w:highlight w:val="none"/>
              </w:rPr>
              <w:t>环境空气</w:t>
            </w:r>
            <w:r>
              <w:rPr>
                <w:sz w:val="24"/>
                <w:highlight w:val="none"/>
              </w:rPr>
              <w:t>影响较小。随着施工期的结束，施工扬尘影响也将结束。</w:t>
            </w:r>
          </w:p>
          <w:p w14:paraId="530F668B">
            <w:pPr>
              <w:spacing w:line="360" w:lineRule="auto"/>
              <w:ind w:firstLine="482"/>
              <w:rPr>
                <w:b/>
                <w:sz w:val="24"/>
                <w:highlight w:val="none"/>
              </w:rPr>
            </w:pPr>
            <w:r>
              <w:rPr>
                <w:b/>
                <w:sz w:val="24"/>
                <w:highlight w:val="none"/>
              </w:rPr>
              <w:t>2．</w:t>
            </w:r>
            <w:r>
              <w:rPr>
                <w:rFonts w:hint="eastAsia"/>
                <w:b/>
                <w:sz w:val="24"/>
                <w:highlight w:val="none"/>
              </w:rPr>
              <w:t>施工废水环境影响和施工废水污染防治措施</w:t>
            </w:r>
          </w:p>
          <w:p w14:paraId="10DDC554">
            <w:pPr>
              <w:spacing w:line="360" w:lineRule="auto"/>
              <w:ind w:firstLine="480"/>
              <w:rPr>
                <w:sz w:val="24"/>
                <w:highlight w:val="none"/>
              </w:rPr>
            </w:pPr>
            <w:r>
              <w:rPr>
                <w:sz w:val="24"/>
                <w:highlight w:val="none"/>
              </w:rPr>
              <w:t>项目建设过程中产生的污水主要为施工作业产生的泥浆水、受雨水冲刷</w:t>
            </w:r>
            <w:r>
              <w:rPr>
                <w:rFonts w:hint="eastAsia"/>
                <w:sz w:val="24"/>
                <w:highlight w:val="none"/>
              </w:rPr>
              <w:t>造成</w:t>
            </w:r>
            <w:r>
              <w:rPr>
                <w:sz w:val="24"/>
                <w:highlight w:val="none"/>
              </w:rPr>
              <w:t>地表径流</w:t>
            </w:r>
            <w:r>
              <w:rPr>
                <w:rFonts w:hint="eastAsia"/>
                <w:sz w:val="24"/>
                <w:highlight w:val="none"/>
              </w:rPr>
              <w:t>而</w:t>
            </w:r>
            <w:r>
              <w:rPr>
                <w:sz w:val="24"/>
                <w:highlight w:val="none"/>
              </w:rPr>
              <w:t>形成的泥浆水等施工污水及工人的生活污水。</w:t>
            </w:r>
          </w:p>
          <w:p w14:paraId="26E7F166">
            <w:pPr>
              <w:spacing w:line="360" w:lineRule="auto"/>
              <w:ind w:firstLine="480"/>
              <w:rPr>
                <w:sz w:val="24"/>
                <w:highlight w:val="none"/>
              </w:rPr>
            </w:pPr>
            <w:r>
              <w:rPr>
                <w:rFonts w:hint="eastAsia"/>
                <w:sz w:val="24"/>
                <w:highlight w:val="none"/>
              </w:rPr>
              <w:t>（1）采取的施工废水污染防治措施为：</w:t>
            </w:r>
          </w:p>
          <w:p w14:paraId="2B248D47">
            <w:pPr>
              <w:spacing w:line="360" w:lineRule="auto"/>
              <w:ind w:firstLine="480"/>
              <w:rPr>
                <w:sz w:val="24"/>
                <w:highlight w:val="none"/>
              </w:rPr>
            </w:pPr>
            <w:r>
              <w:rPr>
                <w:sz w:val="24"/>
                <w:highlight w:val="none"/>
              </w:rPr>
              <w:t>项目</w:t>
            </w:r>
            <w:r>
              <w:rPr>
                <w:rFonts w:hint="eastAsia"/>
                <w:sz w:val="24"/>
                <w:highlight w:val="none"/>
              </w:rPr>
              <w:t>建设</w:t>
            </w:r>
            <w:r>
              <w:rPr>
                <w:sz w:val="24"/>
                <w:highlight w:val="none"/>
              </w:rPr>
              <w:t>区域雨季时间6月至8月，在雨季</w:t>
            </w:r>
            <w:r>
              <w:rPr>
                <w:rFonts w:hint="eastAsia"/>
                <w:sz w:val="24"/>
                <w:highlight w:val="none"/>
              </w:rPr>
              <w:t>建设施工</w:t>
            </w:r>
            <w:r>
              <w:rPr>
                <w:sz w:val="24"/>
                <w:highlight w:val="none"/>
              </w:rPr>
              <w:t>场地不可避免受雨水的冲刷，雨后的地表径流冲刷浮土、建筑砂石、垃圾等会形成泥浆水。</w:t>
            </w:r>
            <w:r>
              <w:rPr>
                <w:rFonts w:hint="eastAsia"/>
                <w:sz w:val="24"/>
                <w:highlight w:val="none"/>
              </w:rPr>
              <w:t>通过</w:t>
            </w:r>
            <w:r>
              <w:rPr>
                <w:sz w:val="24"/>
                <w:highlight w:val="none"/>
              </w:rPr>
              <w:t>在施工现场修建临时</w:t>
            </w:r>
            <w:r>
              <w:rPr>
                <w:rFonts w:hint="eastAsia"/>
                <w:sz w:val="24"/>
                <w:highlight w:val="none"/>
              </w:rPr>
              <w:t>性</w:t>
            </w:r>
            <w:r>
              <w:rPr>
                <w:sz w:val="24"/>
                <w:highlight w:val="none"/>
              </w:rPr>
              <w:t>集水池，将雨后地表径流形成的泥浆水和施工废水引至集水池收集处理后，用于</w:t>
            </w:r>
            <w:r>
              <w:rPr>
                <w:rFonts w:hint="eastAsia"/>
                <w:sz w:val="24"/>
                <w:highlight w:val="none"/>
              </w:rPr>
              <w:t>建筑</w:t>
            </w:r>
            <w:r>
              <w:rPr>
                <w:sz w:val="24"/>
                <w:highlight w:val="none"/>
              </w:rPr>
              <w:t>场地的洒水降尘，</w:t>
            </w:r>
            <w:r>
              <w:rPr>
                <w:rFonts w:hint="eastAsia"/>
                <w:sz w:val="24"/>
                <w:highlight w:val="none"/>
              </w:rPr>
              <w:t>不外排；集水池远离河道修建</w:t>
            </w:r>
            <w:r>
              <w:rPr>
                <w:sz w:val="24"/>
                <w:highlight w:val="none"/>
              </w:rPr>
              <w:t>。</w:t>
            </w:r>
            <w:r>
              <w:rPr>
                <w:rFonts w:hint="eastAsia"/>
                <w:sz w:val="24"/>
                <w:highlight w:val="none"/>
              </w:rPr>
              <w:t>另外，项目应合理选择施工时间，不选在雨期进行建设，加强施工管理，合理安排施工进度、施工时段，降低废水污染。</w:t>
            </w:r>
          </w:p>
          <w:p w14:paraId="344CB19D">
            <w:pPr>
              <w:spacing w:line="360" w:lineRule="auto"/>
              <w:ind w:firstLine="480"/>
              <w:rPr>
                <w:sz w:val="24"/>
                <w:highlight w:val="none"/>
              </w:rPr>
            </w:pPr>
            <w:r>
              <w:rPr>
                <w:rFonts w:hint="eastAsia"/>
                <w:sz w:val="24"/>
                <w:highlight w:val="none"/>
              </w:rPr>
              <w:t>（</w:t>
            </w:r>
            <w:r>
              <w:rPr>
                <w:sz w:val="24"/>
                <w:highlight w:val="none"/>
              </w:rPr>
              <w:t>2</w:t>
            </w:r>
            <w:r>
              <w:rPr>
                <w:rFonts w:hint="eastAsia"/>
                <w:sz w:val="24"/>
                <w:highlight w:val="none"/>
              </w:rPr>
              <w:t>）采取的职工生活污水污染防治措施为：</w:t>
            </w:r>
          </w:p>
          <w:p w14:paraId="7D469F2F">
            <w:pPr>
              <w:spacing w:line="360" w:lineRule="auto"/>
              <w:ind w:firstLine="480"/>
              <w:rPr>
                <w:sz w:val="24"/>
                <w:highlight w:val="none"/>
              </w:rPr>
            </w:pPr>
            <w:r>
              <w:rPr>
                <w:rFonts w:hint="eastAsia"/>
                <w:sz w:val="24"/>
                <w:highlight w:val="none"/>
              </w:rPr>
              <w:t>建设过程中</w:t>
            </w:r>
            <w:r>
              <w:rPr>
                <w:sz w:val="24"/>
                <w:highlight w:val="none"/>
              </w:rPr>
              <w:t>工人生活污水产生量较少，主要是工人的盥洗用水，泼洒至施工现场用于降尘使用</w:t>
            </w:r>
            <w:r>
              <w:rPr>
                <w:rFonts w:hint="eastAsia"/>
                <w:sz w:val="24"/>
                <w:highlight w:val="none"/>
              </w:rPr>
              <w:t>。</w:t>
            </w:r>
          </w:p>
          <w:p w14:paraId="1955D566">
            <w:pPr>
              <w:spacing w:line="360" w:lineRule="auto"/>
              <w:ind w:firstLine="482"/>
              <w:rPr>
                <w:b/>
                <w:sz w:val="24"/>
                <w:highlight w:val="none"/>
              </w:rPr>
            </w:pPr>
            <w:r>
              <w:rPr>
                <w:b/>
                <w:sz w:val="24"/>
                <w:highlight w:val="none"/>
              </w:rPr>
              <w:t>3．</w:t>
            </w:r>
            <w:r>
              <w:rPr>
                <w:rFonts w:hint="eastAsia"/>
                <w:b/>
                <w:sz w:val="24"/>
                <w:highlight w:val="none"/>
              </w:rPr>
              <w:t>施工噪声环境影响和污染防治措施</w:t>
            </w:r>
          </w:p>
          <w:p w14:paraId="0CE85F55">
            <w:pPr>
              <w:spacing w:line="360" w:lineRule="auto"/>
              <w:ind w:firstLine="480"/>
              <w:rPr>
                <w:sz w:val="24"/>
                <w:highlight w:val="none"/>
              </w:rPr>
            </w:pPr>
            <w:r>
              <w:rPr>
                <w:rFonts w:hint="eastAsia"/>
                <w:sz w:val="24"/>
                <w:highlight w:val="none"/>
              </w:rPr>
              <w:t>项目</w:t>
            </w:r>
            <w:r>
              <w:rPr>
                <w:sz w:val="24"/>
                <w:highlight w:val="none"/>
              </w:rPr>
              <w:t>建设过程中，噪声主要来自建设施工机械</w:t>
            </w:r>
            <w:r>
              <w:rPr>
                <w:rFonts w:hint="eastAsia"/>
                <w:sz w:val="24"/>
                <w:highlight w:val="none"/>
              </w:rPr>
              <w:t>、施工作业</w:t>
            </w:r>
            <w:r>
              <w:rPr>
                <w:sz w:val="24"/>
                <w:highlight w:val="none"/>
              </w:rPr>
              <w:t>和运输车辆的噪声。</w:t>
            </w:r>
          </w:p>
          <w:p w14:paraId="499DF8F9">
            <w:pPr>
              <w:spacing w:line="360" w:lineRule="auto"/>
              <w:ind w:firstLine="480"/>
              <w:rPr>
                <w:sz w:val="24"/>
                <w:highlight w:val="none"/>
              </w:rPr>
            </w:pPr>
            <w:r>
              <w:rPr>
                <w:sz w:val="24"/>
                <w:highlight w:val="none"/>
              </w:rPr>
              <w:t>采取的</w:t>
            </w:r>
            <w:r>
              <w:rPr>
                <w:rFonts w:hint="eastAsia"/>
                <w:sz w:val="24"/>
                <w:highlight w:val="none"/>
              </w:rPr>
              <w:t>噪声污染防治</w:t>
            </w:r>
            <w:r>
              <w:rPr>
                <w:sz w:val="24"/>
                <w:highlight w:val="none"/>
              </w:rPr>
              <w:t>措施为</w:t>
            </w:r>
            <w:r>
              <w:rPr>
                <w:rFonts w:hint="eastAsia"/>
                <w:sz w:val="24"/>
                <w:highlight w:val="none"/>
              </w:rPr>
              <w:t>：</w:t>
            </w:r>
          </w:p>
          <w:p w14:paraId="4C655208">
            <w:pPr>
              <w:spacing w:line="360" w:lineRule="auto"/>
              <w:ind w:firstLine="480"/>
              <w:rPr>
                <w:sz w:val="24"/>
                <w:highlight w:val="none"/>
              </w:rPr>
            </w:pPr>
            <w:r>
              <w:rPr>
                <w:rFonts w:hint="eastAsia"/>
                <w:sz w:val="24"/>
                <w:highlight w:val="none"/>
              </w:rPr>
              <w:t>（1）</w:t>
            </w:r>
            <w:r>
              <w:rPr>
                <w:sz w:val="24"/>
                <w:highlight w:val="none"/>
              </w:rPr>
              <w:t>选用低噪声的</w:t>
            </w:r>
            <w:r>
              <w:rPr>
                <w:rFonts w:hint="eastAsia"/>
                <w:sz w:val="24"/>
                <w:highlight w:val="none"/>
              </w:rPr>
              <w:t>施工</w:t>
            </w:r>
            <w:r>
              <w:rPr>
                <w:sz w:val="24"/>
                <w:highlight w:val="none"/>
              </w:rPr>
              <w:t>设备和先进的</w:t>
            </w:r>
            <w:r>
              <w:rPr>
                <w:rFonts w:hint="eastAsia"/>
                <w:sz w:val="24"/>
                <w:highlight w:val="none"/>
              </w:rPr>
              <w:t>施工</w:t>
            </w:r>
            <w:r>
              <w:rPr>
                <w:sz w:val="24"/>
                <w:highlight w:val="none"/>
              </w:rPr>
              <w:t>工艺，保持设备处于良好的运转状态</w:t>
            </w:r>
            <w:r>
              <w:rPr>
                <w:rFonts w:hint="eastAsia"/>
                <w:sz w:val="24"/>
                <w:highlight w:val="none"/>
              </w:rPr>
              <w:t>；</w:t>
            </w:r>
            <w:r>
              <w:rPr>
                <w:sz w:val="24"/>
                <w:highlight w:val="none"/>
              </w:rPr>
              <w:t>闲置设备及时关闭</w:t>
            </w:r>
            <w:r>
              <w:rPr>
                <w:rFonts w:hint="eastAsia"/>
                <w:sz w:val="24"/>
                <w:highlight w:val="none"/>
              </w:rPr>
              <w:t>，定时</w:t>
            </w:r>
            <w:r>
              <w:rPr>
                <w:sz w:val="24"/>
                <w:highlight w:val="none"/>
              </w:rPr>
              <w:t>检修</w:t>
            </w:r>
            <w:r>
              <w:rPr>
                <w:rFonts w:hint="eastAsia"/>
                <w:sz w:val="24"/>
                <w:highlight w:val="none"/>
              </w:rPr>
              <w:t>。</w:t>
            </w:r>
          </w:p>
          <w:p w14:paraId="6608D41F">
            <w:pPr>
              <w:spacing w:line="360" w:lineRule="auto"/>
              <w:ind w:firstLine="480"/>
              <w:rPr>
                <w:sz w:val="24"/>
                <w:highlight w:val="none"/>
              </w:rPr>
            </w:pPr>
            <w:r>
              <w:rPr>
                <w:rFonts w:hint="eastAsia"/>
                <w:sz w:val="24"/>
                <w:highlight w:val="none"/>
              </w:rPr>
              <w:t>（2）</w:t>
            </w:r>
            <w:r>
              <w:rPr>
                <w:sz w:val="24"/>
                <w:highlight w:val="none"/>
              </w:rPr>
              <w:t>夜间</w:t>
            </w:r>
            <w:r>
              <w:rPr>
                <w:rFonts w:hint="eastAsia"/>
                <w:sz w:val="24"/>
                <w:highlight w:val="none"/>
              </w:rPr>
              <w:t>2</w:t>
            </w:r>
            <w:r>
              <w:rPr>
                <w:sz w:val="24"/>
                <w:highlight w:val="none"/>
              </w:rPr>
              <w:t>2</w:t>
            </w:r>
            <w:r>
              <w:rPr>
                <w:rFonts w:hint="eastAsia"/>
                <w:sz w:val="24"/>
                <w:highlight w:val="none"/>
              </w:rPr>
              <w:t>:0</w:t>
            </w:r>
            <w:r>
              <w:rPr>
                <w:sz w:val="24"/>
                <w:highlight w:val="none"/>
              </w:rPr>
              <w:t>0</w:t>
            </w:r>
            <w:r>
              <w:rPr>
                <w:rFonts w:hint="eastAsia"/>
                <w:sz w:val="24"/>
                <w:highlight w:val="none"/>
              </w:rPr>
              <w:t>~</w:t>
            </w:r>
            <w:r>
              <w:rPr>
                <w:sz w:val="24"/>
                <w:highlight w:val="none"/>
              </w:rPr>
              <w:t>6</w:t>
            </w:r>
            <w:r>
              <w:rPr>
                <w:rFonts w:hint="eastAsia"/>
                <w:sz w:val="24"/>
                <w:highlight w:val="none"/>
              </w:rPr>
              <w:t>:0</w:t>
            </w:r>
            <w:r>
              <w:rPr>
                <w:sz w:val="24"/>
                <w:highlight w:val="none"/>
              </w:rPr>
              <w:t>0不建设，</w:t>
            </w:r>
            <w:r>
              <w:rPr>
                <w:rFonts w:hint="eastAsia"/>
                <w:sz w:val="24"/>
                <w:highlight w:val="none"/>
              </w:rPr>
              <w:t>不</w:t>
            </w:r>
            <w:r>
              <w:rPr>
                <w:sz w:val="24"/>
                <w:highlight w:val="none"/>
              </w:rPr>
              <w:t>在同一时间集中使用大量的动力机械设备</w:t>
            </w:r>
            <w:r>
              <w:rPr>
                <w:rFonts w:hint="eastAsia"/>
                <w:sz w:val="24"/>
                <w:highlight w:val="none"/>
              </w:rPr>
              <w:t>；</w:t>
            </w:r>
            <w:r>
              <w:rPr>
                <w:sz w:val="24"/>
                <w:highlight w:val="none"/>
              </w:rPr>
              <w:t>如</w:t>
            </w:r>
            <w:r>
              <w:rPr>
                <w:rFonts w:hint="eastAsia"/>
                <w:sz w:val="24"/>
                <w:highlight w:val="none"/>
              </w:rPr>
              <w:t>昼间6:00~22:00施工</w:t>
            </w:r>
            <w:r>
              <w:rPr>
                <w:sz w:val="24"/>
                <w:highlight w:val="none"/>
              </w:rPr>
              <w:t>期间使用噪声值大的设备分散使用</w:t>
            </w:r>
            <w:r>
              <w:rPr>
                <w:rFonts w:hint="eastAsia"/>
                <w:sz w:val="24"/>
                <w:highlight w:val="none"/>
              </w:rPr>
              <w:t>。</w:t>
            </w:r>
          </w:p>
          <w:p w14:paraId="7BBE9395">
            <w:pPr>
              <w:spacing w:line="360" w:lineRule="auto"/>
              <w:ind w:firstLine="480"/>
              <w:rPr>
                <w:sz w:val="24"/>
                <w:highlight w:val="none"/>
              </w:rPr>
            </w:pPr>
            <w:r>
              <w:rPr>
                <w:rFonts w:hint="eastAsia"/>
                <w:sz w:val="24"/>
                <w:highlight w:val="none"/>
              </w:rPr>
              <w:t>（3）建设</w:t>
            </w:r>
            <w:r>
              <w:rPr>
                <w:sz w:val="24"/>
                <w:highlight w:val="none"/>
              </w:rPr>
              <w:t>现场不安装混凝土搅拌机，混凝土外购</w:t>
            </w:r>
            <w:r>
              <w:rPr>
                <w:rFonts w:hint="eastAsia"/>
                <w:sz w:val="24"/>
                <w:highlight w:val="none"/>
              </w:rPr>
              <w:t>。</w:t>
            </w:r>
          </w:p>
          <w:p w14:paraId="5930B1AA">
            <w:pPr>
              <w:spacing w:line="360" w:lineRule="auto"/>
              <w:ind w:firstLine="480"/>
              <w:rPr>
                <w:sz w:val="24"/>
                <w:highlight w:val="none"/>
              </w:rPr>
            </w:pPr>
            <w:r>
              <w:rPr>
                <w:rFonts w:hint="eastAsia"/>
                <w:sz w:val="24"/>
                <w:highlight w:val="none"/>
              </w:rPr>
              <w:t>（4）</w:t>
            </w:r>
            <w:r>
              <w:rPr>
                <w:sz w:val="24"/>
                <w:highlight w:val="none"/>
              </w:rPr>
              <w:t>对于运输材料、土石方等物料的车辆，</w:t>
            </w:r>
            <w:r>
              <w:rPr>
                <w:rFonts w:hint="eastAsia"/>
                <w:sz w:val="24"/>
                <w:highlight w:val="none"/>
              </w:rPr>
              <w:t>不在</w:t>
            </w:r>
            <w:r>
              <w:rPr>
                <w:sz w:val="24"/>
                <w:highlight w:val="none"/>
              </w:rPr>
              <w:t>敏感时段运输，加强管理，车辆减速、禁鸣，</w:t>
            </w:r>
            <w:r>
              <w:rPr>
                <w:rFonts w:hint="eastAsia"/>
                <w:sz w:val="24"/>
                <w:highlight w:val="none"/>
              </w:rPr>
              <w:t>场地内</w:t>
            </w:r>
            <w:r>
              <w:rPr>
                <w:sz w:val="24"/>
                <w:highlight w:val="none"/>
              </w:rPr>
              <w:t>运输车辆</w:t>
            </w:r>
            <w:r>
              <w:rPr>
                <w:rFonts w:hint="eastAsia"/>
                <w:sz w:val="24"/>
                <w:highlight w:val="none"/>
              </w:rPr>
              <w:t>不长时间</w:t>
            </w:r>
            <w:r>
              <w:rPr>
                <w:sz w:val="24"/>
                <w:highlight w:val="none"/>
              </w:rPr>
              <w:t>行驶</w:t>
            </w:r>
            <w:r>
              <w:rPr>
                <w:rFonts w:hint="eastAsia"/>
                <w:sz w:val="24"/>
                <w:highlight w:val="none"/>
              </w:rPr>
              <w:t>。</w:t>
            </w:r>
          </w:p>
          <w:p w14:paraId="3C1CAE62">
            <w:pPr>
              <w:spacing w:line="360" w:lineRule="auto"/>
              <w:ind w:firstLine="480"/>
              <w:rPr>
                <w:sz w:val="24"/>
                <w:highlight w:val="none"/>
              </w:rPr>
            </w:pPr>
            <w:r>
              <w:rPr>
                <w:rFonts w:hint="eastAsia"/>
                <w:sz w:val="24"/>
                <w:highlight w:val="none"/>
              </w:rPr>
              <w:t>（5）加强施工期的环境管理工作。</w:t>
            </w:r>
          </w:p>
          <w:p w14:paraId="6FB67F3F">
            <w:pPr>
              <w:spacing w:line="360" w:lineRule="auto"/>
              <w:ind w:firstLine="480"/>
              <w:rPr>
                <w:sz w:val="24"/>
                <w:highlight w:val="none"/>
              </w:rPr>
            </w:pPr>
            <w:r>
              <w:rPr>
                <w:sz w:val="24"/>
                <w:highlight w:val="none"/>
              </w:rPr>
              <w:t>在采取上述措施后，项目施工期施工场界噪声满足《建筑施工场界环境噪声排放标准》（GB12523-2011</w:t>
            </w:r>
            <w:r>
              <w:rPr>
                <w:rFonts w:hint="eastAsia"/>
                <w:sz w:val="24"/>
                <w:highlight w:val="none"/>
              </w:rPr>
              <w:t>）</w:t>
            </w:r>
            <w:r>
              <w:rPr>
                <w:sz w:val="24"/>
                <w:highlight w:val="none"/>
              </w:rPr>
              <w:t>要求</w:t>
            </w:r>
            <w:r>
              <w:rPr>
                <w:rFonts w:hint="eastAsia"/>
                <w:sz w:val="24"/>
                <w:highlight w:val="none"/>
              </w:rPr>
              <w:t>，</w:t>
            </w:r>
            <w:r>
              <w:rPr>
                <w:sz w:val="24"/>
                <w:highlight w:val="none"/>
              </w:rPr>
              <w:t>达标排放，对周围</w:t>
            </w:r>
            <w:r>
              <w:rPr>
                <w:rFonts w:hint="eastAsia"/>
                <w:sz w:val="24"/>
                <w:highlight w:val="none"/>
              </w:rPr>
              <w:t>声</w:t>
            </w:r>
            <w:r>
              <w:rPr>
                <w:sz w:val="24"/>
                <w:highlight w:val="none"/>
              </w:rPr>
              <w:t>环境影响较小。</w:t>
            </w:r>
          </w:p>
          <w:p w14:paraId="335AC776">
            <w:pPr>
              <w:spacing w:line="360" w:lineRule="auto"/>
              <w:ind w:firstLine="482"/>
              <w:rPr>
                <w:bCs/>
                <w:spacing w:val="-10"/>
                <w:sz w:val="24"/>
                <w:szCs w:val="21"/>
                <w:highlight w:val="none"/>
              </w:rPr>
            </w:pPr>
            <w:r>
              <w:rPr>
                <w:b/>
                <w:sz w:val="24"/>
                <w:highlight w:val="none"/>
              </w:rPr>
              <w:t>4．</w:t>
            </w:r>
            <w:r>
              <w:rPr>
                <w:rFonts w:hint="eastAsia"/>
                <w:b/>
                <w:sz w:val="24"/>
                <w:highlight w:val="none"/>
              </w:rPr>
              <w:t>施工期固体废物环境影响和处置措施</w:t>
            </w:r>
          </w:p>
          <w:p w14:paraId="3CA2B5E3">
            <w:pPr>
              <w:spacing w:line="360" w:lineRule="auto"/>
              <w:ind w:firstLine="480"/>
              <w:rPr>
                <w:sz w:val="24"/>
                <w:highlight w:val="none"/>
              </w:rPr>
            </w:pPr>
            <w:r>
              <w:rPr>
                <w:sz w:val="24"/>
                <w:highlight w:val="none"/>
              </w:rPr>
              <w:t>项目建设过程中产生的固体废物主要为弃土、弃渣、建筑垃圾和工人</w:t>
            </w:r>
            <w:r>
              <w:rPr>
                <w:rFonts w:hint="eastAsia"/>
                <w:sz w:val="24"/>
                <w:highlight w:val="none"/>
              </w:rPr>
              <w:t>施工</w:t>
            </w:r>
            <w:r>
              <w:rPr>
                <w:sz w:val="24"/>
                <w:highlight w:val="none"/>
              </w:rPr>
              <w:t>产生的生活垃圾。</w:t>
            </w:r>
          </w:p>
          <w:p w14:paraId="49288BE6">
            <w:pPr>
              <w:spacing w:line="360" w:lineRule="auto"/>
              <w:ind w:firstLine="480"/>
              <w:rPr>
                <w:sz w:val="24"/>
                <w:highlight w:val="none"/>
              </w:rPr>
            </w:pPr>
            <w:r>
              <w:rPr>
                <w:rFonts w:hint="eastAsia"/>
                <w:sz w:val="24"/>
                <w:highlight w:val="none"/>
              </w:rPr>
              <w:t>采取的固废废物处置措施为：</w:t>
            </w:r>
          </w:p>
          <w:p w14:paraId="338BC681">
            <w:pPr>
              <w:spacing w:line="360" w:lineRule="auto"/>
              <w:ind w:firstLine="480"/>
              <w:rPr>
                <w:sz w:val="24"/>
                <w:highlight w:val="none"/>
              </w:rPr>
            </w:pPr>
            <w:r>
              <w:rPr>
                <w:rFonts w:hint="eastAsia"/>
                <w:sz w:val="24"/>
                <w:highlight w:val="none"/>
              </w:rPr>
              <w:t>（1）</w:t>
            </w:r>
            <w:r>
              <w:rPr>
                <w:sz w:val="24"/>
                <w:highlight w:val="none"/>
              </w:rPr>
              <w:t>建设过程中产生的弃土</w:t>
            </w:r>
            <w:r>
              <w:rPr>
                <w:rFonts w:hint="eastAsia"/>
                <w:sz w:val="24"/>
                <w:highlight w:val="none"/>
              </w:rPr>
              <w:t>、</w:t>
            </w:r>
            <w:r>
              <w:rPr>
                <w:sz w:val="24"/>
                <w:highlight w:val="none"/>
              </w:rPr>
              <w:t>石及建筑垃圾等</w:t>
            </w:r>
            <w:r>
              <w:rPr>
                <w:rFonts w:hint="eastAsia"/>
                <w:sz w:val="24"/>
                <w:highlight w:val="none"/>
              </w:rPr>
              <w:t>指定地点堆存，优先进行回用</w:t>
            </w:r>
            <w:r>
              <w:rPr>
                <w:sz w:val="24"/>
                <w:highlight w:val="none"/>
              </w:rPr>
              <w:t>，剩余部分</w:t>
            </w:r>
            <w:r>
              <w:rPr>
                <w:rFonts w:hint="eastAsia"/>
                <w:sz w:val="24"/>
                <w:highlight w:val="none"/>
              </w:rPr>
              <w:t>及时清运，</w:t>
            </w:r>
            <w:r>
              <w:rPr>
                <w:sz w:val="24"/>
                <w:highlight w:val="none"/>
              </w:rPr>
              <w:t>送至</w:t>
            </w:r>
            <w:r>
              <w:rPr>
                <w:rFonts w:hint="eastAsia"/>
                <w:sz w:val="24"/>
                <w:highlight w:val="none"/>
              </w:rPr>
              <w:t>区域指定</w:t>
            </w:r>
            <w:r>
              <w:rPr>
                <w:sz w:val="24"/>
                <w:highlight w:val="none"/>
              </w:rPr>
              <w:t>建筑垃圾场堆存处置</w:t>
            </w:r>
            <w:r>
              <w:rPr>
                <w:rFonts w:hint="eastAsia"/>
                <w:sz w:val="24"/>
                <w:highlight w:val="none"/>
              </w:rPr>
              <w:t>。</w:t>
            </w:r>
          </w:p>
          <w:p w14:paraId="1F82239C">
            <w:pPr>
              <w:spacing w:line="360" w:lineRule="auto"/>
              <w:ind w:firstLine="480"/>
              <w:rPr>
                <w:rFonts w:ascii="宋体" w:hAnsi="宋体" w:cs="宋体"/>
                <w:bCs/>
                <w:spacing w:val="-10"/>
                <w:sz w:val="24"/>
                <w:szCs w:val="21"/>
                <w:highlight w:val="none"/>
              </w:rPr>
            </w:pPr>
            <w:r>
              <w:rPr>
                <w:rFonts w:hint="eastAsia"/>
                <w:sz w:val="24"/>
                <w:highlight w:val="none"/>
              </w:rPr>
              <w:t>（2）</w:t>
            </w:r>
            <w:r>
              <w:rPr>
                <w:sz w:val="24"/>
                <w:highlight w:val="none"/>
              </w:rPr>
              <w:t>建设过程中产生的生活垃圾集中收集，送至</w:t>
            </w:r>
            <w:r>
              <w:rPr>
                <w:rFonts w:hint="eastAsia"/>
                <w:sz w:val="24"/>
                <w:highlight w:val="none"/>
              </w:rPr>
              <w:t>区域指定垃圾集中堆存点，由区域</w:t>
            </w:r>
            <w:r>
              <w:rPr>
                <w:sz w:val="24"/>
                <w:highlight w:val="none"/>
              </w:rPr>
              <w:t>环卫部门</w:t>
            </w:r>
            <w:r>
              <w:rPr>
                <w:rFonts w:hint="eastAsia"/>
                <w:sz w:val="24"/>
                <w:highlight w:val="none"/>
              </w:rPr>
              <w:t>统一负责处置</w:t>
            </w:r>
            <w:r>
              <w:rPr>
                <w:sz w:val="24"/>
                <w:highlight w:val="none"/>
              </w:rPr>
              <w:t>。</w:t>
            </w:r>
          </w:p>
        </w:tc>
      </w:tr>
      <w:tr w14:paraId="5278A8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746" w:type="dxa"/>
            <w:tcMar>
              <w:left w:w="28" w:type="dxa"/>
              <w:right w:w="28" w:type="dxa"/>
            </w:tcMar>
            <w:vAlign w:val="center"/>
          </w:tcPr>
          <w:p w14:paraId="42830773">
            <w:pPr>
              <w:adjustRightInd w:val="0"/>
              <w:snapToGrid w:val="0"/>
              <w:jc w:val="center"/>
              <w:rPr>
                <w:rFonts w:ascii="宋体" w:hAnsi="宋体" w:cs="宋体"/>
                <w:bCs/>
                <w:sz w:val="24"/>
                <w:szCs w:val="21"/>
                <w:highlight w:val="none"/>
              </w:rPr>
            </w:pPr>
            <w:r>
              <w:rPr>
                <w:rFonts w:hint="eastAsia" w:ascii="宋体" w:hAnsi="宋体" w:cs="宋体"/>
                <w:bCs/>
                <w:sz w:val="24"/>
                <w:szCs w:val="21"/>
                <w:highlight w:val="none"/>
              </w:rPr>
              <w:t>运营</w:t>
            </w:r>
          </w:p>
          <w:p w14:paraId="37C18EDC">
            <w:pPr>
              <w:adjustRightInd w:val="0"/>
              <w:snapToGrid w:val="0"/>
              <w:jc w:val="center"/>
              <w:rPr>
                <w:rFonts w:ascii="宋体" w:hAnsi="宋体" w:cs="宋体"/>
                <w:bCs/>
                <w:sz w:val="24"/>
                <w:szCs w:val="21"/>
                <w:highlight w:val="none"/>
              </w:rPr>
            </w:pPr>
            <w:r>
              <w:rPr>
                <w:rFonts w:hint="eastAsia" w:ascii="宋体" w:hAnsi="宋体" w:cs="宋体"/>
                <w:bCs/>
                <w:sz w:val="24"/>
                <w:szCs w:val="21"/>
                <w:highlight w:val="none"/>
              </w:rPr>
              <w:t>期环</w:t>
            </w:r>
          </w:p>
          <w:p w14:paraId="17925DB9">
            <w:pPr>
              <w:adjustRightInd w:val="0"/>
              <w:snapToGrid w:val="0"/>
              <w:jc w:val="center"/>
              <w:rPr>
                <w:rFonts w:ascii="宋体" w:hAnsi="宋体" w:cs="宋体"/>
                <w:bCs/>
                <w:sz w:val="24"/>
                <w:szCs w:val="21"/>
                <w:highlight w:val="none"/>
              </w:rPr>
            </w:pPr>
            <w:r>
              <w:rPr>
                <w:rFonts w:hint="eastAsia" w:ascii="宋体" w:hAnsi="宋体" w:cs="宋体"/>
                <w:bCs/>
                <w:sz w:val="24"/>
                <w:szCs w:val="21"/>
                <w:highlight w:val="none"/>
              </w:rPr>
              <w:t>境影</w:t>
            </w:r>
          </w:p>
          <w:p w14:paraId="652246D7">
            <w:pPr>
              <w:adjustRightInd w:val="0"/>
              <w:snapToGrid w:val="0"/>
              <w:jc w:val="center"/>
              <w:rPr>
                <w:rFonts w:ascii="宋体" w:hAnsi="宋体" w:cs="宋体"/>
                <w:bCs/>
                <w:sz w:val="24"/>
                <w:szCs w:val="21"/>
                <w:highlight w:val="none"/>
              </w:rPr>
            </w:pPr>
            <w:r>
              <w:rPr>
                <w:rFonts w:hint="eastAsia" w:ascii="宋体" w:hAnsi="宋体" w:cs="宋体"/>
                <w:bCs/>
                <w:sz w:val="24"/>
                <w:szCs w:val="21"/>
                <w:highlight w:val="none"/>
              </w:rPr>
              <w:t>响和</w:t>
            </w:r>
          </w:p>
          <w:p w14:paraId="6F048EA1">
            <w:pPr>
              <w:adjustRightInd w:val="0"/>
              <w:snapToGrid w:val="0"/>
              <w:jc w:val="center"/>
              <w:rPr>
                <w:rFonts w:ascii="宋体" w:hAnsi="宋体" w:cs="宋体"/>
                <w:bCs/>
                <w:sz w:val="24"/>
                <w:szCs w:val="21"/>
                <w:highlight w:val="none"/>
              </w:rPr>
            </w:pPr>
            <w:r>
              <w:rPr>
                <w:rFonts w:hint="eastAsia" w:ascii="宋体" w:hAnsi="宋体" w:cs="宋体"/>
                <w:bCs/>
                <w:sz w:val="24"/>
                <w:szCs w:val="21"/>
                <w:highlight w:val="none"/>
              </w:rPr>
              <w:t>保护</w:t>
            </w:r>
          </w:p>
          <w:p w14:paraId="1CE09F3E">
            <w:pPr>
              <w:adjustRightInd w:val="0"/>
              <w:snapToGrid w:val="0"/>
              <w:jc w:val="center"/>
              <w:rPr>
                <w:rFonts w:ascii="宋体" w:hAnsi="宋体" w:cs="宋体"/>
                <w:bCs/>
                <w:sz w:val="24"/>
                <w:szCs w:val="21"/>
                <w:highlight w:val="none"/>
              </w:rPr>
            </w:pPr>
            <w:r>
              <w:rPr>
                <w:rFonts w:hint="eastAsia" w:ascii="宋体" w:hAnsi="宋体" w:cs="宋体"/>
                <w:bCs/>
                <w:sz w:val="24"/>
                <w:szCs w:val="21"/>
                <w:highlight w:val="none"/>
              </w:rPr>
              <w:t>措施</w:t>
            </w:r>
          </w:p>
        </w:tc>
        <w:tc>
          <w:tcPr>
            <w:tcW w:w="8162" w:type="dxa"/>
            <w:vAlign w:val="center"/>
          </w:tcPr>
          <w:p w14:paraId="7049BE99">
            <w:pPr>
              <w:spacing w:before="120" w:beforeLines="50" w:line="360" w:lineRule="auto"/>
              <w:ind w:firstLine="482"/>
              <w:rPr>
                <w:b/>
                <w:sz w:val="24"/>
                <w:highlight w:val="none"/>
              </w:rPr>
            </w:pPr>
            <w:r>
              <w:rPr>
                <w:rFonts w:hint="eastAsia"/>
                <w:b/>
                <w:sz w:val="24"/>
                <w:highlight w:val="none"/>
              </w:rPr>
              <w:t>1</w:t>
            </w:r>
            <w:r>
              <w:rPr>
                <w:b/>
                <w:sz w:val="24"/>
                <w:highlight w:val="none"/>
              </w:rPr>
              <w:t>．</w:t>
            </w:r>
            <w:r>
              <w:rPr>
                <w:rFonts w:hint="eastAsia"/>
                <w:b/>
                <w:sz w:val="24"/>
                <w:highlight w:val="none"/>
              </w:rPr>
              <w:t>大气环境影响和保护措施</w:t>
            </w:r>
          </w:p>
          <w:p w14:paraId="296CD986">
            <w:pPr>
              <w:spacing w:line="360" w:lineRule="auto"/>
              <w:ind w:firstLine="480"/>
              <w:rPr>
                <w:b/>
                <w:sz w:val="24"/>
                <w:highlight w:val="none"/>
              </w:rPr>
            </w:pPr>
            <w:r>
              <w:rPr>
                <w:rFonts w:hint="eastAsia"/>
                <w:b/>
                <w:sz w:val="24"/>
                <w:highlight w:val="none"/>
              </w:rPr>
              <w:t>（</w:t>
            </w:r>
            <w:r>
              <w:rPr>
                <w:b/>
                <w:sz w:val="24"/>
                <w:highlight w:val="none"/>
              </w:rPr>
              <w:t>1</w:t>
            </w:r>
            <w:r>
              <w:rPr>
                <w:rFonts w:hint="eastAsia"/>
                <w:b/>
                <w:sz w:val="24"/>
                <w:highlight w:val="none"/>
              </w:rPr>
              <w:t>）废气污染源调查</w:t>
            </w:r>
          </w:p>
          <w:p w14:paraId="18FDD6AE">
            <w:pPr>
              <w:snapToGrid w:val="0"/>
              <w:spacing w:line="360" w:lineRule="auto"/>
              <w:ind w:firstLine="480" w:firstLineChars="200"/>
              <w:rPr>
                <w:sz w:val="24"/>
                <w:highlight w:val="none"/>
              </w:rPr>
            </w:pPr>
            <w:r>
              <w:rPr>
                <w:rFonts w:hint="eastAsia"/>
                <w:sz w:val="24"/>
                <w:highlight w:val="none"/>
              </w:rPr>
              <w:t>根据工程分析，项目产生的废气主要</w:t>
            </w:r>
            <w:r>
              <w:rPr>
                <w:rFonts w:hint="eastAsia"/>
                <w:sz w:val="24"/>
                <w:highlight w:val="none"/>
                <w:lang w:val="en-US" w:eastAsia="zh-CN"/>
              </w:rPr>
              <w:t>为锅炉废气</w:t>
            </w:r>
            <w:r>
              <w:rPr>
                <w:rFonts w:hint="eastAsia"/>
                <w:sz w:val="24"/>
                <w:highlight w:val="none"/>
              </w:rPr>
              <w:t>。</w:t>
            </w:r>
          </w:p>
          <w:p w14:paraId="363A37B3">
            <w:pPr>
              <w:snapToGrid w:val="0"/>
              <w:spacing w:line="360" w:lineRule="auto"/>
              <w:ind w:firstLine="480" w:firstLineChars="200"/>
              <w:rPr>
                <w:sz w:val="24"/>
                <w:highlight w:val="none"/>
              </w:rPr>
            </w:pPr>
            <w:r>
              <w:rPr>
                <w:sz w:val="24"/>
                <w:highlight w:val="none"/>
              </w:rPr>
              <w:t>废气污染源</w:t>
            </w:r>
            <w:r>
              <w:rPr>
                <w:rFonts w:hint="eastAsia"/>
                <w:sz w:val="24"/>
                <w:highlight w:val="none"/>
              </w:rPr>
              <w:t>调查</w:t>
            </w:r>
            <w:r>
              <w:rPr>
                <w:sz w:val="24"/>
                <w:highlight w:val="none"/>
              </w:rPr>
              <w:t>情况见下表。</w:t>
            </w:r>
          </w:p>
          <w:p w14:paraId="112C97BF">
            <w:pPr>
              <w:pStyle w:val="50"/>
              <w:numPr>
                <w:ilvl w:val="0"/>
                <w:numId w:val="11"/>
              </w:numPr>
              <w:spacing w:line="360" w:lineRule="auto"/>
              <w:ind w:left="0" w:firstLine="0" w:firstLineChars="0"/>
              <w:jc w:val="center"/>
              <w:rPr>
                <w:rFonts w:ascii="Times New Roman" w:hAnsi="Times New Roman" w:eastAsia="宋体"/>
                <w:highlight w:val="none"/>
              </w:rPr>
            </w:pPr>
            <w:r>
              <w:rPr>
                <w:rFonts w:hint="eastAsia" w:ascii="Times New Roman" w:hAnsi="Times New Roman" w:eastAsia="宋体"/>
                <w:b/>
                <w:bCs/>
                <w:snapToGrid w:val="0"/>
                <w:sz w:val="21"/>
                <w:szCs w:val="21"/>
                <w:highlight w:val="none"/>
              </w:rPr>
              <w:t>项目废气污染源调查情况一览表</w:t>
            </w:r>
          </w:p>
          <w:tbl>
            <w:tblPr>
              <w:tblStyle w:val="24"/>
              <w:tblW w:w="499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3"/>
              <w:gridCol w:w="1581"/>
              <w:gridCol w:w="1503"/>
              <w:gridCol w:w="1136"/>
              <w:gridCol w:w="3494"/>
            </w:tblGrid>
            <w:tr w14:paraId="7A6E4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Align w:val="center"/>
                </w:tcPr>
                <w:p w14:paraId="48EAB271">
                  <w:pPr>
                    <w:jc w:val="center"/>
                    <w:rPr>
                      <w:b/>
                      <w:bCs/>
                      <w:szCs w:val="21"/>
                      <w:highlight w:val="none"/>
                    </w:rPr>
                  </w:pPr>
                  <w:r>
                    <w:rPr>
                      <w:b/>
                      <w:bCs/>
                      <w:szCs w:val="21"/>
                      <w:highlight w:val="none"/>
                    </w:rPr>
                    <w:t>序号</w:t>
                  </w:r>
                </w:p>
              </w:tc>
              <w:tc>
                <w:tcPr>
                  <w:tcW w:w="935" w:type="pct"/>
                  <w:vAlign w:val="center"/>
                </w:tcPr>
                <w:p w14:paraId="6ECC6E9E">
                  <w:pPr>
                    <w:jc w:val="center"/>
                    <w:rPr>
                      <w:b/>
                      <w:bCs/>
                      <w:szCs w:val="21"/>
                      <w:highlight w:val="none"/>
                    </w:rPr>
                  </w:pPr>
                  <w:r>
                    <w:rPr>
                      <w:rFonts w:hint="eastAsia"/>
                      <w:b/>
                      <w:bCs/>
                      <w:szCs w:val="21"/>
                      <w:highlight w:val="none"/>
                    </w:rPr>
                    <w:t>产排污环节</w:t>
                  </w:r>
                </w:p>
              </w:tc>
              <w:tc>
                <w:tcPr>
                  <w:tcW w:w="889" w:type="pct"/>
                  <w:vAlign w:val="center"/>
                </w:tcPr>
                <w:p w14:paraId="33BC8DDF">
                  <w:pPr>
                    <w:jc w:val="center"/>
                    <w:rPr>
                      <w:b/>
                      <w:bCs/>
                      <w:szCs w:val="21"/>
                      <w:highlight w:val="none"/>
                    </w:rPr>
                  </w:pPr>
                  <w:r>
                    <w:rPr>
                      <w:b/>
                      <w:bCs/>
                      <w:szCs w:val="21"/>
                      <w:highlight w:val="none"/>
                    </w:rPr>
                    <w:t>污染物</w:t>
                  </w:r>
                  <w:r>
                    <w:rPr>
                      <w:rFonts w:hint="eastAsia"/>
                      <w:b/>
                      <w:bCs/>
                      <w:szCs w:val="21"/>
                      <w:highlight w:val="none"/>
                    </w:rPr>
                    <w:t>种类</w:t>
                  </w:r>
                </w:p>
              </w:tc>
              <w:tc>
                <w:tcPr>
                  <w:tcW w:w="672" w:type="pct"/>
                  <w:vAlign w:val="center"/>
                </w:tcPr>
                <w:p w14:paraId="639B8232">
                  <w:pPr>
                    <w:jc w:val="center"/>
                    <w:rPr>
                      <w:b/>
                      <w:bCs/>
                      <w:szCs w:val="21"/>
                      <w:highlight w:val="none"/>
                    </w:rPr>
                  </w:pPr>
                  <w:r>
                    <w:rPr>
                      <w:b/>
                      <w:bCs/>
                      <w:szCs w:val="21"/>
                      <w:highlight w:val="none"/>
                    </w:rPr>
                    <w:t>排放</w:t>
                  </w:r>
                  <w:r>
                    <w:rPr>
                      <w:rFonts w:hint="eastAsia"/>
                      <w:b/>
                      <w:bCs/>
                      <w:szCs w:val="21"/>
                      <w:highlight w:val="none"/>
                    </w:rPr>
                    <w:t>形式</w:t>
                  </w:r>
                </w:p>
              </w:tc>
              <w:tc>
                <w:tcPr>
                  <w:tcW w:w="2067" w:type="pct"/>
                  <w:vAlign w:val="center"/>
                </w:tcPr>
                <w:p w14:paraId="5FDE9E5D">
                  <w:pPr>
                    <w:jc w:val="center"/>
                    <w:rPr>
                      <w:b/>
                      <w:bCs/>
                      <w:szCs w:val="21"/>
                      <w:highlight w:val="none"/>
                    </w:rPr>
                  </w:pPr>
                  <w:r>
                    <w:rPr>
                      <w:b/>
                      <w:bCs/>
                      <w:szCs w:val="21"/>
                      <w:highlight w:val="none"/>
                    </w:rPr>
                    <w:t>污染因子</w:t>
                  </w:r>
                </w:p>
              </w:tc>
            </w:tr>
            <w:tr w14:paraId="7F81C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Align w:val="center"/>
                </w:tcPr>
                <w:p w14:paraId="10187838">
                  <w:pPr>
                    <w:jc w:val="center"/>
                    <w:rPr>
                      <w:szCs w:val="21"/>
                      <w:highlight w:val="none"/>
                    </w:rPr>
                  </w:pPr>
                  <w:r>
                    <w:rPr>
                      <w:szCs w:val="21"/>
                      <w:highlight w:val="none"/>
                    </w:rPr>
                    <w:t>1</w:t>
                  </w:r>
                </w:p>
              </w:tc>
              <w:tc>
                <w:tcPr>
                  <w:tcW w:w="935" w:type="pct"/>
                  <w:vAlign w:val="center"/>
                </w:tcPr>
                <w:p w14:paraId="15C8AF26">
                  <w:pPr>
                    <w:jc w:val="center"/>
                    <w:rPr>
                      <w:rFonts w:hint="eastAsia" w:eastAsia="宋体"/>
                      <w:szCs w:val="21"/>
                      <w:highlight w:val="none"/>
                      <w:lang w:eastAsia="zh-CN"/>
                    </w:rPr>
                  </w:pPr>
                  <w:r>
                    <w:rPr>
                      <w:rFonts w:hint="eastAsia"/>
                      <w:szCs w:val="21"/>
                      <w:highlight w:val="none"/>
                      <w:lang w:val="en-US" w:eastAsia="zh-CN"/>
                    </w:rPr>
                    <w:t>锅炉</w:t>
                  </w:r>
                </w:p>
              </w:tc>
              <w:tc>
                <w:tcPr>
                  <w:tcW w:w="889" w:type="pct"/>
                  <w:vAlign w:val="center"/>
                </w:tcPr>
                <w:p w14:paraId="4EF3FE20">
                  <w:pPr>
                    <w:jc w:val="center"/>
                    <w:rPr>
                      <w:rFonts w:hint="default" w:eastAsia="宋体"/>
                      <w:szCs w:val="21"/>
                      <w:highlight w:val="none"/>
                      <w:lang w:val="en-US" w:eastAsia="zh-CN"/>
                    </w:rPr>
                  </w:pPr>
                  <w:r>
                    <w:rPr>
                      <w:rFonts w:hint="eastAsia"/>
                      <w:szCs w:val="21"/>
                      <w:highlight w:val="none"/>
                      <w:lang w:val="en-US" w:eastAsia="zh-CN"/>
                    </w:rPr>
                    <w:t>锅炉烟气</w:t>
                  </w:r>
                </w:p>
              </w:tc>
              <w:tc>
                <w:tcPr>
                  <w:tcW w:w="672" w:type="pct"/>
                  <w:vAlign w:val="center"/>
                </w:tcPr>
                <w:p w14:paraId="0168E9BF">
                  <w:pPr>
                    <w:jc w:val="center"/>
                    <w:rPr>
                      <w:b/>
                      <w:bCs/>
                      <w:szCs w:val="21"/>
                      <w:highlight w:val="none"/>
                    </w:rPr>
                  </w:pPr>
                  <w:r>
                    <w:rPr>
                      <w:szCs w:val="21"/>
                      <w:highlight w:val="none"/>
                    </w:rPr>
                    <w:t>有组织</w:t>
                  </w:r>
                </w:p>
              </w:tc>
              <w:tc>
                <w:tcPr>
                  <w:tcW w:w="2067" w:type="pct"/>
                  <w:vAlign w:val="center"/>
                </w:tcPr>
                <w:p w14:paraId="30DBE8E1">
                  <w:pPr>
                    <w:jc w:val="center"/>
                    <w:rPr>
                      <w:rFonts w:hint="default" w:eastAsia="宋体"/>
                      <w:b/>
                      <w:bCs/>
                      <w:szCs w:val="21"/>
                      <w:highlight w:val="none"/>
                      <w:lang w:val="en-US" w:eastAsia="zh-CN"/>
                    </w:rPr>
                  </w:pPr>
                  <w:r>
                    <w:rPr>
                      <w:szCs w:val="21"/>
                      <w:highlight w:val="none"/>
                    </w:rPr>
                    <w:t>颗粒物</w:t>
                  </w:r>
                  <w:r>
                    <w:rPr>
                      <w:rFonts w:hint="eastAsia"/>
                      <w:szCs w:val="21"/>
                      <w:highlight w:val="none"/>
                      <w:lang w:eastAsia="zh-CN"/>
                    </w:rPr>
                    <w:t>、</w:t>
                  </w:r>
                  <w:r>
                    <w:rPr>
                      <w:rFonts w:hint="eastAsia"/>
                      <w:szCs w:val="21"/>
                      <w:highlight w:val="none"/>
                      <w:lang w:val="en-US" w:eastAsia="zh-CN"/>
                    </w:rPr>
                    <w:t>二氧化硫、氮氧化物、烟气黑度</w:t>
                  </w:r>
                </w:p>
              </w:tc>
            </w:tr>
          </w:tbl>
          <w:p w14:paraId="4792B2F5">
            <w:pPr>
              <w:spacing w:before="120" w:beforeLines="50" w:line="360" w:lineRule="auto"/>
              <w:ind w:firstLine="482"/>
              <w:rPr>
                <w:b/>
                <w:sz w:val="24"/>
                <w:highlight w:val="none"/>
              </w:rPr>
            </w:pPr>
            <w:bookmarkStart w:id="17" w:name="OLE_LINK10"/>
            <w:r>
              <w:rPr>
                <w:rFonts w:hint="eastAsia"/>
                <w:b/>
                <w:sz w:val="24"/>
                <w:highlight w:val="none"/>
              </w:rPr>
              <w:t>（</w:t>
            </w:r>
            <w:r>
              <w:rPr>
                <w:b/>
                <w:sz w:val="24"/>
                <w:highlight w:val="none"/>
              </w:rPr>
              <w:t>2</w:t>
            </w:r>
            <w:r>
              <w:rPr>
                <w:rFonts w:hint="eastAsia"/>
                <w:b/>
                <w:sz w:val="24"/>
                <w:highlight w:val="none"/>
              </w:rPr>
              <w:t>）</w:t>
            </w:r>
            <w:bookmarkEnd w:id="17"/>
            <w:r>
              <w:rPr>
                <w:rFonts w:hint="eastAsia"/>
                <w:b/>
                <w:sz w:val="24"/>
                <w:highlight w:val="none"/>
              </w:rPr>
              <w:t>废气污染源核算</w:t>
            </w:r>
          </w:p>
          <w:p w14:paraId="43D73F82">
            <w:pPr>
              <w:spacing w:line="360" w:lineRule="auto"/>
              <w:ind w:firstLine="482"/>
              <w:rPr>
                <w:rFonts w:hint="default" w:ascii="Times New Roman" w:hAnsi="Times New Roman" w:eastAsia="宋体" w:cs="Times New Roman"/>
                <w:sz w:val="24"/>
                <w:highlight w:val="none"/>
              </w:rPr>
            </w:pPr>
            <w:r>
              <w:rPr>
                <w:rFonts w:hint="eastAsia" w:ascii="Times New Roman" w:hAnsi="Times New Roman" w:eastAsia="宋体" w:cs="Times New Roman"/>
                <w:sz w:val="24"/>
                <w:highlight w:val="none"/>
              </w:rPr>
              <w:t>项目运行一台</w:t>
            </w:r>
            <w:r>
              <w:rPr>
                <w:rFonts w:hint="eastAsia" w:ascii="Times New Roman" w:hAnsi="Times New Roman" w:eastAsia="宋体" w:cs="Times New Roman"/>
                <w:sz w:val="24"/>
                <w:highlight w:val="none"/>
                <w:lang w:val="en-US" w:eastAsia="zh-CN"/>
              </w:rPr>
              <w:t>2</w:t>
            </w:r>
            <w:r>
              <w:rPr>
                <w:rFonts w:hint="eastAsia" w:ascii="Times New Roman" w:hAnsi="Times New Roman" w:eastAsia="宋体" w:cs="Times New Roman"/>
                <w:sz w:val="24"/>
                <w:highlight w:val="none"/>
              </w:rPr>
              <w:t>t/h的</w:t>
            </w:r>
            <w:r>
              <w:rPr>
                <w:rFonts w:hint="eastAsia" w:ascii="Times New Roman" w:hAnsi="Times New Roman" w:eastAsia="宋体" w:cs="Times New Roman"/>
                <w:sz w:val="24"/>
                <w:highlight w:val="none"/>
                <w:lang w:val="en-US" w:eastAsia="zh-CN"/>
              </w:rPr>
              <w:t>沼气</w:t>
            </w:r>
            <w:r>
              <w:rPr>
                <w:rFonts w:hint="eastAsia" w:ascii="Times New Roman" w:hAnsi="Times New Roman" w:eastAsia="宋体" w:cs="Times New Roman"/>
                <w:sz w:val="24"/>
                <w:highlight w:val="none"/>
              </w:rPr>
              <w:t>锅炉，</w:t>
            </w:r>
            <w:r>
              <w:rPr>
                <w:rFonts w:hint="eastAsia" w:ascii="Times New Roman" w:hAnsi="Times New Roman" w:eastAsia="宋体" w:cs="Times New Roman"/>
                <w:sz w:val="24"/>
                <w:highlight w:val="none"/>
                <w:lang w:val="en-US" w:eastAsia="zh-CN"/>
              </w:rPr>
              <w:t>年用沼气量为</w:t>
            </w:r>
            <w:r>
              <w:rPr>
                <w:rFonts w:hint="eastAsia" w:cs="Times New Roman"/>
                <w:sz w:val="24"/>
                <w:highlight w:val="none"/>
                <w:lang w:val="en-US" w:eastAsia="zh-CN"/>
              </w:rPr>
              <w:t>874800</w:t>
            </w:r>
            <w:r>
              <w:rPr>
                <w:rFonts w:hint="eastAsia" w:ascii="Times New Roman" w:hAnsi="Times New Roman" w:eastAsia="宋体" w:cs="Times New Roman"/>
                <w:sz w:val="24"/>
                <w:highlight w:val="none"/>
                <w:lang w:val="en-US" w:eastAsia="zh-CN"/>
              </w:rPr>
              <w:t>m</w:t>
            </w:r>
            <w:r>
              <w:rPr>
                <w:rFonts w:hint="eastAsia" w:ascii="Times New Roman" w:hAnsi="Times New Roman" w:eastAsia="宋体" w:cs="Times New Roman"/>
                <w:sz w:val="24"/>
                <w:highlight w:val="none"/>
                <w:vertAlign w:val="superscript"/>
                <w:lang w:val="en-US" w:eastAsia="zh-CN"/>
              </w:rPr>
              <w:t>3</w:t>
            </w:r>
            <w:r>
              <w:rPr>
                <w:rFonts w:hint="eastAsia" w:ascii="Times New Roman" w:hAnsi="Times New Roman" w:eastAsia="宋体" w:cs="Times New Roman"/>
                <w:sz w:val="24"/>
                <w:highlight w:val="none"/>
                <w:lang w:val="en-US" w:eastAsia="zh-CN"/>
              </w:rPr>
              <w:t>/a，</w:t>
            </w:r>
            <w:r>
              <w:rPr>
                <w:rFonts w:hint="eastAsia" w:ascii="Times New Roman" w:hAnsi="Times New Roman" w:eastAsia="宋体" w:cs="Times New Roman"/>
                <w:sz w:val="24"/>
                <w:highlight w:val="none"/>
              </w:rPr>
              <w:t>锅炉年运行天数</w:t>
            </w:r>
            <w:r>
              <w:rPr>
                <w:rFonts w:hint="eastAsia" w:ascii="Times New Roman" w:hAnsi="Times New Roman" w:eastAsia="宋体" w:cs="Times New Roman"/>
                <w:sz w:val="24"/>
                <w:highlight w:val="none"/>
                <w:lang w:val="en-US" w:eastAsia="zh-CN"/>
              </w:rPr>
              <w:t>90</w:t>
            </w:r>
            <w:r>
              <w:rPr>
                <w:rFonts w:hint="eastAsia" w:ascii="Times New Roman" w:hAnsi="Times New Roman" w:eastAsia="宋体" w:cs="Times New Roman"/>
                <w:sz w:val="24"/>
                <w:highlight w:val="none"/>
              </w:rPr>
              <w:t>天，每天运行</w:t>
            </w:r>
            <w:r>
              <w:rPr>
                <w:rFonts w:hint="eastAsia" w:ascii="Times New Roman" w:hAnsi="Times New Roman" w:eastAsia="宋体" w:cs="Times New Roman"/>
                <w:sz w:val="24"/>
                <w:highlight w:val="none"/>
                <w:lang w:val="en-US" w:eastAsia="zh-CN"/>
              </w:rPr>
              <w:t>24</w:t>
            </w:r>
            <w:r>
              <w:rPr>
                <w:rFonts w:hint="eastAsia" w:ascii="Times New Roman" w:hAnsi="Times New Roman" w:eastAsia="宋体" w:cs="Times New Roman"/>
                <w:sz w:val="24"/>
                <w:highlight w:val="none"/>
              </w:rPr>
              <w:t>小时。锅炉运行过程中</w:t>
            </w:r>
            <w:r>
              <w:rPr>
                <w:rFonts w:hint="eastAsia" w:ascii="Times New Roman" w:hAnsi="Times New Roman" w:eastAsia="宋体" w:cs="Times New Roman"/>
                <w:sz w:val="24"/>
                <w:highlight w:val="none"/>
                <w:lang w:val="en-US" w:eastAsia="zh-CN"/>
              </w:rPr>
              <w:t>沼气</w:t>
            </w:r>
            <w:r>
              <w:rPr>
                <w:rFonts w:hint="eastAsia" w:ascii="Times New Roman" w:hAnsi="Times New Roman" w:eastAsia="宋体" w:cs="Times New Roman"/>
                <w:sz w:val="24"/>
                <w:highlight w:val="none"/>
              </w:rPr>
              <w:t>燃烧会产生颗粒物、二氧化硫、氮氧化物和烟气黑度，计算结果如下所示。</w:t>
            </w:r>
          </w:p>
          <w:p w14:paraId="42CF72BD">
            <w:pPr>
              <w:spacing w:line="360" w:lineRule="auto"/>
              <w:ind w:firstLine="482"/>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①烟气量</w:t>
            </w:r>
          </w:p>
          <w:p w14:paraId="3A88E487">
            <w:pPr>
              <w:spacing w:line="360" w:lineRule="auto"/>
              <w:ind w:firstLine="482"/>
              <w:rPr>
                <w:rFonts w:hint="default" w:ascii="Times New Roman" w:hAnsi="Times New Roman" w:eastAsia="宋体" w:cs="Times New Roman"/>
                <w:sz w:val="24"/>
                <w:highlight w:val="none"/>
              </w:rPr>
            </w:pPr>
            <w:r>
              <w:rPr>
                <w:rFonts w:hint="eastAsia"/>
                <w:sz w:val="24"/>
                <w:highlight w:val="none"/>
              </w:rPr>
              <w:t>项目所属国民经济行业类别为：</w:t>
            </w:r>
            <w:r>
              <w:rPr>
                <w:rFonts w:hint="eastAsia"/>
                <w:sz w:val="24"/>
                <w:highlight w:val="none"/>
                <w:lang w:val="en-US" w:eastAsia="zh-CN"/>
              </w:rPr>
              <w:t>D4430热力生产和供应</w:t>
            </w:r>
            <w:r>
              <w:rPr>
                <w:rFonts w:hint="eastAsia"/>
                <w:sz w:val="24"/>
                <w:highlight w:val="none"/>
              </w:rPr>
              <w:t>，根据《排放源统计调查产排污核算方法和系数手册》-工业源产排污核算方法和系数手册-</w:t>
            </w:r>
            <w:r>
              <w:rPr>
                <w:rFonts w:hint="eastAsia"/>
                <w:sz w:val="24"/>
                <w:highlight w:val="none"/>
                <w:lang w:val="en-US" w:eastAsia="zh-CN"/>
              </w:rPr>
              <w:t>4430工业锅炉（热力供应）</w:t>
            </w:r>
            <w:r>
              <w:rPr>
                <w:rFonts w:hint="eastAsia"/>
                <w:sz w:val="24"/>
                <w:highlight w:val="none"/>
              </w:rPr>
              <w:t>行业系数手册-</w:t>
            </w:r>
            <w:r>
              <w:rPr>
                <w:rFonts w:hint="eastAsia"/>
                <w:sz w:val="24"/>
                <w:highlight w:val="none"/>
                <w:lang w:val="en-US" w:eastAsia="zh-CN"/>
              </w:rPr>
              <w:t>4430工业锅炉（热力供应）产污系数表-燃气工业锅炉</w:t>
            </w:r>
            <w:r>
              <w:rPr>
                <w:rFonts w:hint="eastAsia" w:ascii="Times New Roman" w:hAnsi="Times New Roman" w:eastAsia="宋体" w:cs="Times New Roman"/>
                <w:sz w:val="24"/>
                <w:highlight w:val="none"/>
              </w:rPr>
              <w:t>，工业废气量产污系数为107753标立方米/万立方米-原料，根据上述计算可知，锅炉燃烧</w:t>
            </w:r>
            <w:r>
              <w:rPr>
                <w:rFonts w:hint="eastAsia" w:ascii="Times New Roman" w:hAnsi="Times New Roman" w:eastAsia="宋体" w:cs="Times New Roman"/>
                <w:sz w:val="24"/>
                <w:highlight w:val="none"/>
                <w:lang w:val="en-US" w:eastAsia="zh-CN"/>
              </w:rPr>
              <w:t>沼气</w:t>
            </w:r>
            <w:r>
              <w:rPr>
                <w:rFonts w:hint="eastAsia" w:ascii="Times New Roman" w:hAnsi="Times New Roman" w:eastAsia="宋体" w:cs="Times New Roman"/>
                <w:sz w:val="24"/>
                <w:highlight w:val="none"/>
              </w:rPr>
              <w:t>量为</w:t>
            </w:r>
            <w:r>
              <w:rPr>
                <w:rFonts w:hint="eastAsia" w:cs="Times New Roman"/>
                <w:sz w:val="24"/>
                <w:highlight w:val="none"/>
                <w:lang w:val="en-US" w:eastAsia="zh-CN"/>
              </w:rPr>
              <w:t>87.48万</w:t>
            </w:r>
            <w:r>
              <w:rPr>
                <w:rFonts w:hint="eastAsia" w:ascii="Times New Roman" w:hAnsi="Times New Roman" w:eastAsia="宋体" w:cs="Times New Roman"/>
                <w:sz w:val="24"/>
                <w:highlight w:val="none"/>
              </w:rPr>
              <w:t>Nm</w:t>
            </w:r>
            <w:r>
              <w:rPr>
                <w:rFonts w:hint="eastAsia" w:ascii="Times New Roman" w:hAnsi="Times New Roman" w:eastAsia="宋体" w:cs="Times New Roman"/>
                <w:sz w:val="24"/>
                <w:highlight w:val="none"/>
                <w:vertAlign w:val="superscript"/>
              </w:rPr>
              <w:t>3</w:t>
            </w:r>
            <w:r>
              <w:rPr>
                <w:rFonts w:hint="eastAsia" w:ascii="Times New Roman" w:hAnsi="Times New Roman" w:eastAsia="宋体" w:cs="Times New Roman"/>
                <w:sz w:val="24"/>
                <w:highlight w:val="none"/>
              </w:rPr>
              <w:t>/a，则由计算可得，锅炉烟气产生量为</w:t>
            </w:r>
            <w:r>
              <w:rPr>
                <w:rFonts w:hint="eastAsia" w:cs="Times New Roman"/>
                <w:sz w:val="24"/>
                <w:highlight w:val="none"/>
                <w:lang w:val="en-US" w:eastAsia="zh-CN"/>
              </w:rPr>
              <w:t>9426232.44</w:t>
            </w:r>
            <w:r>
              <w:rPr>
                <w:rFonts w:hint="eastAsia" w:ascii="Times New Roman" w:hAnsi="Times New Roman" w:eastAsia="宋体" w:cs="Times New Roman"/>
                <w:sz w:val="24"/>
                <w:highlight w:val="none"/>
              </w:rPr>
              <w:t>Nm</w:t>
            </w:r>
            <w:r>
              <w:rPr>
                <w:rFonts w:hint="eastAsia" w:ascii="Times New Roman" w:hAnsi="Times New Roman" w:eastAsia="宋体" w:cs="Times New Roman"/>
                <w:sz w:val="24"/>
                <w:highlight w:val="none"/>
                <w:vertAlign w:val="superscript"/>
              </w:rPr>
              <w:t>3</w:t>
            </w:r>
            <w:r>
              <w:rPr>
                <w:rFonts w:hint="eastAsia" w:ascii="Times New Roman" w:hAnsi="Times New Roman" w:eastAsia="宋体" w:cs="Times New Roman"/>
                <w:sz w:val="24"/>
                <w:highlight w:val="none"/>
              </w:rPr>
              <w:t>/a</w:t>
            </w:r>
            <w:r>
              <w:rPr>
                <w:rFonts w:hint="eastAsia" w:ascii="Times New Roman" w:hAnsi="Times New Roman" w:eastAsia="宋体" w:cs="Times New Roman"/>
                <w:sz w:val="24"/>
                <w:highlight w:val="none"/>
                <w:lang w:eastAsia="zh-CN"/>
              </w:rPr>
              <w:t>（</w:t>
            </w:r>
            <w:r>
              <w:rPr>
                <w:rFonts w:hint="eastAsia" w:cs="Times New Roman"/>
                <w:sz w:val="24"/>
                <w:highlight w:val="none"/>
                <w:lang w:val="en-US" w:eastAsia="zh-CN"/>
              </w:rPr>
              <w:t>4363.99</w:t>
            </w:r>
            <w:r>
              <w:rPr>
                <w:rFonts w:hint="eastAsia" w:ascii="Times New Roman" w:hAnsi="Times New Roman" w:eastAsia="宋体" w:cs="Times New Roman"/>
                <w:sz w:val="24"/>
                <w:highlight w:val="none"/>
              </w:rPr>
              <w:t>Nm</w:t>
            </w:r>
            <w:r>
              <w:rPr>
                <w:rFonts w:hint="eastAsia" w:ascii="Times New Roman" w:hAnsi="Times New Roman" w:eastAsia="宋体" w:cs="Times New Roman"/>
                <w:sz w:val="24"/>
                <w:highlight w:val="none"/>
                <w:vertAlign w:val="superscript"/>
              </w:rPr>
              <w:t>3</w:t>
            </w:r>
            <w:r>
              <w:rPr>
                <w:rFonts w:hint="eastAsia" w:ascii="Times New Roman" w:hAnsi="Times New Roman" w:eastAsia="宋体" w:cs="Times New Roman"/>
                <w:sz w:val="24"/>
                <w:highlight w:val="none"/>
              </w:rPr>
              <w:t>/</w:t>
            </w:r>
            <w:r>
              <w:rPr>
                <w:rFonts w:hint="eastAsia" w:ascii="Times New Roman" w:hAnsi="Times New Roman" w:eastAsia="宋体" w:cs="Times New Roman"/>
                <w:sz w:val="24"/>
                <w:highlight w:val="none"/>
                <w:lang w:val="en-US" w:eastAsia="zh-CN"/>
              </w:rPr>
              <w:t>h</w:t>
            </w:r>
            <w:r>
              <w:rPr>
                <w:rFonts w:hint="eastAsia" w:ascii="Times New Roman" w:hAnsi="Times New Roman" w:eastAsia="宋体" w:cs="Times New Roman"/>
                <w:sz w:val="24"/>
                <w:highlight w:val="none"/>
                <w:lang w:eastAsia="zh-CN"/>
              </w:rPr>
              <w:t>）</w:t>
            </w:r>
            <w:r>
              <w:rPr>
                <w:rFonts w:hint="eastAsia" w:ascii="Times New Roman" w:hAnsi="Times New Roman" w:eastAsia="宋体" w:cs="Times New Roman"/>
                <w:sz w:val="24"/>
                <w:highlight w:val="none"/>
              </w:rPr>
              <w:t>，产生的烟气由一根</w:t>
            </w:r>
            <w:r>
              <w:rPr>
                <w:rFonts w:hint="eastAsia" w:ascii="Times New Roman" w:hAnsi="Times New Roman" w:eastAsia="宋体" w:cs="Times New Roman"/>
                <w:sz w:val="24"/>
                <w:highlight w:val="none"/>
                <w:lang w:val="en-US" w:eastAsia="zh-CN"/>
              </w:rPr>
              <w:t>15</w:t>
            </w:r>
            <w:r>
              <w:rPr>
                <w:rFonts w:hint="eastAsia" w:ascii="Times New Roman" w:hAnsi="Times New Roman" w:eastAsia="宋体" w:cs="Times New Roman"/>
                <w:sz w:val="24"/>
                <w:highlight w:val="none"/>
              </w:rPr>
              <w:t>m高的烟筒排放。</w:t>
            </w:r>
          </w:p>
          <w:p w14:paraId="3144BF6D">
            <w:pPr>
              <w:spacing w:line="360" w:lineRule="auto"/>
              <w:ind w:firstLine="482"/>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②</w:t>
            </w:r>
            <w:r>
              <w:rPr>
                <w:rFonts w:hint="eastAsia" w:ascii="Times New Roman" w:hAnsi="Times New Roman" w:eastAsia="宋体" w:cs="Times New Roman"/>
                <w:sz w:val="24"/>
                <w:highlight w:val="none"/>
              </w:rPr>
              <w:t xml:space="preserve">颗粒物 </w:t>
            </w:r>
          </w:p>
          <w:p w14:paraId="40904EC6">
            <w:pPr>
              <w:spacing w:line="360" w:lineRule="auto"/>
              <w:ind w:firstLine="482"/>
              <w:rPr>
                <w:rFonts w:hint="default" w:ascii="Times New Roman" w:hAnsi="Times New Roman" w:eastAsia="宋体" w:cs="Times New Roman"/>
                <w:sz w:val="24"/>
                <w:highlight w:val="none"/>
              </w:rPr>
            </w:pPr>
            <w:r>
              <w:rPr>
                <w:rFonts w:hint="eastAsia" w:ascii="Times New Roman" w:hAnsi="Times New Roman" w:eastAsia="宋体" w:cs="Times New Roman"/>
                <w:sz w:val="24"/>
                <w:highlight w:val="none"/>
              </w:rPr>
              <w:t>根据《污染源源强核算技术指南 锅炉》（HJ991-2018）燃气锅炉相关内容，颗粒物产生量用产污系数法计算，颗粒物产污系数参见《北京大气污染控制对策研究》中天然气燃烧颗粒物的产污系数，为0.45kg/万m</w:t>
            </w:r>
            <w:r>
              <w:rPr>
                <w:rFonts w:hint="eastAsia" w:ascii="Times New Roman" w:hAnsi="Times New Roman" w:eastAsia="宋体" w:cs="Times New Roman"/>
                <w:sz w:val="24"/>
                <w:highlight w:val="none"/>
                <w:vertAlign w:val="superscript"/>
              </w:rPr>
              <w:t>3</w:t>
            </w:r>
            <w:r>
              <w:rPr>
                <w:rFonts w:hint="eastAsia" w:ascii="Times New Roman" w:hAnsi="Times New Roman" w:eastAsia="宋体" w:cs="Times New Roman"/>
                <w:sz w:val="24"/>
                <w:highlight w:val="none"/>
              </w:rPr>
              <w:t>-天然气。则由计算可得，锅炉产生颗粒物量为</w:t>
            </w:r>
            <w:r>
              <w:rPr>
                <w:rFonts w:hint="eastAsia" w:cs="Times New Roman"/>
                <w:sz w:val="24"/>
                <w:highlight w:val="none"/>
                <w:lang w:val="en-US" w:eastAsia="zh-CN"/>
              </w:rPr>
              <w:t>0.039</w:t>
            </w:r>
            <w:r>
              <w:rPr>
                <w:rFonts w:hint="eastAsia" w:ascii="Times New Roman" w:hAnsi="Times New Roman" w:eastAsia="宋体" w:cs="Times New Roman"/>
                <w:sz w:val="24"/>
                <w:highlight w:val="none"/>
                <w:lang w:val="en-US" w:eastAsia="zh-CN"/>
              </w:rPr>
              <w:t>t</w:t>
            </w:r>
            <w:r>
              <w:rPr>
                <w:rFonts w:hint="eastAsia" w:ascii="Times New Roman" w:hAnsi="Times New Roman" w:eastAsia="宋体" w:cs="Times New Roman"/>
                <w:sz w:val="24"/>
                <w:highlight w:val="none"/>
              </w:rPr>
              <w:t>/a，颗粒物排放速率为</w:t>
            </w:r>
            <w:r>
              <w:rPr>
                <w:rFonts w:hint="eastAsia" w:cs="Times New Roman"/>
                <w:sz w:val="24"/>
                <w:highlight w:val="none"/>
                <w:lang w:val="en-US" w:eastAsia="zh-CN"/>
              </w:rPr>
              <w:t>0.018</w:t>
            </w:r>
            <w:r>
              <w:rPr>
                <w:rFonts w:hint="eastAsia" w:ascii="Times New Roman" w:hAnsi="Times New Roman" w:eastAsia="宋体" w:cs="Times New Roman"/>
                <w:sz w:val="24"/>
                <w:highlight w:val="none"/>
              </w:rPr>
              <w:t>kg/h，颗粒物排放浓度为</w:t>
            </w:r>
            <w:r>
              <w:rPr>
                <w:rFonts w:hint="eastAsia" w:cs="Times New Roman"/>
                <w:sz w:val="24"/>
                <w:highlight w:val="none"/>
                <w:lang w:val="en-US" w:eastAsia="zh-CN"/>
              </w:rPr>
              <w:t>4.12</w:t>
            </w:r>
            <w:r>
              <w:rPr>
                <w:rFonts w:hint="eastAsia" w:ascii="Times New Roman" w:hAnsi="Times New Roman" w:eastAsia="宋体" w:cs="Times New Roman"/>
                <w:sz w:val="24"/>
                <w:highlight w:val="none"/>
              </w:rPr>
              <w:t>mg/m</w:t>
            </w:r>
            <w:r>
              <w:rPr>
                <w:rFonts w:hint="eastAsia" w:ascii="Times New Roman" w:hAnsi="Times New Roman" w:eastAsia="宋体" w:cs="Times New Roman"/>
                <w:sz w:val="24"/>
                <w:highlight w:val="none"/>
                <w:vertAlign w:val="superscript"/>
              </w:rPr>
              <w:t>3</w:t>
            </w:r>
            <w:r>
              <w:rPr>
                <w:rFonts w:hint="eastAsia" w:ascii="Times New Roman" w:hAnsi="Times New Roman" w:eastAsia="宋体" w:cs="Times New Roman"/>
                <w:sz w:val="24"/>
                <w:highlight w:val="none"/>
              </w:rPr>
              <w:t>。</w:t>
            </w:r>
          </w:p>
          <w:p w14:paraId="1093DFD5">
            <w:pPr>
              <w:spacing w:line="360" w:lineRule="auto"/>
              <w:ind w:firstLine="482"/>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③</w:t>
            </w:r>
            <w:r>
              <w:rPr>
                <w:rFonts w:hint="eastAsia" w:ascii="Times New Roman" w:hAnsi="Times New Roman" w:eastAsia="宋体" w:cs="Times New Roman"/>
                <w:sz w:val="24"/>
                <w:highlight w:val="none"/>
              </w:rPr>
              <w:t>二氧化硫</w:t>
            </w:r>
          </w:p>
          <w:p w14:paraId="39EB3B0D">
            <w:pPr>
              <w:spacing w:line="360" w:lineRule="auto"/>
              <w:ind w:firstLine="482"/>
              <w:rPr>
                <w:rFonts w:hint="default" w:ascii="Times New Roman" w:hAnsi="Times New Roman" w:eastAsia="宋体" w:cs="Times New Roman"/>
                <w:sz w:val="24"/>
                <w:highlight w:val="none"/>
              </w:rPr>
            </w:pPr>
            <w:r>
              <w:rPr>
                <w:rFonts w:hint="eastAsia" w:ascii="Times New Roman" w:hAnsi="Times New Roman" w:eastAsia="宋体" w:cs="Times New Roman"/>
                <w:sz w:val="24"/>
                <w:highlight w:val="none"/>
              </w:rPr>
              <w:t>根据《污染源源强核算技术指南 锅炉》（HJ991-2018）燃气锅炉相关内容，二氧化硫排放量按照如下公示进行计算：</w:t>
            </w:r>
          </w:p>
          <w:p w14:paraId="35725086">
            <w:pPr>
              <w:spacing w:line="360" w:lineRule="auto"/>
              <w:ind w:firstLine="482"/>
              <w:rPr>
                <w:rFonts w:hint="default" w:ascii="Times New Roman" w:hAnsi="Times New Roman" w:eastAsia="宋体" w:cs="Times New Roman"/>
                <w:sz w:val="24"/>
                <w:highlight w:val="none"/>
              </w:rPr>
            </w:pPr>
            <w:r>
              <w:rPr>
                <w:rFonts w:hint="eastAsia" w:ascii="Times New Roman" w:hAnsi="Times New Roman" w:eastAsia="宋体" w:cs="Times New Roman"/>
                <w:sz w:val="24"/>
                <w:highlight w:val="none"/>
              </w:rPr>
              <w:drawing>
                <wp:inline distT="0" distB="0" distL="114300" distR="114300">
                  <wp:extent cx="2550160" cy="508635"/>
                  <wp:effectExtent l="0" t="0" r="2540" b="5715"/>
                  <wp:docPr id="18" name="图片 18" descr="e5b16b1550bc9773082369c6009847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e5b16b1550bc9773082369c60098473f"/>
                          <pic:cNvPicPr>
                            <a:picLocks noChangeAspect="1"/>
                          </pic:cNvPicPr>
                        </pic:nvPicPr>
                        <pic:blipFill>
                          <a:blip r:embed="rId18"/>
                          <a:stretch>
                            <a:fillRect/>
                          </a:stretch>
                        </pic:blipFill>
                        <pic:spPr>
                          <a:xfrm>
                            <a:off x="0" y="0"/>
                            <a:ext cx="2550160" cy="508635"/>
                          </a:xfrm>
                          <a:prstGeom prst="rect">
                            <a:avLst/>
                          </a:prstGeom>
                        </pic:spPr>
                      </pic:pic>
                    </a:graphicData>
                  </a:graphic>
                </wp:inline>
              </w:drawing>
            </w:r>
          </w:p>
          <w:p w14:paraId="33AEE611">
            <w:pPr>
              <w:spacing w:line="360" w:lineRule="auto"/>
              <w:ind w:firstLine="482"/>
              <w:rPr>
                <w:rFonts w:hint="default" w:ascii="Times New Roman" w:hAnsi="Times New Roman" w:eastAsia="宋体" w:cs="Times New Roman"/>
                <w:sz w:val="24"/>
                <w:highlight w:val="none"/>
              </w:rPr>
            </w:pPr>
            <w:r>
              <w:rPr>
                <w:rFonts w:hint="eastAsia" w:ascii="Times New Roman" w:hAnsi="Times New Roman" w:eastAsia="宋体" w:cs="Times New Roman"/>
                <w:sz w:val="24"/>
                <w:highlight w:val="none"/>
              </w:rPr>
              <w:t>式中：E</w:t>
            </w:r>
            <w:r>
              <w:rPr>
                <w:rFonts w:hint="eastAsia" w:ascii="Times New Roman" w:hAnsi="Times New Roman" w:eastAsia="宋体" w:cs="Times New Roman"/>
                <w:sz w:val="24"/>
                <w:highlight w:val="none"/>
                <w:vertAlign w:val="subscript"/>
              </w:rPr>
              <w:t>SO2</w:t>
            </w:r>
            <w:r>
              <w:rPr>
                <w:rFonts w:hint="eastAsia" w:ascii="Times New Roman" w:hAnsi="Times New Roman" w:eastAsia="宋体" w:cs="Times New Roman"/>
                <w:sz w:val="24"/>
                <w:highlight w:val="none"/>
              </w:rPr>
              <w:t>——核算时段内二氧化硫排放量，t；</w:t>
            </w:r>
          </w:p>
          <w:p w14:paraId="03F6C2BD">
            <w:pPr>
              <w:spacing w:line="360" w:lineRule="auto"/>
              <w:ind w:firstLine="482"/>
              <w:rPr>
                <w:rFonts w:hint="default" w:ascii="Times New Roman" w:hAnsi="Times New Roman" w:eastAsia="宋体" w:cs="Times New Roman"/>
                <w:sz w:val="24"/>
                <w:highlight w:val="none"/>
              </w:rPr>
            </w:pPr>
            <w:r>
              <w:rPr>
                <w:rFonts w:hint="eastAsia" w:ascii="Times New Roman" w:hAnsi="Times New Roman" w:eastAsia="宋体" w:cs="Times New Roman"/>
                <w:sz w:val="24"/>
                <w:highlight w:val="none"/>
              </w:rPr>
              <w:t>R——核算时段内锅炉燃料耗量，万m</w:t>
            </w:r>
            <w:r>
              <w:rPr>
                <w:rFonts w:hint="eastAsia" w:ascii="Times New Roman" w:hAnsi="Times New Roman" w:eastAsia="宋体" w:cs="Times New Roman"/>
                <w:sz w:val="24"/>
                <w:highlight w:val="none"/>
                <w:vertAlign w:val="superscript"/>
              </w:rPr>
              <w:t>3</w:t>
            </w:r>
            <w:r>
              <w:rPr>
                <w:rFonts w:hint="eastAsia" w:ascii="Times New Roman" w:hAnsi="Times New Roman" w:eastAsia="宋体" w:cs="Times New Roman"/>
                <w:sz w:val="24"/>
                <w:highlight w:val="none"/>
              </w:rPr>
              <w:t>；</w:t>
            </w:r>
          </w:p>
          <w:p w14:paraId="65C85772">
            <w:pPr>
              <w:spacing w:line="360" w:lineRule="auto"/>
              <w:ind w:firstLine="482"/>
              <w:rPr>
                <w:rFonts w:hint="default" w:ascii="Times New Roman" w:hAnsi="Times New Roman" w:eastAsia="宋体" w:cs="Times New Roman"/>
                <w:sz w:val="24"/>
                <w:highlight w:val="none"/>
              </w:rPr>
            </w:pPr>
            <w:r>
              <w:rPr>
                <w:rFonts w:hint="eastAsia" w:ascii="Times New Roman" w:hAnsi="Times New Roman" w:eastAsia="宋体" w:cs="Times New Roman"/>
                <w:sz w:val="24"/>
                <w:highlight w:val="none"/>
              </w:rPr>
              <w:t>St——燃料总硫的质量浓度，mg/m</w:t>
            </w:r>
            <w:r>
              <w:rPr>
                <w:rFonts w:hint="eastAsia" w:ascii="Times New Roman" w:hAnsi="Times New Roman" w:eastAsia="宋体" w:cs="Times New Roman"/>
                <w:sz w:val="24"/>
                <w:highlight w:val="none"/>
                <w:vertAlign w:val="superscript"/>
              </w:rPr>
              <w:t>3</w:t>
            </w:r>
            <w:r>
              <w:rPr>
                <w:rFonts w:hint="eastAsia" w:ascii="Times New Roman" w:hAnsi="Times New Roman" w:eastAsia="宋体" w:cs="Times New Roman"/>
                <w:sz w:val="24"/>
                <w:highlight w:val="none"/>
              </w:rPr>
              <w:t>；</w:t>
            </w:r>
          </w:p>
          <w:p w14:paraId="2A6DBCAF">
            <w:pPr>
              <w:spacing w:line="360" w:lineRule="auto"/>
              <w:ind w:firstLine="482"/>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ƞ</w:t>
            </w:r>
            <w:r>
              <w:rPr>
                <w:rFonts w:hint="eastAsia" w:ascii="Times New Roman" w:hAnsi="Times New Roman" w:eastAsia="宋体" w:cs="Times New Roman"/>
                <w:sz w:val="24"/>
                <w:highlight w:val="none"/>
              </w:rPr>
              <w:t xml:space="preserve">s——脱硫效率，%，本项目为0； </w:t>
            </w:r>
          </w:p>
          <w:p w14:paraId="00ACB8D5">
            <w:pPr>
              <w:spacing w:line="360" w:lineRule="auto"/>
              <w:ind w:firstLine="482"/>
              <w:rPr>
                <w:rFonts w:hint="default" w:ascii="Times New Roman" w:hAnsi="Times New Roman" w:eastAsia="宋体" w:cs="Times New Roman"/>
                <w:sz w:val="24"/>
                <w:highlight w:val="none"/>
              </w:rPr>
            </w:pPr>
            <w:r>
              <w:rPr>
                <w:rFonts w:hint="eastAsia" w:ascii="Times New Roman" w:hAnsi="Times New Roman" w:eastAsia="宋体" w:cs="Times New Roman"/>
                <w:sz w:val="24"/>
                <w:highlight w:val="none"/>
              </w:rPr>
              <w:t>K——燃料中的硫燃烧后氧化成二氧化硫的份额，量纲一的量，燃气锅炉取1。</w:t>
            </w:r>
          </w:p>
          <w:p w14:paraId="512BC05F">
            <w:pPr>
              <w:spacing w:line="360" w:lineRule="auto"/>
              <w:ind w:firstLine="482"/>
              <w:rPr>
                <w:rFonts w:hint="default" w:ascii="Times New Roman" w:hAnsi="Times New Roman" w:eastAsia="宋体" w:cs="Times New Roman"/>
                <w:sz w:val="24"/>
                <w:highlight w:val="none"/>
              </w:rPr>
            </w:pPr>
            <w:r>
              <w:rPr>
                <w:rFonts w:hint="default" w:ascii="Times New Roman" w:hAnsi="Times New Roman" w:cs="Times New Roman"/>
                <w:color w:val="000000"/>
                <w:sz w:val="24"/>
                <w:szCs w:val="24"/>
                <w:highlight w:val="none"/>
              </w:rPr>
              <w:t>根据《沼气工程技术规范》（NY/T1220.2-2006），沼气经脱硫净化处理后要求为：低位发热值大于18MJ/m</w:t>
            </w:r>
            <w:r>
              <w:rPr>
                <w:rFonts w:hint="default" w:ascii="Times New Roman" w:hAnsi="Times New Roman" w:cs="Times New Roman"/>
                <w:color w:val="000000"/>
                <w:sz w:val="24"/>
                <w:szCs w:val="24"/>
                <w:highlight w:val="none"/>
                <w:vertAlign w:val="superscript"/>
              </w:rPr>
              <w:t>3</w:t>
            </w:r>
            <w:r>
              <w:rPr>
                <w:rFonts w:hint="default" w:ascii="Times New Roman" w:hAnsi="Times New Roman" w:cs="Times New Roman"/>
                <w:color w:val="000000"/>
                <w:sz w:val="24"/>
                <w:szCs w:val="24"/>
                <w:highlight w:val="none"/>
              </w:rPr>
              <w:t>，沼气中硫化氢含量小于20mg/m</w:t>
            </w:r>
            <w:r>
              <w:rPr>
                <w:rFonts w:hint="default" w:ascii="Times New Roman" w:hAnsi="Times New Roman" w:cs="Times New Roman"/>
                <w:color w:val="000000"/>
                <w:sz w:val="24"/>
                <w:szCs w:val="24"/>
                <w:highlight w:val="none"/>
                <w:vertAlign w:val="superscript"/>
              </w:rPr>
              <w:t>3</w:t>
            </w:r>
            <w:r>
              <w:rPr>
                <w:rFonts w:hint="default" w:ascii="Times New Roman" w:hAnsi="Times New Roman" w:cs="Times New Roman"/>
                <w:color w:val="000000"/>
                <w:sz w:val="24"/>
                <w:szCs w:val="24"/>
                <w:highlight w:val="none"/>
              </w:rPr>
              <w:t>，沼气温度低于35℃。</w:t>
            </w:r>
            <w:r>
              <w:rPr>
                <w:rFonts w:hint="default" w:ascii="Times New Roman" w:hAnsi="Times New Roman" w:cs="Times New Roman"/>
                <w:sz w:val="24"/>
                <w:szCs w:val="24"/>
                <w:highlight w:val="none"/>
              </w:rPr>
              <w:t>本项目采用干法脱硫，根据设计参数显示，经过干式脱硫后沼气中的硫化氢含量可以达到20mg/m</w:t>
            </w:r>
            <w:r>
              <w:rPr>
                <w:rFonts w:hint="default" w:ascii="Times New Roman" w:hAnsi="Times New Roman" w:cs="Times New Roman"/>
                <w:sz w:val="24"/>
                <w:szCs w:val="24"/>
                <w:highlight w:val="none"/>
                <w:vertAlign w:val="superscript"/>
              </w:rPr>
              <w:t>3</w:t>
            </w:r>
            <w:r>
              <w:rPr>
                <w:rFonts w:hint="eastAsia" w:ascii="Times New Roman" w:hAnsi="Times New Roman" w:eastAsia="宋体" w:cs="Times New Roman"/>
                <w:sz w:val="24"/>
                <w:highlight w:val="none"/>
              </w:rPr>
              <w:t>，则由计算可得，锅炉产生二氧化硫量为0.0</w:t>
            </w:r>
            <w:r>
              <w:rPr>
                <w:rFonts w:hint="eastAsia" w:cs="Times New Roman"/>
                <w:sz w:val="24"/>
                <w:highlight w:val="none"/>
                <w:lang w:val="en-US" w:eastAsia="zh-CN"/>
              </w:rPr>
              <w:t>69</w:t>
            </w:r>
            <w:r>
              <w:rPr>
                <w:rFonts w:hint="eastAsia" w:ascii="Times New Roman" w:hAnsi="Times New Roman" w:eastAsia="宋体" w:cs="Times New Roman"/>
                <w:sz w:val="24"/>
                <w:highlight w:val="none"/>
              </w:rPr>
              <w:t>t/a，二氧化硫排放速率为</w:t>
            </w:r>
            <w:r>
              <w:rPr>
                <w:rFonts w:hint="eastAsia" w:ascii="Times New Roman" w:hAnsi="Times New Roman" w:eastAsia="宋体" w:cs="Times New Roman"/>
                <w:sz w:val="24"/>
                <w:highlight w:val="none"/>
                <w:lang w:val="en-US" w:eastAsia="zh-CN"/>
              </w:rPr>
              <w:t>0.0</w:t>
            </w:r>
            <w:r>
              <w:rPr>
                <w:rFonts w:hint="eastAsia" w:cs="Times New Roman"/>
                <w:sz w:val="24"/>
                <w:highlight w:val="none"/>
                <w:lang w:val="en-US" w:eastAsia="zh-CN"/>
              </w:rPr>
              <w:t>32</w:t>
            </w:r>
            <w:r>
              <w:rPr>
                <w:rFonts w:hint="eastAsia" w:ascii="Times New Roman" w:hAnsi="Times New Roman" w:eastAsia="宋体" w:cs="Times New Roman"/>
                <w:sz w:val="24"/>
                <w:highlight w:val="none"/>
              </w:rPr>
              <w:t>kg/h，二氧化硫排放浓度为</w:t>
            </w:r>
            <w:r>
              <w:rPr>
                <w:rFonts w:hint="eastAsia" w:cs="Times New Roman"/>
                <w:sz w:val="24"/>
                <w:highlight w:val="none"/>
                <w:lang w:val="en-US" w:eastAsia="zh-CN"/>
              </w:rPr>
              <w:t>7.33</w:t>
            </w:r>
            <w:r>
              <w:rPr>
                <w:rFonts w:hint="eastAsia" w:ascii="Times New Roman" w:hAnsi="Times New Roman" w:eastAsia="宋体" w:cs="Times New Roman"/>
                <w:sz w:val="24"/>
                <w:highlight w:val="none"/>
              </w:rPr>
              <w:t>mg/m</w:t>
            </w:r>
            <w:r>
              <w:rPr>
                <w:rFonts w:hint="eastAsia" w:ascii="Times New Roman" w:hAnsi="Times New Roman" w:eastAsia="宋体" w:cs="Times New Roman"/>
                <w:sz w:val="24"/>
                <w:highlight w:val="none"/>
                <w:vertAlign w:val="superscript"/>
              </w:rPr>
              <w:t>3</w:t>
            </w:r>
            <w:r>
              <w:rPr>
                <w:rFonts w:hint="eastAsia" w:ascii="Times New Roman" w:hAnsi="Times New Roman" w:eastAsia="宋体" w:cs="Times New Roman"/>
                <w:sz w:val="24"/>
                <w:highlight w:val="none"/>
              </w:rPr>
              <w:t>。</w:t>
            </w:r>
          </w:p>
          <w:p w14:paraId="5A9DC03C">
            <w:pPr>
              <w:spacing w:line="360" w:lineRule="auto"/>
              <w:ind w:firstLine="482"/>
              <w:rPr>
                <w:rFonts w:hint="default" w:ascii="Times New Roman" w:hAnsi="Times New Roman" w:eastAsia="宋体" w:cs="Times New Roman"/>
                <w:sz w:val="24"/>
                <w:highlight w:val="none"/>
              </w:rPr>
            </w:pPr>
            <w:r>
              <w:rPr>
                <w:rFonts w:hint="eastAsia" w:ascii="Times New Roman" w:hAnsi="Times New Roman" w:eastAsia="宋体" w:cs="Times New Roman"/>
                <w:sz w:val="24"/>
                <w:highlight w:val="none"/>
              </w:rPr>
              <w:t>④氮氧化物及烟气黑度</w:t>
            </w:r>
          </w:p>
          <w:p w14:paraId="472F03EA">
            <w:pPr>
              <w:spacing w:line="360" w:lineRule="auto"/>
              <w:ind w:firstLine="482"/>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氮氧化物：企业燃气锅炉</w:t>
            </w:r>
            <w:r>
              <w:rPr>
                <w:rFonts w:hint="eastAsia" w:ascii="Times New Roman" w:hAnsi="Times New Roman" w:eastAsia="宋体" w:cs="Times New Roman"/>
                <w:sz w:val="24"/>
                <w:highlight w:val="none"/>
              </w:rPr>
              <w:t>采取低氮燃烧技术</w:t>
            </w:r>
            <w:r>
              <w:rPr>
                <w:rFonts w:hint="default" w:ascii="Times New Roman" w:hAnsi="Times New Roman" w:eastAsia="宋体" w:cs="Times New Roman"/>
                <w:sz w:val="24"/>
                <w:highlight w:val="none"/>
              </w:rPr>
              <w:t>，可降低火焰温度，减少热力型氮氧化物产生量，选用技术领先的进口低氮燃烧器，参考《排放源统计调查产排污核算方法和系数手册》中4430工业锅炉（热力生产和供应行业）行业系数手册中燃气锅炉氮氧化物（低氮燃烧-国际领先)的产污系数，3.03kg/万m</w:t>
            </w:r>
            <w:r>
              <w:rPr>
                <w:rFonts w:hint="default" w:ascii="Times New Roman" w:hAnsi="Times New Roman" w:eastAsia="宋体" w:cs="Times New Roman"/>
                <w:sz w:val="24"/>
                <w:highlight w:val="none"/>
                <w:vertAlign w:val="superscript"/>
              </w:rPr>
              <w:t>3</w:t>
            </w:r>
            <w:r>
              <w:rPr>
                <w:rFonts w:hint="default" w:ascii="Times New Roman" w:hAnsi="Times New Roman" w:eastAsia="宋体" w:cs="Times New Roman"/>
                <w:sz w:val="24"/>
                <w:highlight w:val="none"/>
              </w:rPr>
              <w:t>-原料，则</w:t>
            </w:r>
            <w:r>
              <w:rPr>
                <w:rFonts w:hint="eastAsia" w:ascii="Times New Roman" w:hAnsi="Times New Roman" w:eastAsia="宋体" w:cs="Times New Roman"/>
                <w:sz w:val="24"/>
                <w:highlight w:val="none"/>
              </w:rPr>
              <w:t>由计算可得，氮氧化物产生量为</w:t>
            </w:r>
            <w:r>
              <w:rPr>
                <w:rFonts w:hint="eastAsia" w:cs="Times New Roman"/>
                <w:sz w:val="24"/>
                <w:highlight w:val="none"/>
                <w:lang w:val="en-US" w:eastAsia="zh-CN"/>
              </w:rPr>
              <w:t>0.265</w:t>
            </w:r>
            <w:r>
              <w:rPr>
                <w:rFonts w:hint="eastAsia" w:ascii="Times New Roman" w:hAnsi="Times New Roman" w:eastAsia="宋体" w:cs="Times New Roman"/>
                <w:sz w:val="24"/>
                <w:highlight w:val="none"/>
                <w:lang w:val="en-US" w:eastAsia="zh-CN"/>
              </w:rPr>
              <w:t>t</w:t>
            </w:r>
            <w:r>
              <w:rPr>
                <w:rFonts w:hint="eastAsia" w:ascii="Times New Roman" w:hAnsi="Times New Roman" w:eastAsia="宋体" w:cs="Times New Roman"/>
                <w:sz w:val="24"/>
                <w:highlight w:val="none"/>
              </w:rPr>
              <w:t>/a，排放速率为0.</w:t>
            </w:r>
            <w:r>
              <w:rPr>
                <w:rFonts w:hint="eastAsia" w:cs="Times New Roman"/>
                <w:sz w:val="24"/>
                <w:highlight w:val="none"/>
                <w:lang w:val="en-US" w:eastAsia="zh-CN"/>
              </w:rPr>
              <w:t>123</w:t>
            </w:r>
            <w:r>
              <w:rPr>
                <w:rFonts w:hint="eastAsia" w:ascii="Times New Roman" w:hAnsi="Times New Roman" w:eastAsia="宋体" w:cs="Times New Roman"/>
                <w:sz w:val="24"/>
                <w:highlight w:val="none"/>
              </w:rPr>
              <w:t>kg/h，排放浓度为</w:t>
            </w:r>
            <w:r>
              <w:rPr>
                <w:rFonts w:hint="eastAsia" w:ascii="Times New Roman" w:hAnsi="Times New Roman" w:eastAsia="宋体" w:cs="Times New Roman"/>
                <w:sz w:val="24"/>
                <w:highlight w:val="none"/>
                <w:lang w:val="en-US" w:eastAsia="zh-CN"/>
              </w:rPr>
              <w:t>28.1</w:t>
            </w:r>
            <w:r>
              <w:rPr>
                <w:rFonts w:hint="eastAsia" w:cs="Times New Roman"/>
                <w:sz w:val="24"/>
                <w:highlight w:val="none"/>
                <w:lang w:val="en-US" w:eastAsia="zh-CN"/>
              </w:rPr>
              <w:t>9</w:t>
            </w:r>
            <w:r>
              <w:rPr>
                <w:rFonts w:hint="eastAsia" w:ascii="Times New Roman" w:hAnsi="Times New Roman" w:eastAsia="宋体" w:cs="Times New Roman"/>
                <w:sz w:val="24"/>
                <w:highlight w:val="none"/>
              </w:rPr>
              <w:t>mg/m</w:t>
            </w:r>
            <w:r>
              <w:rPr>
                <w:rFonts w:hint="eastAsia" w:ascii="Times New Roman" w:hAnsi="Times New Roman" w:eastAsia="宋体" w:cs="Times New Roman"/>
                <w:sz w:val="24"/>
                <w:highlight w:val="none"/>
                <w:vertAlign w:val="superscript"/>
              </w:rPr>
              <w:t>3</w:t>
            </w:r>
            <w:r>
              <w:rPr>
                <w:rFonts w:hint="default" w:ascii="Times New Roman" w:hAnsi="Times New Roman" w:eastAsia="宋体" w:cs="Times New Roman"/>
                <w:sz w:val="24"/>
                <w:highlight w:val="none"/>
              </w:rPr>
              <w:t>。</w:t>
            </w:r>
          </w:p>
          <w:p w14:paraId="5C620E2B">
            <w:pPr>
              <w:spacing w:line="360" w:lineRule="auto"/>
              <w:ind w:firstLine="482"/>
              <w:rPr>
                <w:rFonts w:hint="eastAsia" w:eastAsia="宋体"/>
                <w:sz w:val="24"/>
                <w:highlight w:val="none"/>
                <w:lang w:eastAsia="zh-CN"/>
              </w:rPr>
            </w:pPr>
            <w:r>
              <w:rPr>
                <w:rFonts w:hint="eastAsia" w:ascii="Times New Roman" w:hAnsi="Times New Roman" w:eastAsia="宋体" w:cs="Times New Roman"/>
                <w:sz w:val="24"/>
                <w:highlight w:val="none"/>
              </w:rPr>
              <w:t>锅炉排放的烟气黑度排放浓度</w:t>
            </w:r>
            <w:r>
              <w:rPr>
                <w:rFonts w:hint="default" w:ascii="Times New Roman" w:hAnsi="Times New Roman" w:eastAsia="宋体" w:cs="Times New Roman"/>
                <w:sz w:val="24"/>
                <w:highlight w:val="none"/>
              </w:rPr>
              <w:t>≤</w:t>
            </w:r>
            <w:r>
              <w:rPr>
                <w:rFonts w:hint="eastAsia" w:ascii="Times New Roman" w:hAnsi="Times New Roman" w:eastAsia="宋体" w:cs="Times New Roman"/>
                <w:sz w:val="24"/>
                <w:highlight w:val="none"/>
              </w:rPr>
              <w:t>1级</w:t>
            </w:r>
            <w:r>
              <w:rPr>
                <w:rFonts w:hint="eastAsia" w:ascii="Times New Roman" w:hAnsi="Times New Roman" w:eastAsia="宋体" w:cs="Times New Roman"/>
                <w:sz w:val="24"/>
                <w:highlight w:val="none"/>
                <w:lang w:eastAsia="zh-CN"/>
              </w:rPr>
              <w:t>；</w:t>
            </w:r>
          </w:p>
          <w:p w14:paraId="4DA92591">
            <w:pPr>
              <w:spacing w:line="360" w:lineRule="auto"/>
              <w:ind w:firstLine="482"/>
              <w:rPr>
                <w:b/>
                <w:bCs/>
                <w:sz w:val="24"/>
                <w:highlight w:val="none"/>
              </w:rPr>
            </w:pPr>
            <w:r>
              <w:rPr>
                <w:rFonts w:hint="eastAsia"/>
                <w:b/>
                <w:sz w:val="24"/>
                <w:highlight w:val="none"/>
              </w:rPr>
              <w:t>（</w:t>
            </w:r>
            <w:r>
              <w:rPr>
                <w:rFonts w:hint="eastAsia"/>
                <w:b/>
                <w:sz w:val="24"/>
                <w:highlight w:val="none"/>
                <w:lang w:val="en-US" w:eastAsia="zh-CN"/>
              </w:rPr>
              <w:t>3</w:t>
            </w:r>
            <w:r>
              <w:rPr>
                <w:rFonts w:hint="eastAsia"/>
                <w:b/>
                <w:sz w:val="24"/>
                <w:highlight w:val="none"/>
              </w:rPr>
              <w:t>）</w:t>
            </w:r>
            <w:r>
              <w:rPr>
                <w:rFonts w:hint="eastAsia"/>
                <w:b/>
                <w:bCs/>
                <w:sz w:val="24"/>
                <w:highlight w:val="none"/>
                <w:u w:val="none"/>
              </w:rPr>
              <w:t>废气源强统计</w:t>
            </w:r>
          </w:p>
          <w:p w14:paraId="7AE1C5AF">
            <w:pPr>
              <w:spacing w:line="360" w:lineRule="auto"/>
              <w:ind w:firstLine="482"/>
              <w:rPr>
                <w:sz w:val="24"/>
                <w:highlight w:val="none"/>
              </w:rPr>
            </w:pPr>
            <w:r>
              <w:rPr>
                <w:rFonts w:hint="eastAsia"/>
                <w:sz w:val="24"/>
                <w:highlight w:val="none"/>
              </w:rPr>
              <w:t>项目废气源强核算统计情况详见下表。</w:t>
            </w:r>
          </w:p>
          <w:p w14:paraId="5E94E2BF">
            <w:pPr>
              <w:pStyle w:val="50"/>
              <w:numPr>
                <w:ilvl w:val="0"/>
                <w:numId w:val="11"/>
              </w:numPr>
              <w:spacing w:line="360" w:lineRule="auto"/>
              <w:ind w:left="0" w:firstLine="0" w:firstLineChars="0"/>
              <w:jc w:val="center"/>
              <w:rPr>
                <w:rFonts w:ascii="Times New Roman" w:hAnsi="Times New Roman" w:eastAsia="宋体"/>
                <w:highlight w:val="none"/>
              </w:rPr>
            </w:pPr>
            <w:r>
              <w:rPr>
                <w:rFonts w:hint="eastAsia" w:ascii="Times New Roman" w:hAnsi="Times New Roman" w:eastAsia="宋体"/>
                <w:b/>
                <w:color w:val="000000"/>
                <w:sz w:val="21"/>
                <w:szCs w:val="21"/>
                <w:highlight w:val="none"/>
              </w:rPr>
              <w:t>各工序污染物产生及排放情况一览表</w:t>
            </w:r>
          </w:p>
          <w:tbl>
            <w:tblPr>
              <w:tblStyle w:val="23"/>
              <w:tblW w:w="507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1"/>
              <w:gridCol w:w="1250"/>
              <w:gridCol w:w="691"/>
              <w:gridCol w:w="1191"/>
              <w:gridCol w:w="858"/>
              <w:gridCol w:w="755"/>
              <w:gridCol w:w="963"/>
              <w:gridCol w:w="844"/>
              <w:gridCol w:w="774"/>
              <w:gridCol w:w="835"/>
            </w:tblGrid>
            <w:tr w14:paraId="70F89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 w:type="pct"/>
                  <w:vMerge w:val="restart"/>
                  <w:tcBorders>
                    <w:left w:val="single" w:color="000000" w:sz="6" w:space="0"/>
                  </w:tcBorders>
                  <w:vAlign w:val="center"/>
                </w:tcPr>
                <w:p w14:paraId="02EF5815">
                  <w:pPr>
                    <w:jc w:val="center"/>
                    <w:rPr>
                      <w:b/>
                      <w:szCs w:val="21"/>
                      <w:highlight w:val="none"/>
                    </w:rPr>
                  </w:pPr>
                  <w:r>
                    <w:rPr>
                      <w:b/>
                      <w:szCs w:val="21"/>
                      <w:highlight w:val="none"/>
                    </w:rPr>
                    <w:t>序号</w:t>
                  </w:r>
                </w:p>
              </w:tc>
              <w:tc>
                <w:tcPr>
                  <w:tcW w:w="727" w:type="pct"/>
                  <w:vMerge w:val="restart"/>
                  <w:tcBorders>
                    <w:left w:val="single" w:color="auto" w:sz="4" w:space="0"/>
                  </w:tcBorders>
                  <w:vAlign w:val="center"/>
                </w:tcPr>
                <w:p w14:paraId="3312E0C4">
                  <w:pPr>
                    <w:jc w:val="center"/>
                    <w:rPr>
                      <w:b/>
                      <w:szCs w:val="21"/>
                      <w:highlight w:val="none"/>
                    </w:rPr>
                  </w:pPr>
                  <w:r>
                    <w:rPr>
                      <w:rFonts w:hint="eastAsia"/>
                      <w:b/>
                      <w:bCs/>
                      <w:szCs w:val="21"/>
                      <w:highlight w:val="none"/>
                    </w:rPr>
                    <w:t>产排污环节</w:t>
                  </w:r>
                </w:p>
              </w:tc>
              <w:tc>
                <w:tcPr>
                  <w:tcW w:w="402" w:type="pct"/>
                  <w:vMerge w:val="restart"/>
                  <w:vAlign w:val="center"/>
                </w:tcPr>
                <w:p w14:paraId="76458F73">
                  <w:pPr>
                    <w:jc w:val="center"/>
                    <w:rPr>
                      <w:b/>
                      <w:szCs w:val="21"/>
                      <w:highlight w:val="none"/>
                    </w:rPr>
                  </w:pPr>
                  <w:r>
                    <w:rPr>
                      <w:b/>
                      <w:szCs w:val="21"/>
                      <w:highlight w:val="none"/>
                    </w:rPr>
                    <w:t>排放方式</w:t>
                  </w:r>
                </w:p>
              </w:tc>
              <w:tc>
                <w:tcPr>
                  <w:tcW w:w="693" w:type="pct"/>
                  <w:vMerge w:val="restart"/>
                  <w:vAlign w:val="center"/>
                </w:tcPr>
                <w:p w14:paraId="659D3439">
                  <w:pPr>
                    <w:jc w:val="center"/>
                    <w:rPr>
                      <w:b/>
                      <w:szCs w:val="21"/>
                      <w:highlight w:val="none"/>
                    </w:rPr>
                  </w:pPr>
                  <w:r>
                    <w:rPr>
                      <w:b/>
                      <w:szCs w:val="21"/>
                      <w:highlight w:val="none"/>
                    </w:rPr>
                    <w:t>污染因子</w:t>
                  </w:r>
                </w:p>
              </w:tc>
              <w:tc>
                <w:tcPr>
                  <w:tcW w:w="1498" w:type="pct"/>
                  <w:gridSpan w:val="3"/>
                  <w:vAlign w:val="center"/>
                </w:tcPr>
                <w:p w14:paraId="5AE95BE0">
                  <w:pPr>
                    <w:jc w:val="center"/>
                    <w:rPr>
                      <w:b/>
                      <w:szCs w:val="21"/>
                      <w:highlight w:val="none"/>
                    </w:rPr>
                  </w:pPr>
                  <w:r>
                    <w:rPr>
                      <w:b/>
                      <w:szCs w:val="21"/>
                      <w:highlight w:val="none"/>
                    </w:rPr>
                    <w:t>产生情况</w:t>
                  </w:r>
                </w:p>
              </w:tc>
              <w:tc>
                <w:tcPr>
                  <w:tcW w:w="1427" w:type="pct"/>
                  <w:gridSpan w:val="3"/>
                  <w:vAlign w:val="center"/>
                </w:tcPr>
                <w:p w14:paraId="4576932A">
                  <w:pPr>
                    <w:jc w:val="center"/>
                    <w:rPr>
                      <w:b/>
                      <w:szCs w:val="21"/>
                      <w:highlight w:val="none"/>
                    </w:rPr>
                  </w:pPr>
                  <w:r>
                    <w:rPr>
                      <w:b/>
                      <w:szCs w:val="21"/>
                      <w:highlight w:val="none"/>
                    </w:rPr>
                    <w:t>排放情况</w:t>
                  </w:r>
                </w:p>
              </w:tc>
            </w:tr>
            <w:tr w14:paraId="52FA5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 w:type="pct"/>
                  <w:vMerge w:val="continue"/>
                  <w:tcBorders>
                    <w:left w:val="single" w:color="000000" w:sz="6" w:space="0"/>
                    <w:bottom w:val="single" w:color="000000" w:sz="6" w:space="0"/>
                  </w:tcBorders>
                  <w:vAlign w:val="center"/>
                </w:tcPr>
                <w:p w14:paraId="0BB5DAA7">
                  <w:pPr>
                    <w:jc w:val="center"/>
                    <w:rPr>
                      <w:szCs w:val="21"/>
                      <w:highlight w:val="none"/>
                    </w:rPr>
                  </w:pPr>
                </w:p>
              </w:tc>
              <w:tc>
                <w:tcPr>
                  <w:tcW w:w="727" w:type="pct"/>
                  <w:vMerge w:val="continue"/>
                  <w:tcBorders>
                    <w:left w:val="single" w:color="auto" w:sz="4" w:space="0"/>
                    <w:bottom w:val="single" w:color="000000" w:sz="6" w:space="0"/>
                  </w:tcBorders>
                  <w:vAlign w:val="center"/>
                </w:tcPr>
                <w:p w14:paraId="5A91EA58">
                  <w:pPr>
                    <w:jc w:val="center"/>
                    <w:rPr>
                      <w:szCs w:val="21"/>
                      <w:highlight w:val="none"/>
                    </w:rPr>
                  </w:pPr>
                </w:p>
              </w:tc>
              <w:tc>
                <w:tcPr>
                  <w:tcW w:w="402" w:type="pct"/>
                  <w:vMerge w:val="continue"/>
                  <w:tcBorders>
                    <w:bottom w:val="single" w:color="000000" w:sz="6" w:space="0"/>
                  </w:tcBorders>
                  <w:vAlign w:val="center"/>
                </w:tcPr>
                <w:p w14:paraId="2AD81C38">
                  <w:pPr>
                    <w:jc w:val="center"/>
                    <w:rPr>
                      <w:szCs w:val="21"/>
                      <w:highlight w:val="none"/>
                    </w:rPr>
                  </w:pPr>
                </w:p>
              </w:tc>
              <w:tc>
                <w:tcPr>
                  <w:tcW w:w="693" w:type="pct"/>
                  <w:vMerge w:val="continue"/>
                  <w:tcBorders>
                    <w:bottom w:val="single" w:color="000000" w:sz="6" w:space="0"/>
                  </w:tcBorders>
                  <w:vAlign w:val="center"/>
                </w:tcPr>
                <w:p w14:paraId="3FBF598D">
                  <w:pPr>
                    <w:jc w:val="center"/>
                    <w:rPr>
                      <w:szCs w:val="21"/>
                      <w:highlight w:val="none"/>
                    </w:rPr>
                  </w:pPr>
                </w:p>
              </w:tc>
              <w:tc>
                <w:tcPr>
                  <w:tcW w:w="499" w:type="pct"/>
                  <w:vAlign w:val="center"/>
                </w:tcPr>
                <w:p w14:paraId="2ADB3B75">
                  <w:pPr>
                    <w:jc w:val="center"/>
                    <w:rPr>
                      <w:b/>
                      <w:bCs/>
                      <w:spacing w:val="-17"/>
                      <w:szCs w:val="21"/>
                      <w:highlight w:val="none"/>
                    </w:rPr>
                  </w:pPr>
                  <w:r>
                    <w:rPr>
                      <w:b/>
                      <w:bCs/>
                      <w:spacing w:val="-17"/>
                      <w:szCs w:val="21"/>
                      <w:highlight w:val="none"/>
                    </w:rPr>
                    <w:t>浓度</w:t>
                  </w:r>
                </w:p>
                <w:p w14:paraId="3784CB0D">
                  <w:pPr>
                    <w:jc w:val="center"/>
                    <w:rPr>
                      <w:b/>
                      <w:bCs/>
                      <w:spacing w:val="-17"/>
                      <w:szCs w:val="21"/>
                      <w:highlight w:val="none"/>
                    </w:rPr>
                  </w:pPr>
                  <w:r>
                    <w:rPr>
                      <w:b/>
                      <w:bCs/>
                      <w:spacing w:val="-17"/>
                      <w:szCs w:val="21"/>
                      <w:highlight w:val="none"/>
                    </w:rPr>
                    <w:t>mg/m</w:t>
                  </w:r>
                  <w:r>
                    <w:rPr>
                      <w:b/>
                      <w:bCs/>
                      <w:spacing w:val="-17"/>
                      <w:szCs w:val="21"/>
                      <w:highlight w:val="none"/>
                      <w:vertAlign w:val="superscript"/>
                    </w:rPr>
                    <w:t>3</w:t>
                  </w:r>
                </w:p>
              </w:tc>
              <w:tc>
                <w:tcPr>
                  <w:tcW w:w="439" w:type="pct"/>
                  <w:vAlign w:val="center"/>
                </w:tcPr>
                <w:p w14:paraId="7C6E7980">
                  <w:pPr>
                    <w:jc w:val="center"/>
                    <w:rPr>
                      <w:b/>
                      <w:bCs/>
                      <w:spacing w:val="-17"/>
                      <w:szCs w:val="21"/>
                      <w:highlight w:val="none"/>
                    </w:rPr>
                  </w:pPr>
                  <w:r>
                    <w:rPr>
                      <w:b/>
                      <w:bCs/>
                      <w:spacing w:val="-17"/>
                      <w:szCs w:val="21"/>
                      <w:highlight w:val="none"/>
                    </w:rPr>
                    <w:t>速率</w:t>
                  </w:r>
                </w:p>
                <w:p w14:paraId="35382427">
                  <w:pPr>
                    <w:jc w:val="center"/>
                    <w:rPr>
                      <w:b/>
                      <w:bCs/>
                      <w:spacing w:val="-17"/>
                      <w:szCs w:val="21"/>
                      <w:highlight w:val="none"/>
                    </w:rPr>
                  </w:pPr>
                  <w:r>
                    <w:rPr>
                      <w:b/>
                      <w:bCs/>
                      <w:spacing w:val="-17"/>
                      <w:szCs w:val="21"/>
                      <w:highlight w:val="none"/>
                    </w:rPr>
                    <w:t>kg/h</w:t>
                  </w:r>
                </w:p>
              </w:tc>
              <w:tc>
                <w:tcPr>
                  <w:tcW w:w="560" w:type="pct"/>
                  <w:vAlign w:val="center"/>
                </w:tcPr>
                <w:p w14:paraId="45CFC15D">
                  <w:pPr>
                    <w:jc w:val="center"/>
                    <w:rPr>
                      <w:b/>
                      <w:bCs/>
                      <w:spacing w:val="-17"/>
                      <w:szCs w:val="21"/>
                      <w:highlight w:val="none"/>
                    </w:rPr>
                  </w:pPr>
                  <w:r>
                    <w:rPr>
                      <w:b/>
                      <w:bCs/>
                      <w:spacing w:val="-17"/>
                      <w:szCs w:val="21"/>
                      <w:highlight w:val="none"/>
                    </w:rPr>
                    <w:t>量</w:t>
                  </w:r>
                </w:p>
                <w:p w14:paraId="4E39D46B">
                  <w:pPr>
                    <w:jc w:val="center"/>
                    <w:rPr>
                      <w:b/>
                      <w:bCs/>
                      <w:spacing w:val="-17"/>
                      <w:szCs w:val="21"/>
                      <w:highlight w:val="none"/>
                    </w:rPr>
                  </w:pPr>
                  <w:r>
                    <w:rPr>
                      <w:b/>
                      <w:bCs/>
                      <w:spacing w:val="-17"/>
                      <w:szCs w:val="21"/>
                      <w:highlight w:val="none"/>
                    </w:rPr>
                    <w:t>t/a</w:t>
                  </w:r>
                </w:p>
              </w:tc>
              <w:tc>
                <w:tcPr>
                  <w:tcW w:w="491" w:type="pct"/>
                  <w:vAlign w:val="center"/>
                </w:tcPr>
                <w:p w14:paraId="1B96D93A">
                  <w:pPr>
                    <w:jc w:val="center"/>
                    <w:rPr>
                      <w:b/>
                      <w:bCs/>
                      <w:spacing w:val="-17"/>
                      <w:szCs w:val="21"/>
                      <w:highlight w:val="none"/>
                    </w:rPr>
                  </w:pPr>
                  <w:r>
                    <w:rPr>
                      <w:b/>
                      <w:bCs/>
                      <w:spacing w:val="-17"/>
                      <w:szCs w:val="21"/>
                      <w:highlight w:val="none"/>
                    </w:rPr>
                    <w:t>浓度</w:t>
                  </w:r>
                </w:p>
                <w:p w14:paraId="05183D12">
                  <w:pPr>
                    <w:jc w:val="center"/>
                    <w:rPr>
                      <w:b/>
                      <w:bCs/>
                      <w:spacing w:val="-17"/>
                      <w:szCs w:val="21"/>
                      <w:highlight w:val="none"/>
                    </w:rPr>
                  </w:pPr>
                  <w:r>
                    <w:rPr>
                      <w:b/>
                      <w:bCs/>
                      <w:spacing w:val="-17"/>
                      <w:szCs w:val="21"/>
                      <w:highlight w:val="none"/>
                    </w:rPr>
                    <w:t>mg/m</w:t>
                  </w:r>
                  <w:r>
                    <w:rPr>
                      <w:b/>
                      <w:bCs/>
                      <w:spacing w:val="-17"/>
                      <w:szCs w:val="21"/>
                      <w:highlight w:val="none"/>
                      <w:vertAlign w:val="superscript"/>
                    </w:rPr>
                    <w:t>3</w:t>
                  </w:r>
                </w:p>
              </w:tc>
              <w:tc>
                <w:tcPr>
                  <w:tcW w:w="450" w:type="pct"/>
                  <w:vAlign w:val="center"/>
                </w:tcPr>
                <w:p w14:paraId="0DEB9B75">
                  <w:pPr>
                    <w:jc w:val="center"/>
                    <w:rPr>
                      <w:b/>
                      <w:bCs/>
                      <w:spacing w:val="-17"/>
                      <w:szCs w:val="21"/>
                      <w:highlight w:val="none"/>
                    </w:rPr>
                  </w:pPr>
                  <w:r>
                    <w:rPr>
                      <w:b/>
                      <w:bCs/>
                      <w:spacing w:val="-17"/>
                      <w:szCs w:val="21"/>
                      <w:highlight w:val="none"/>
                    </w:rPr>
                    <w:t>速率</w:t>
                  </w:r>
                </w:p>
                <w:p w14:paraId="22B788A9">
                  <w:pPr>
                    <w:jc w:val="center"/>
                    <w:rPr>
                      <w:b/>
                      <w:bCs/>
                      <w:spacing w:val="-17"/>
                      <w:szCs w:val="21"/>
                      <w:highlight w:val="none"/>
                    </w:rPr>
                  </w:pPr>
                  <w:r>
                    <w:rPr>
                      <w:b/>
                      <w:bCs/>
                      <w:spacing w:val="-17"/>
                      <w:szCs w:val="21"/>
                      <w:highlight w:val="none"/>
                    </w:rPr>
                    <w:t>kg/h</w:t>
                  </w:r>
                </w:p>
              </w:tc>
              <w:tc>
                <w:tcPr>
                  <w:tcW w:w="485" w:type="pct"/>
                  <w:vAlign w:val="center"/>
                </w:tcPr>
                <w:p w14:paraId="760274DD">
                  <w:pPr>
                    <w:jc w:val="center"/>
                    <w:rPr>
                      <w:b/>
                      <w:bCs/>
                      <w:spacing w:val="-17"/>
                      <w:szCs w:val="21"/>
                      <w:highlight w:val="none"/>
                    </w:rPr>
                  </w:pPr>
                  <w:r>
                    <w:rPr>
                      <w:b/>
                      <w:bCs/>
                      <w:spacing w:val="-17"/>
                      <w:szCs w:val="21"/>
                      <w:highlight w:val="none"/>
                    </w:rPr>
                    <w:t>量</w:t>
                  </w:r>
                </w:p>
                <w:p w14:paraId="574A2856">
                  <w:pPr>
                    <w:jc w:val="center"/>
                    <w:rPr>
                      <w:b/>
                      <w:bCs/>
                      <w:spacing w:val="-17"/>
                      <w:szCs w:val="21"/>
                      <w:highlight w:val="none"/>
                    </w:rPr>
                  </w:pPr>
                  <w:r>
                    <w:rPr>
                      <w:b/>
                      <w:bCs/>
                      <w:spacing w:val="-17"/>
                      <w:szCs w:val="21"/>
                      <w:highlight w:val="none"/>
                    </w:rPr>
                    <w:t>t/a</w:t>
                  </w:r>
                </w:p>
              </w:tc>
            </w:tr>
            <w:tr w14:paraId="1A41B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251" w:type="pct"/>
                  <w:vMerge w:val="restart"/>
                  <w:tcBorders>
                    <w:top w:val="single" w:color="000000" w:sz="6" w:space="0"/>
                    <w:left w:val="single" w:color="000000" w:sz="6" w:space="0"/>
                  </w:tcBorders>
                  <w:vAlign w:val="center"/>
                </w:tcPr>
                <w:p w14:paraId="0827E661">
                  <w:pPr>
                    <w:jc w:val="center"/>
                    <w:rPr>
                      <w:spacing w:val="-17"/>
                      <w:szCs w:val="21"/>
                      <w:highlight w:val="none"/>
                    </w:rPr>
                  </w:pPr>
                  <w:r>
                    <w:rPr>
                      <w:spacing w:val="-17"/>
                      <w:szCs w:val="21"/>
                      <w:highlight w:val="none"/>
                    </w:rPr>
                    <w:t>1</w:t>
                  </w:r>
                </w:p>
              </w:tc>
              <w:tc>
                <w:tcPr>
                  <w:tcW w:w="727" w:type="pct"/>
                  <w:vMerge w:val="restart"/>
                  <w:tcBorders>
                    <w:top w:val="single" w:color="000000" w:sz="6" w:space="0"/>
                    <w:left w:val="single" w:color="auto" w:sz="4" w:space="0"/>
                  </w:tcBorders>
                  <w:vAlign w:val="center"/>
                </w:tcPr>
                <w:p w14:paraId="7DBDC71D">
                  <w:pPr>
                    <w:jc w:val="center"/>
                    <w:rPr>
                      <w:szCs w:val="21"/>
                      <w:highlight w:val="none"/>
                    </w:rPr>
                  </w:pPr>
                  <w:r>
                    <w:rPr>
                      <w:rFonts w:hint="eastAsia"/>
                      <w:szCs w:val="21"/>
                      <w:highlight w:val="none"/>
                      <w:lang w:val="en-US" w:eastAsia="zh-CN"/>
                    </w:rPr>
                    <w:t>锅炉</w:t>
                  </w:r>
                  <w:r>
                    <w:rPr>
                      <w:rFonts w:hint="eastAsia"/>
                      <w:szCs w:val="21"/>
                      <w:highlight w:val="none"/>
                    </w:rPr>
                    <w:t>烟气排气筒DA001</w:t>
                  </w:r>
                </w:p>
              </w:tc>
              <w:tc>
                <w:tcPr>
                  <w:tcW w:w="402" w:type="pct"/>
                  <w:vMerge w:val="restart"/>
                  <w:tcBorders>
                    <w:top w:val="single" w:color="000000" w:sz="6" w:space="0"/>
                  </w:tcBorders>
                  <w:vAlign w:val="center"/>
                </w:tcPr>
                <w:p w14:paraId="748CA65B">
                  <w:pPr>
                    <w:jc w:val="center"/>
                    <w:rPr>
                      <w:szCs w:val="21"/>
                      <w:highlight w:val="none"/>
                    </w:rPr>
                  </w:pPr>
                  <w:r>
                    <w:rPr>
                      <w:szCs w:val="21"/>
                      <w:highlight w:val="none"/>
                    </w:rPr>
                    <w:t>有组织</w:t>
                  </w:r>
                </w:p>
              </w:tc>
              <w:tc>
                <w:tcPr>
                  <w:tcW w:w="693" w:type="pct"/>
                  <w:tcBorders>
                    <w:top w:val="single" w:color="000000" w:sz="6" w:space="0"/>
                    <w:bottom w:val="single" w:color="auto" w:sz="4" w:space="0"/>
                  </w:tcBorders>
                  <w:vAlign w:val="center"/>
                </w:tcPr>
                <w:p w14:paraId="52D6F6F4">
                  <w:pPr>
                    <w:jc w:val="center"/>
                    <w:rPr>
                      <w:szCs w:val="21"/>
                      <w:highlight w:val="none"/>
                    </w:rPr>
                  </w:pPr>
                  <w:r>
                    <w:rPr>
                      <w:szCs w:val="21"/>
                      <w:highlight w:val="none"/>
                    </w:rPr>
                    <w:t>颗粒物</w:t>
                  </w:r>
                </w:p>
              </w:tc>
              <w:tc>
                <w:tcPr>
                  <w:tcW w:w="499" w:type="pct"/>
                  <w:vAlign w:val="center"/>
                </w:tcPr>
                <w:p w14:paraId="1BCCDF43">
                  <w:pPr>
                    <w:jc w:val="center"/>
                    <w:rPr>
                      <w:rFonts w:hint="default" w:eastAsia="宋体"/>
                      <w:kern w:val="0"/>
                      <w:szCs w:val="21"/>
                      <w:highlight w:val="none"/>
                      <w:lang w:val="en-US" w:eastAsia="zh-CN" w:bidi="ar"/>
                    </w:rPr>
                  </w:pPr>
                  <w:r>
                    <w:rPr>
                      <w:rFonts w:hint="eastAsia"/>
                      <w:kern w:val="0"/>
                      <w:szCs w:val="21"/>
                      <w:highlight w:val="none"/>
                      <w:lang w:val="en-US" w:eastAsia="zh-CN" w:bidi="ar"/>
                    </w:rPr>
                    <w:t>4.12</w:t>
                  </w:r>
                </w:p>
              </w:tc>
              <w:tc>
                <w:tcPr>
                  <w:tcW w:w="439" w:type="pct"/>
                  <w:vAlign w:val="center"/>
                </w:tcPr>
                <w:p w14:paraId="1D9DC10B">
                  <w:pPr>
                    <w:jc w:val="center"/>
                    <w:rPr>
                      <w:rFonts w:hint="default" w:eastAsia="宋体"/>
                      <w:kern w:val="0"/>
                      <w:szCs w:val="21"/>
                      <w:highlight w:val="none"/>
                      <w:lang w:val="en-US" w:eastAsia="zh-CN" w:bidi="ar"/>
                    </w:rPr>
                  </w:pPr>
                  <w:r>
                    <w:rPr>
                      <w:rFonts w:hint="eastAsia"/>
                      <w:kern w:val="0"/>
                      <w:szCs w:val="21"/>
                      <w:highlight w:val="none"/>
                      <w:lang w:val="en-US" w:eastAsia="zh-CN" w:bidi="ar"/>
                    </w:rPr>
                    <w:t>0.018</w:t>
                  </w:r>
                </w:p>
              </w:tc>
              <w:tc>
                <w:tcPr>
                  <w:tcW w:w="560" w:type="pct"/>
                  <w:vAlign w:val="center"/>
                </w:tcPr>
                <w:p w14:paraId="48038336">
                  <w:pPr>
                    <w:jc w:val="center"/>
                    <w:rPr>
                      <w:rFonts w:hint="default" w:eastAsia="宋体"/>
                      <w:kern w:val="0"/>
                      <w:szCs w:val="21"/>
                      <w:highlight w:val="none"/>
                      <w:lang w:val="en-US" w:eastAsia="zh-CN" w:bidi="ar"/>
                    </w:rPr>
                  </w:pPr>
                  <w:r>
                    <w:rPr>
                      <w:rFonts w:hint="eastAsia"/>
                      <w:kern w:val="0"/>
                      <w:szCs w:val="21"/>
                      <w:highlight w:val="none"/>
                      <w:lang w:val="en-US" w:eastAsia="zh-CN" w:bidi="ar"/>
                    </w:rPr>
                    <w:t>0.039</w:t>
                  </w:r>
                </w:p>
              </w:tc>
              <w:tc>
                <w:tcPr>
                  <w:tcW w:w="491" w:type="pct"/>
                  <w:shd w:val="clear" w:color="auto" w:fill="auto"/>
                  <w:vAlign w:val="center"/>
                </w:tcPr>
                <w:p w14:paraId="49CD7BA5">
                  <w:pPr>
                    <w:jc w:val="center"/>
                    <w:rPr>
                      <w:rFonts w:hint="default"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4.12</w:t>
                  </w:r>
                </w:p>
              </w:tc>
              <w:tc>
                <w:tcPr>
                  <w:tcW w:w="450" w:type="pct"/>
                  <w:shd w:val="clear" w:color="auto" w:fill="auto"/>
                  <w:vAlign w:val="center"/>
                </w:tcPr>
                <w:p w14:paraId="6B0D384A">
                  <w:pPr>
                    <w:jc w:val="center"/>
                    <w:rPr>
                      <w:rFonts w:hint="default"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0.018</w:t>
                  </w:r>
                </w:p>
              </w:tc>
              <w:tc>
                <w:tcPr>
                  <w:tcW w:w="485" w:type="pct"/>
                  <w:shd w:val="clear" w:color="auto" w:fill="auto"/>
                  <w:vAlign w:val="center"/>
                </w:tcPr>
                <w:p w14:paraId="7535566E">
                  <w:pPr>
                    <w:jc w:val="center"/>
                    <w:rPr>
                      <w:rFonts w:hint="default"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0.039</w:t>
                  </w:r>
                </w:p>
              </w:tc>
            </w:tr>
            <w:tr w14:paraId="3269A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 w:type="pct"/>
                  <w:vMerge w:val="continue"/>
                  <w:tcBorders>
                    <w:left w:val="single" w:color="000000" w:sz="6" w:space="0"/>
                  </w:tcBorders>
                  <w:vAlign w:val="center"/>
                </w:tcPr>
                <w:p w14:paraId="66BDACEF">
                  <w:pPr>
                    <w:jc w:val="center"/>
                    <w:rPr>
                      <w:spacing w:val="-17"/>
                      <w:szCs w:val="21"/>
                      <w:highlight w:val="none"/>
                    </w:rPr>
                  </w:pPr>
                </w:p>
              </w:tc>
              <w:tc>
                <w:tcPr>
                  <w:tcW w:w="727" w:type="pct"/>
                  <w:vMerge w:val="continue"/>
                  <w:tcBorders>
                    <w:left w:val="single" w:color="auto" w:sz="4" w:space="0"/>
                  </w:tcBorders>
                  <w:vAlign w:val="center"/>
                </w:tcPr>
                <w:p w14:paraId="15A037F9">
                  <w:pPr>
                    <w:jc w:val="center"/>
                    <w:rPr>
                      <w:szCs w:val="21"/>
                      <w:highlight w:val="none"/>
                    </w:rPr>
                  </w:pPr>
                </w:p>
              </w:tc>
              <w:tc>
                <w:tcPr>
                  <w:tcW w:w="402" w:type="pct"/>
                  <w:vMerge w:val="continue"/>
                  <w:vAlign w:val="center"/>
                </w:tcPr>
                <w:p w14:paraId="3E901B8E">
                  <w:pPr>
                    <w:jc w:val="center"/>
                    <w:rPr>
                      <w:szCs w:val="21"/>
                      <w:highlight w:val="none"/>
                    </w:rPr>
                  </w:pPr>
                </w:p>
              </w:tc>
              <w:tc>
                <w:tcPr>
                  <w:tcW w:w="693" w:type="pct"/>
                  <w:tcBorders>
                    <w:top w:val="single" w:color="000000" w:sz="6" w:space="0"/>
                    <w:bottom w:val="single" w:color="auto" w:sz="4" w:space="0"/>
                  </w:tcBorders>
                  <w:vAlign w:val="center"/>
                </w:tcPr>
                <w:p w14:paraId="397DF718">
                  <w:pPr>
                    <w:jc w:val="center"/>
                    <w:rPr>
                      <w:szCs w:val="21"/>
                      <w:highlight w:val="none"/>
                    </w:rPr>
                  </w:pPr>
                  <w:r>
                    <w:rPr>
                      <w:szCs w:val="21"/>
                      <w:highlight w:val="none"/>
                    </w:rPr>
                    <w:t>二氧化硫</w:t>
                  </w:r>
                </w:p>
              </w:tc>
              <w:tc>
                <w:tcPr>
                  <w:tcW w:w="499" w:type="pct"/>
                  <w:vAlign w:val="center"/>
                </w:tcPr>
                <w:p w14:paraId="307D2BC3">
                  <w:pPr>
                    <w:jc w:val="center"/>
                    <w:rPr>
                      <w:rFonts w:hint="default" w:eastAsia="宋体"/>
                      <w:kern w:val="0"/>
                      <w:szCs w:val="21"/>
                      <w:highlight w:val="none"/>
                      <w:lang w:val="en-US" w:eastAsia="zh-CN" w:bidi="ar"/>
                    </w:rPr>
                  </w:pPr>
                  <w:r>
                    <w:rPr>
                      <w:rFonts w:hint="eastAsia"/>
                      <w:kern w:val="0"/>
                      <w:szCs w:val="21"/>
                      <w:highlight w:val="none"/>
                      <w:lang w:val="en-US" w:eastAsia="zh-CN" w:bidi="ar"/>
                    </w:rPr>
                    <w:t>7.33</w:t>
                  </w:r>
                </w:p>
              </w:tc>
              <w:tc>
                <w:tcPr>
                  <w:tcW w:w="439" w:type="pct"/>
                  <w:vAlign w:val="center"/>
                </w:tcPr>
                <w:p w14:paraId="4D049BB9">
                  <w:pPr>
                    <w:jc w:val="center"/>
                    <w:rPr>
                      <w:rFonts w:hint="default" w:eastAsia="宋体"/>
                      <w:kern w:val="0"/>
                      <w:szCs w:val="21"/>
                      <w:highlight w:val="none"/>
                      <w:lang w:val="en-US" w:eastAsia="zh-CN" w:bidi="ar"/>
                    </w:rPr>
                  </w:pPr>
                  <w:r>
                    <w:rPr>
                      <w:rFonts w:hint="eastAsia"/>
                      <w:kern w:val="0"/>
                      <w:szCs w:val="21"/>
                      <w:highlight w:val="none"/>
                      <w:lang w:val="en-US" w:eastAsia="zh-CN" w:bidi="ar"/>
                    </w:rPr>
                    <w:t>0.032</w:t>
                  </w:r>
                </w:p>
              </w:tc>
              <w:tc>
                <w:tcPr>
                  <w:tcW w:w="560" w:type="pct"/>
                  <w:vAlign w:val="center"/>
                </w:tcPr>
                <w:p w14:paraId="44D6F7C6">
                  <w:pPr>
                    <w:jc w:val="center"/>
                    <w:rPr>
                      <w:rFonts w:hint="default" w:eastAsia="宋体"/>
                      <w:kern w:val="0"/>
                      <w:szCs w:val="21"/>
                      <w:highlight w:val="none"/>
                      <w:lang w:val="en-US" w:eastAsia="zh-CN" w:bidi="ar"/>
                    </w:rPr>
                  </w:pPr>
                  <w:r>
                    <w:rPr>
                      <w:rFonts w:hint="eastAsia"/>
                      <w:kern w:val="0"/>
                      <w:szCs w:val="21"/>
                      <w:highlight w:val="none"/>
                      <w:lang w:val="en-US" w:eastAsia="zh-CN" w:bidi="ar"/>
                    </w:rPr>
                    <w:t>0.069</w:t>
                  </w:r>
                </w:p>
              </w:tc>
              <w:tc>
                <w:tcPr>
                  <w:tcW w:w="491" w:type="pct"/>
                  <w:shd w:val="clear" w:color="auto" w:fill="auto"/>
                  <w:vAlign w:val="center"/>
                </w:tcPr>
                <w:p w14:paraId="05EC5288">
                  <w:pPr>
                    <w:jc w:val="center"/>
                    <w:rPr>
                      <w:rFonts w:hint="default"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7.33</w:t>
                  </w:r>
                </w:p>
              </w:tc>
              <w:tc>
                <w:tcPr>
                  <w:tcW w:w="450" w:type="pct"/>
                  <w:shd w:val="clear" w:color="auto" w:fill="auto"/>
                  <w:vAlign w:val="center"/>
                </w:tcPr>
                <w:p w14:paraId="5626D896">
                  <w:pPr>
                    <w:jc w:val="center"/>
                    <w:rPr>
                      <w:rFonts w:hint="default"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0.032</w:t>
                  </w:r>
                </w:p>
              </w:tc>
              <w:tc>
                <w:tcPr>
                  <w:tcW w:w="485" w:type="pct"/>
                  <w:shd w:val="clear" w:color="auto" w:fill="auto"/>
                  <w:vAlign w:val="center"/>
                </w:tcPr>
                <w:p w14:paraId="2B4FE0A3">
                  <w:pPr>
                    <w:jc w:val="center"/>
                    <w:rPr>
                      <w:rFonts w:hint="default"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0.069</w:t>
                  </w:r>
                </w:p>
              </w:tc>
            </w:tr>
            <w:tr w14:paraId="75436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 w:type="pct"/>
                  <w:vMerge w:val="continue"/>
                  <w:tcBorders>
                    <w:left w:val="single" w:color="000000" w:sz="6" w:space="0"/>
                  </w:tcBorders>
                  <w:vAlign w:val="center"/>
                </w:tcPr>
                <w:p w14:paraId="1A4BD4FC">
                  <w:pPr>
                    <w:jc w:val="center"/>
                    <w:rPr>
                      <w:spacing w:val="-17"/>
                      <w:szCs w:val="21"/>
                      <w:highlight w:val="none"/>
                    </w:rPr>
                  </w:pPr>
                </w:p>
              </w:tc>
              <w:tc>
                <w:tcPr>
                  <w:tcW w:w="727" w:type="pct"/>
                  <w:vMerge w:val="continue"/>
                  <w:tcBorders>
                    <w:left w:val="single" w:color="auto" w:sz="4" w:space="0"/>
                  </w:tcBorders>
                  <w:vAlign w:val="center"/>
                </w:tcPr>
                <w:p w14:paraId="6A368835">
                  <w:pPr>
                    <w:jc w:val="center"/>
                    <w:rPr>
                      <w:szCs w:val="21"/>
                      <w:highlight w:val="none"/>
                    </w:rPr>
                  </w:pPr>
                </w:p>
              </w:tc>
              <w:tc>
                <w:tcPr>
                  <w:tcW w:w="402" w:type="pct"/>
                  <w:vMerge w:val="continue"/>
                  <w:vAlign w:val="center"/>
                </w:tcPr>
                <w:p w14:paraId="49145017">
                  <w:pPr>
                    <w:jc w:val="center"/>
                    <w:rPr>
                      <w:szCs w:val="21"/>
                      <w:highlight w:val="none"/>
                    </w:rPr>
                  </w:pPr>
                </w:p>
              </w:tc>
              <w:tc>
                <w:tcPr>
                  <w:tcW w:w="693" w:type="pct"/>
                  <w:tcBorders>
                    <w:top w:val="single" w:color="000000" w:sz="6" w:space="0"/>
                    <w:bottom w:val="single" w:color="000000" w:sz="6" w:space="0"/>
                  </w:tcBorders>
                  <w:vAlign w:val="center"/>
                </w:tcPr>
                <w:p w14:paraId="2B515F58">
                  <w:pPr>
                    <w:jc w:val="center"/>
                    <w:rPr>
                      <w:szCs w:val="21"/>
                      <w:highlight w:val="none"/>
                    </w:rPr>
                  </w:pPr>
                  <w:r>
                    <w:rPr>
                      <w:szCs w:val="21"/>
                      <w:highlight w:val="none"/>
                    </w:rPr>
                    <w:t>氮氧化物</w:t>
                  </w:r>
                </w:p>
              </w:tc>
              <w:tc>
                <w:tcPr>
                  <w:tcW w:w="499" w:type="pct"/>
                  <w:vAlign w:val="center"/>
                </w:tcPr>
                <w:p w14:paraId="6BC37667">
                  <w:pPr>
                    <w:jc w:val="center"/>
                    <w:rPr>
                      <w:rFonts w:hint="default" w:eastAsia="宋体"/>
                      <w:kern w:val="0"/>
                      <w:szCs w:val="21"/>
                      <w:highlight w:val="none"/>
                      <w:lang w:val="en-US" w:eastAsia="zh-CN" w:bidi="ar"/>
                    </w:rPr>
                  </w:pPr>
                  <w:r>
                    <w:rPr>
                      <w:rFonts w:hint="eastAsia"/>
                      <w:kern w:val="0"/>
                      <w:szCs w:val="21"/>
                      <w:highlight w:val="none"/>
                      <w:lang w:val="en-US" w:eastAsia="zh-CN" w:bidi="ar"/>
                    </w:rPr>
                    <w:t>28.19</w:t>
                  </w:r>
                </w:p>
              </w:tc>
              <w:tc>
                <w:tcPr>
                  <w:tcW w:w="439" w:type="pct"/>
                  <w:vAlign w:val="center"/>
                </w:tcPr>
                <w:p w14:paraId="44A2398A">
                  <w:pPr>
                    <w:jc w:val="center"/>
                    <w:rPr>
                      <w:rFonts w:hint="default" w:eastAsia="宋体"/>
                      <w:kern w:val="0"/>
                      <w:szCs w:val="21"/>
                      <w:highlight w:val="none"/>
                      <w:lang w:val="en-US" w:eastAsia="zh-CN" w:bidi="ar"/>
                    </w:rPr>
                  </w:pPr>
                  <w:r>
                    <w:rPr>
                      <w:rFonts w:hint="eastAsia"/>
                      <w:kern w:val="0"/>
                      <w:szCs w:val="21"/>
                      <w:highlight w:val="none"/>
                      <w:lang w:val="en-US" w:eastAsia="zh-CN" w:bidi="ar"/>
                    </w:rPr>
                    <w:t>0.123</w:t>
                  </w:r>
                </w:p>
              </w:tc>
              <w:tc>
                <w:tcPr>
                  <w:tcW w:w="560" w:type="pct"/>
                  <w:vAlign w:val="center"/>
                </w:tcPr>
                <w:p w14:paraId="1E86412C">
                  <w:pPr>
                    <w:jc w:val="center"/>
                    <w:rPr>
                      <w:rFonts w:hint="default" w:eastAsia="宋体"/>
                      <w:kern w:val="0"/>
                      <w:szCs w:val="21"/>
                      <w:highlight w:val="none"/>
                      <w:lang w:val="en-US" w:eastAsia="zh-CN" w:bidi="ar"/>
                    </w:rPr>
                  </w:pPr>
                  <w:r>
                    <w:rPr>
                      <w:rFonts w:hint="eastAsia"/>
                      <w:kern w:val="0"/>
                      <w:szCs w:val="21"/>
                      <w:highlight w:val="none"/>
                      <w:lang w:val="en-US" w:eastAsia="zh-CN" w:bidi="ar"/>
                    </w:rPr>
                    <w:t>0.265</w:t>
                  </w:r>
                </w:p>
              </w:tc>
              <w:tc>
                <w:tcPr>
                  <w:tcW w:w="491" w:type="pct"/>
                  <w:shd w:val="clear" w:color="auto" w:fill="auto"/>
                  <w:vAlign w:val="center"/>
                </w:tcPr>
                <w:p w14:paraId="1F7EE6E4">
                  <w:pPr>
                    <w:jc w:val="center"/>
                    <w:rPr>
                      <w:rFonts w:hint="default"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28.19</w:t>
                  </w:r>
                </w:p>
              </w:tc>
              <w:tc>
                <w:tcPr>
                  <w:tcW w:w="450" w:type="pct"/>
                  <w:shd w:val="clear" w:color="auto" w:fill="auto"/>
                  <w:vAlign w:val="center"/>
                </w:tcPr>
                <w:p w14:paraId="626C6B41">
                  <w:pPr>
                    <w:jc w:val="center"/>
                    <w:rPr>
                      <w:rFonts w:hint="default"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0.123</w:t>
                  </w:r>
                </w:p>
              </w:tc>
              <w:tc>
                <w:tcPr>
                  <w:tcW w:w="485" w:type="pct"/>
                  <w:shd w:val="clear" w:color="auto" w:fill="auto"/>
                  <w:vAlign w:val="center"/>
                </w:tcPr>
                <w:p w14:paraId="745B7FD1">
                  <w:pPr>
                    <w:jc w:val="center"/>
                    <w:rPr>
                      <w:rFonts w:hint="default"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0.265</w:t>
                  </w:r>
                </w:p>
              </w:tc>
            </w:tr>
            <w:tr w14:paraId="48A87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 w:type="pct"/>
                  <w:vMerge w:val="continue"/>
                  <w:tcBorders>
                    <w:left w:val="single" w:color="000000" w:sz="6" w:space="0"/>
                  </w:tcBorders>
                  <w:vAlign w:val="center"/>
                </w:tcPr>
                <w:p w14:paraId="3505E65C">
                  <w:pPr>
                    <w:jc w:val="center"/>
                    <w:rPr>
                      <w:spacing w:val="-17"/>
                      <w:szCs w:val="21"/>
                      <w:highlight w:val="none"/>
                    </w:rPr>
                  </w:pPr>
                </w:p>
              </w:tc>
              <w:tc>
                <w:tcPr>
                  <w:tcW w:w="727" w:type="pct"/>
                  <w:vMerge w:val="continue"/>
                  <w:tcBorders>
                    <w:left w:val="single" w:color="auto" w:sz="4" w:space="0"/>
                  </w:tcBorders>
                  <w:vAlign w:val="center"/>
                </w:tcPr>
                <w:p w14:paraId="3E633528">
                  <w:pPr>
                    <w:jc w:val="center"/>
                    <w:rPr>
                      <w:szCs w:val="21"/>
                      <w:highlight w:val="none"/>
                    </w:rPr>
                  </w:pPr>
                </w:p>
              </w:tc>
              <w:tc>
                <w:tcPr>
                  <w:tcW w:w="402" w:type="pct"/>
                  <w:vMerge w:val="continue"/>
                  <w:vAlign w:val="center"/>
                </w:tcPr>
                <w:p w14:paraId="7EFB2249">
                  <w:pPr>
                    <w:jc w:val="center"/>
                    <w:rPr>
                      <w:szCs w:val="21"/>
                      <w:highlight w:val="none"/>
                    </w:rPr>
                  </w:pPr>
                </w:p>
              </w:tc>
              <w:tc>
                <w:tcPr>
                  <w:tcW w:w="693" w:type="pct"/>
                  <w:tcBorders>
                    <w:top w:val="single" w:color="000000" w:sz="6" w:space="0"/>
                    <w:bottom w:val="single" w:color="000000" w:sz="6" w:space="0"/>
                  </w:tcBorders>
                  <w:vAlign w:val="center"/>
                </w:tcPr>
                <w:p w14:paraId="035F33CC">
                  <w:pPr>
                    <w:jc w:val="center"/>
                    <w:rPr>
                      <w:rFonts w:hint="default" w:eastAsia="宋体"/>
                      <w:sz w:val="18"/>
                      <w:szCs w:val="21"/>
                      <w:highlight w:val="none"/>
                      <w:lang w:val="en-US" w:eastAsia="zh-CN"/>
                    </w:rPr>
                  </w:pPr>
                  <w:r>
                    <w:rPr>
                      <w:rFonts w:hint="eastAsia"/>
                      <w:sz w:val="18"/>
                      <w:szCs w:val="21"/>
                      <w:highlight w:val="none"/>
                      <w:lang w:val="en-US" w:eastAsia="zh-CN"/>
                    </w:rPr>
                    <w:t>烟气黑度</w:t>
                  </w:r>
                </w:p>
              </w:tc>
              <w:tc>
                <w:tcPr>
                  <w:tcW w:w="499" w:type="pct"/>
                  <w:vAlign w:val="center"/>
                </w:tcPr>
                <w:p w14:paraId="7652D486">
                  <w:pPr>
                    <w:jc w:val="center"/>
                    <w:rPr>
                      <w:rFonts w:hint="eastAsia" w:eastAsia="宋体"/>
                      <w:szCs w:val="21"/>
                      <w:highlight w:val="none"/>
                      <w:lang w:val="en-US" w:eastAsia="zh-CN"/>
                    </w:rPr>
                  </w:pPr>
                  <w:r>
                    <w:rPr>
                      <w:rFonts w:hint="eastAsia"/>
                      <w:szCs w:val="21"/>
                      <w:highlight w:val="none"/>
                      <w:lang w:val="en-US" w:eastAsia="zh-CN"/>
                    </w:rPr>
                    <w:t>/</w:t>
                  </w:r>
                </w:p>
              </w:tc>
              <w:tc>
                <w:tcPr>
                  <w:tcW w:w="439" w:type="pct"/>
                  <w:vAlign w:val="center"/>
                </w:tcPr>
                <w:p w14:paraId="62B01A74">
                  <w:pPr>
                    <w:jc w:val="center"/>
                    <w:rPr>
                      <w:rFonts w:hint="default" w:eastAsia="宋体"/>
                      <w:szCs w:val="21"/>
                      <w:highlight w:val="none"/>
                      <w:lang w:val="en-US" w:eastAsia="zh-CN"/>
                    </w:rPr>
                  </w:pPr>
                  <w:r>
                    <w:rPr>
                      <w:rFonts w:hint="eastAsia"/>
                      <w:szCs w:val="21"/>
                      <w:highlight w:val="none"/>
                      <w:lang w:val="en-US" w:eastAsia="zh-CN"/>
                    </w:rPr>
                    <w:t>/</w:t>
                  </w:r>
                </w:p>
              </w:tc>
              <w:tc>
                <w:tcPr>
                  <w:tcW w:w="560" w:type="pct"/>
                  <w:vAlign w:val="center"/>
                </w:tcPr>
                <w:p w14:paraId="18F3C50F">
                  <w:pPr>
                    <w:jc w:val="center"/>
                    <w:rPr>
                      <w:rFonts w:hint="eastAsia" w:eastAsia="宋体"/>
                      <w:szCs w:val="21"/>
                      <w:highlight w:val="none"/>
                      <w:lang w:val="en-US" w:eastAsia="zh-CN"/>
                    </w:rPr>
                  </w:pPr>
                  <w:r>
                    <w:rPr>
                      <w:rFonts w:hint="eastAsia"/>
                      <w:szCs w:val="21"/>
                      <w:highlight w:val="none"/>
                      <w:lang w:val="en-US" w:eastAsia="zh-CN"/>
                    </w:rPr>
                    <w:t>/</w:t>
                  </w:r>
                </w:p>
              </w:tc>
              <w:tc>
                <w:tcPr>
                  <w:tcW w:w="491" w:type="pct"/>
                  <w:vAlign w:val="center"/>
                </w:tcPr>
                <w:p w14:paraId="5ADBA006">
                  <w:pPr>
                    <w:jc w:val="center"/>
                    <w:rPr>
                      <w:rFonts w:hint="default" w:eastAsia="宋体"/>
                      <w:szCs w:val="21"/>
                      <w:highlight w:val="none"/>
                      <w:lang w:val="en-US" w:eastAsia="zh-CN"/>
                    </w:rPr>
                  </w:pPr>
                  <w:r>
                    <w:rPr>
                      <w:rFonts w:hint="eastAsia"/>
                      <w:szCs w:val="21"/>
                      <w:highlight w:val="none"/>
                      <w:lang w:val="en-US" w:eastAsia="zh-CN"/>
                    </w:rPr>
                    <w:t>≤1级</w:t>
                  </w:r>
                </w:p>
              </w:tc>
              <w:tc>
                <w:tcPr>
                  <w:tcW w:w="450" w:type="pct"/>
                  <w:vAlign w:val="center"/>
                </w:tcPr>
                <w:p w14:paraId="3696DC46">
                  <w:pPr>
                    <w:jc w:val="center"/>
                    <w:rPr>
                      <w:rFonts w:hint="eastAsia" w:eastAsia="宋体"/>
                      <w:szCs w:val="21"/>
                      <w:highlight w:val="none"/>
                      <w:lang w:val="en-US" w:eastAsia="zh-CN"/>
                    </w:rPr>
                  </w:pPr>
                  <w:r>
                    <w:rPr>
                      <w:rFonts w:hint="eastAsia"/>
                      <w:szCs w:val="21"/>
                      <w:highlight w:val="none"/>
                      <w:lang w:val="en-US" w:eastAsia="zh-CN"/>
                    </w:rPr>
                    <w:t>/</w:t>
                  </w:r>
                </w:p>
              </w:tc>
              <w:tc>
                <w:tcPr>
                  <w:tcW w:w="485" w:type="pct"/>
                  <w:vAlign w:val="center"/>
                </w:tcPr>
                <w:p w14:paraId="548D37F4">
                  <w:pPr>
                    <w:jc w:val="center"/>
                    <w:rPr>
                      <w:rFonts w:hint="eastAsia" w:eastAsia="宋体"/>
                      <w:szCs w:val="21"/>
                      <w:highlight w:val="none"/>
                      <w:lang w:val="en-US" w:eastAsia="zh-CN"/>
                    </w:rPr>
                  </w:pPr>
                  <w:r>
                    <w:rPr>
                      <w:rFonts w:hint="eastAsia"/>
                      <w:szCs w:val="21"/>
                      <w:highlight w:val="none"/>
                      <w:lang w:val="en-US" w:eastAsia="zh-CN"/>
                    </w:rPr>
                    <w:t>/</w:t>
                  </w:r>
                </w:p>
              </w:tc>
            </w:tr>
          </w:tbl>
          <w:p w14:paraId="028BE2A9">
            <w:pPr>
              <w:spacing w:line="360" w:lineRule="auto"/>
              <w:ind w:firstLine="482"/>
              <w:rPr>
                <w:b/>
                <w:sz w:val="24"/>
                <w:highlight w:val="none"/>
              </w:rPr>
            </w:pPr>
            <w:r>
              <w:rPr>
                <w:rFonts w:hint="eastAsia"/>
                <w:b/>
                <w:sz w:val="24"/>
                <w:highlight w:val="none"/>
              </w:rPr>
              <w:t>（</w:t>
            </w:r>
            <w:r>
              <w:rPr>
                <w:rFonts w:hint="eastAsia"/>
                <w:b/>
                <w:sz w:val="24"/>
                <w:highlight w:val="none"/>
                <w:lang w:val="en-US" w:eastAsia="zh-CN"/>
              </w:rPr>
              <w:t>4</w:t>
            </w:r>
            <w:r>
              <w:rPr>
                <w:rFonts w:hint="eastAsia"/>
                <w:b/>
                <w:sz w:val="24"/>
                <w:highlight w:val="none"/>
              </w:rPr>
              <w:t>）大气污染物治理措施</w:t>
            </w:r>
          </w:p>
          <w:p w14:paraId="13B03F2B">
            <w:pPr>
              <w:spacing w:line="360" w:lineRule="auto"/>
              <w:ind w:firstLine="482"/>
              <w:rPr>
                <w:bCs/>
                <w:sz w:val="24"/>
                <w:highlight w:val="none"/>
              </w:rPr>
            </w:pPr>
            <w:r>
              <w:rPr>
                <w:rFonts w:hint="eastAsia"/>
                <w:bCs/>
                <w:sz w:val="24"/>
                <w:highlight w:val="none"/>
              </w:rPr>
              <w:t>项目共设置1套</w:t>
            </w:r>
            <w:r>
              <w:rPr>
                <w:rFonts w:hint="eastAsia"/>
                <w:bCs/>
                <w:sz w:val="24"/>
                <w:highlight w:val="none"/>
                <w:lang w:val="en-US" w:eastAsia="zh-CN"/>
              </w:rPr>
              <w:t>低氮燃烧器</w:t>
            </w:r>
            <w:r>
              <w:rPr>
                <w:rFonts w:hint="eastAsia"/>
                <w:bCs/>
                <w:sz w:val="24"/>
                <w:highlight w:val="none"/>
              </w:rPr>
              <w:t>，详细情况见下表：</w:t>
            </w:r>
          </w:p>
          <w:p w14:paraId="11436AE5">
            <w:pPr>
              <w:pStyle w:val="50"/>
              <w:numPr>
                <w:ilvl w:val="0"/>
                <w:numId w:val="11"/>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项目大气污染物治理措施情况一览表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3"/>
              <w:gridCol w:w="1601"/>
              <w:gridCol w:w="1555"/>
              <w:gridCol w:w="1770"/>
              <w:gridCol w:w="1700"/>
            </w:tblGrid>
            <w:tr w14:paraId="0E001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3" w:type="pct"/>
                  <w:vAlign w:val="center"/>
                </w:tcPr>
                <w:p w14:paraId="020A10DC">
                  <w:pPr>
                    <w:snapToGrid w:val="0"/>
                    <w:jc w:val="center"/>
                    <w:rPr>
                      <w:b/>
                      <w:bCs/>
                      <w:szCs w:val="21"/>
                      <w:highlight w:val="none"/>
                    </w:rPr>
                  </w:pPr>
                  <w:r>
                    <w:rPr>
                      <w:b/>
                      <w:bCs/>
                      <w:szCs w:val="21"/>
                      <w:highlight w:val="none"/>
                    </w:rPr>
                    <w:t>产污节点</w:t>
                  </w:r>
                </w:p>
              </w:tc>
              <w:tc>
                <w:tcPr>
                  <w:tcW w:w="946" w:type="pct"/>
                  <w:vAlign w:val="center"/>
                </w:tcPr>
                <w:p w14:paraId="57356B83">
                  <w:pPr>
                    <w:snapToGrid w:val="0"/>
                    <w:jc w:val="center"/>
                    <w:rPr>
                      <w:b/>
                      <w:bCs/>
                      <w:szCs w:val="21"/>
                      <w:highlight w:val="none"/>
                    </w:rPr>
                  </w:pPr>
                  <w:r>
                    <w:rPr>
                      <w:b/>
                      <w:bCs/>
                      <w:szCs w:val="21"/>
                      <w:highlight w:val="none"/>
                    </w:rPr>
                    <w:t>污染治理设施</w:t>
                  </w:r>
                </w:p>
              </w:tc>
              <w:tc>
                <w:tcPr>
                  <w:tcW w:w="919" w:type="pct"/>
                  <w:vAlign w:val="center"/>
                </w:tcPr>
                <w:p w14:paraId="376A6526">
                  <w:pPr>
                    <w:snapToGrid w:val="0"/>
                    <w:jc w:val="center"/>
                    <w:rPr>
                      <w:b/>
                      <w:bCs/>
                      <w:szCs w:val="21"/>
                      <w:highlight w:val="none"/>
                    </w:rPr>
                  </w:pPr>
                  <w:r>
                    <w:rPr>
                      <w:b/>
                      <w:bCs/>
                      <w:szCs w:val="21"/>
                      <w:highlight w:val="none"/>
                    </w:rPr>
                    <w:t>治理设施编号</w:t>
                  </w:r>
                </w:p>
              </w:tc>
              <w:tc>
                <w:tcPr>
                  <w:tcW w:w="1046" w:type="pct"/>
                  <w:vAlign w:val="center"/>
                </w:tcPr>
                <w:p w14:paraId="48A2B92D">
                  <w:pPr>
                    <w:snapToGrid w:val="0"/>
                    <w:jc w:val="center"/>
                    <w:rPr>
                      <w:b/>
                      <w:bCs/>
                      <w:szCs w:val="21"/>
                      <w:highlight w:val="none"/>
                    </w:rPr>
                  </w:pPr>
                  <w:r>
                    <w:rPr>
                      <w:rFonts w:hint="eastAsia"/>
                      <w:b/>
                      <w:bCs/>
                      <w:sz w:val="18"/>
                      <w:szCs w:val="21"/>
                      <w:highlight w:val="none"/>
                      <w:lang w:val="en-US" w:eastAsia="zh-CN"/>
                    </w:rPr>
                    <w:t>处理效率</w:t>
                  </w:r>
                  <w:r>
                    <w:rPr>
                      <w:b/>
                      <w:bCs/>
                      <w:sz w:val="18"/>
                      <w:szCs w:val="21"/>
                      <w:highlight w:val="none"/>
                    </w:rPr>
                    <w:t>（%）</w:t>
                  </w:r>
                </w:p>
              </w:tc>
              <w:tc>
                <w:tcPr>
                  <w:tcW w:w="1004" w:type="pct"/>
                  <w:vAlign w:val="center"/>
                </w:tcPr>
                <w:p w14:paraId="25A6E085">
                  <w:pPr>
                    <w:snapToGrid w:val="0"/>
                    <w:jc w:val="center"/>
                    <w:rPr>
                      <w:b/>
                      <w:bCs/>
                      <w:szCs w:val="21"/>
                      <w:highlight w:val="none"/>
                    </w:rPr>
                  </w:pPr>
                  <w:r>
                    <w:rPr>
                      <w:b/>
                      <w:bCs/>
                      <w:szCs w:val="21"/>
                      <w:highlight w:val="none"/>
                    </w:rPr>
                    <w:t>是否为可行技术</w:t>
                  </w:r>
                </w:p>
              </w:tc>
            </w:tr>
            <w:tr w14:paraId="4F24C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3" w:type="pct"/>
                  <w:vAlign w:val="center"/>
                </w:tcPr>
                <w:p w14:paraId="24203AC0">
                  <w:pPr>
                    <w:snapToGrid w:val="0"/>
                    <w:jc w:val="center"/>
                    <w:rPr>
                      <w:rFonts w:hint="default" w:eastAsia="宋体"/>
                      <w:b/>
                      <w:bCs/>
                      <w:szCs w:val="21"/>
                      <w:highlight w:val="none"/>
                      <w:lang w:val="en-US" w:eastAsia="zh-CN"/>
                    </w:rPr>
                  </w:pPr>
                  <w:r>
                    <w:rPr>
                      <w:rFonts w:hint="eastAsia"/>
                      <w:szCs w:val="21"/>
                      <w:highlight w:val="none"/>
                      <w:lang w:val="en-US" w:eastAsia="zh-CN"/>
                    </w:rPr>
                    <w:t>锅炉废气</w:t>
                  </w:r>
                </w:p>
              </w:tc>
              <w:tc>
                <w:tcPr>
                  <w:tcW w:w="946" w:type="pct"/>
                  <w:vAlign w:val="center"/>
                </w:tcPr>
                <w:p w14:paraId="037AABAC">
                  <w:pPr>
                    <w:snapToGrid w:val="0"/>
                    <w:jc w:val="center"/>
                    <w:rPr>
                      <w:rFonts w:hint="default" w:eastAsia="宋体"/>
                      <w:b/>
                      <w:bCs/>
                      <w:szCs w:val="21"/>
                      <w:highlight w:val="none"/>
                      <w:lang w:val="en-US" w:eastAsia="zh-CN"/>
                    </w:rPr>
                  </w:pPr>
                  <w:r>
                    <w:rPr>
                      <w:rFonts w:hint="eastAsia"/>
                      <w:szCs w:val="21"/>
                      <w:highlight w:val="none"/>
                      <w:lang w:val="en-US" w:eastAsia="zh-CN"/>
                    </w:rPr>
                    <w:t>低氮燃烧器</w:t>
                  </w:r>
                </w:p>
              </w:tc>
              <w:tc>
                <w:tcPr>
                  <w:tcW w:w="919" w:type="pct"/>
                  <w:vAlign w:val="center"/>
                </w:tcPr>
                <w:p w14:paraId="1418A9BF">
                  <w:pPr>
                    <w:snapToGrid w:val="0"/>
                    <w:jc w:val="center"/>
                    <w:rPr>
                      <w:b/>
                      <w:bCs/>
                      <w:szCs w:val="21"/>
                      <w:highlight w:val="none"/>
                    </w:rPr>
                  </w:pPr>
                  <w:r>
                    <w:rPr>
                      <w:rFonts w:hint="eastAsia"/>
                      <w:szCs w:val="21"/>
                      <w:highlight w:val="none"/>
                    </w:rPr>
                    <w:t>T</w:t>
                  </w:r>
                  <w:r>
                    <w:rPr>
                      <w:szCs w:val="21"/>
                      <w:highlight w:val="none"/>
                    </w:rPr>
                    <w:t>A001</w:t>
                  </w:r>
                </w:p>
              </w:tc>
              <w:tc>
                <w:tcPr>
                  <w:tcW w:w="1046" w:type="pct"/>
                  <w:vAlign w:val="center"/>
                </w:tcPr>
                <w:p w14:paraId="6FB095D2">
                  <w:pPr>
                    <w:snapToGrid w:val="0"/>
                    <w:jc w:val="center"/>
                    <w:rPr>
                      <w:rFonts w:hint="default" w:eastAsia="宋体"/>
                      <w:b/>
                      <w:bCs/>
                      <w:sz w:val="18"/>
                      <w:szCs w:val="21"/>
                      <w:highlight w:val="none"/>
                      <w:lang w:val="en-US" w:eastAsia="zh-CN"/>
                    </w:rPr>
                  </w:pPr>
                  <w:r>
                    <w:rPr>
                      <w:rFonts w:hint="eastAsia"/>
                      <w:b w:val="0"/>
                      <w:bCs w:val="0"/>
                      <w:sz w:val="18"/>
                      <w:szCs w:val="21"/>
                      <w:highlight w:val="none"/>
                      <w:lang w:val="en-US" w:eastAsia="zh-CN"/>
                    </w:rPr>
                    <w:t>40</w:t>
                  </w:r>
                </w:p>
              </w:tc>
              <w:tc>
                <w:tcPr>
                  <w:tcW w:w="1004" w:type="pct"/>
                  <w:vAlign w:val="center"/>
                </w:tcPr>
                <w:p w14:paraId="64709C30">
                  <w:pPr>
                    <w:snapToGrid w:val="0"/>
                    <w:jc w:val="center"/>
                    <w:rPr>
                      <w:b/>
                      <w:bCs/>
                      <w:szCs w:val="21"/>
                      <w:highlight w:val="none"/>
                    </w:rPr>
                  </w:pPr>
                  <w:r>
                    <w:rPr>
                      <w:rFonts w:hint="eastAsia"/>
                      <w:szCs w:val="21"/>
                      <w:highlight w:val="none"/>
                    </w:rPr>
                    <w:t>是</w:t>
                  </w:r>
                </w:p>
              </w:tc>
            </w:tr>
          </w:tbl>
          <w:p w14:paraId="60F4FEFB">
            <w:pPr>
              <w:spacing w:line="360" w:lineRule="auto"/>
              <w:ind w:firstLine="480"/>
              <w:rPr>
                <w:rFonts w:hint="eastAsia" w:ascii="Times New Roman" w:hAnsi="Times New Roman" w:eastAsia="宋体" w:cs="Times New Roman"/>
                <w:sz w:val="24"/>
                <w:highlight w:val="none"/>
              </w:rPr>
            </w:pPr>
            <w:r>
              <w:rPr>
                <w:rFonts w:hint="eastAsia" w:ascii="Times New Roman" w:hAnsi="Times New Roman" w:eastAsia="宋体" w:cs="Times New Roman"/>
                <w:sz w:val="24"/>
                <w:highlight w:val="none"/>
              </w:rPr>
              <w:t>对上述污染治理设施简述其可行性：</w:t>
            </w:r>
          </w:p>
          <w:p w14:paraId="227CB973">
            <w:pPr>
              <w:spacing w:line="360" w:lineRule="auto"/>
              <w:ind w:firstLine="480"/>
              <w:rPr>
                <w:rFonts w:hint="default" w:ascii="Times New Roman" w:hAnsi="Times New Roman" w:eastAsia="宋体" w:cs="Times New Roman"/>
                <w:sz w:val="24"/>
                <w:highlight w:val="none"/>
              </w:rPr>
            </w:pPr>
            <w:r>
              <w:rPr>
                <w:rFonts w:hint="eastAsia" w:ascii="Times New Roman" w:hAnsi="Times New Roman" w:eastAsia="宋体" w:cs="Times New Roman"/>
                <w:sz w:val="24"/>
                <w:highlight w:val="none"/>
              </w:rPr>
              <w:t>低氮燃烧器：低氮燃烧器是指燃料燃烧过程中氮氧化物排放量低的燃烧器，使用低氮燃烧器可以减少燃烧过程中的氮氧化物排放。</w:t>
            </w:r>
          </w:p>
          <w:p w14:paraId="3A3061CA">
            <w:pPr>
              <w:spacing w:line="360" w:lineRule="auto"/>
              <w:ind w:firstLine="480"/>
              <w:rPr>
                <w:rFonts w:hint="default" w:ascii="Times New Roman" w:hAnsi="Times New Roman" w:eastAsia="宋体" w:cs="Times New Roman"/>
                <w:sz w:val="24"/>
                <w:highlight w:val="none"/>
              </w:rPr>
            </w:pPr>
            <w:r>
              <w:rPr>
                <w:rFonts w:hint="eastAsia" w:ascii="Times New Roman" w:hAnsi="Times New Roman" w:eastAsia="宋体" w:cs="Times New Roman"/>
                <w:sz w:val="24"/>
                <w:highlight w:val="none"/>
              </w:rPr>
              <w:t>减少</w:t>
            </w:r>
            <w:r>
              <w:rPr>
                <w:rFonts w:hint="default" w:ascii="Times New Roman" w:hAnsi="Times New Roman" w:eastAsia="宋体" w:cs="Times New Roman"/>
                <w:sz w:val="24"/>
                <w:highlight w:val="none"/>
              </w:rPr>
              <w:t>NOx</w:t>
            </w:r>
            <w:r>
              <w:rPr>
                <w:rFonts w:hint="eastAsia" w:ascii="Times New Roman" w:hAnsi="Times New Roman" w:eastAsia="宋体" w:cs="Times New Roman"/>
                <w:sz w:val="24"/>
                <w:highlight w:val="none"/>
              </w:rPr>
              <w:t>形成和排放常用的具体方法有：分次燃烧、重燃、低氧燃烧、阴影偏差燃烧和烟气再循环。根据《排污许可申请与核发技术规范 锅炉》（</w:t>
            </w:r>
            <w:r>
              <w:rPr>
                <w:rFonts w:hint="default" w:ascii="Times New Roman" w:hAnsi="Times New Roman" w:eastAsia="宋体" w:cs="Times New Roman"/>
                <w:sz w:val="24"/>
                <w:highlight w:val="none"/>
              </w:rPr>
              <w:t>HJ953-2018</w:t>
            </w:r>
            <w:r>
              <w:rPr>
                <w:rFonts w:hint="eastAsia" w:ascii="Times New Roman" w:hAnsi="Times New Roman" w:eastAsia="宋体" w:cs="Times New Roman"/>
                <w:sz w:val="24"/>
                <w:highlight w:val="none"/>
              </w:rPr>
              <w:t>），燃气锅炉污染防治可行技术主要为低氮燃烧、</w:t>
            </w:r>
            <w:r>
              <w:rPr>
                <w:rFonts w:hint="default" w:ascii="Times New Roman" w:hAnsi="Times New Roman" w:eastAsia="宋体" w:cs="Times New Roman"/>
                <w:sz w:val="24"/>
                <w:highlight w:val="none"/>
              </w:rPr>
              <w:t>SCR</w:t>
            </w:r>
            <w:r>
              <w:rPr>
                <w:rFonts w:hint="eastAsia" w:ascii="Times New Roman" w:hAnsi="Times New Roman" w:eastAsia="宋体" w:cs="Times New Roman"/>
                <w:sz w:val="24"/>
                <w:highlight w:val="none"/>
              </w:rPr>
              <w:t>法、低氮燃烧</w:t>
            </w:r>
            <w:r>
              <w:rPr>
                <w:rFonts w:hint="default" w:ascii="Times New Roman" w:hAnsi="Times New Roman" w:eastAsia="宋体" w:cs="Times New Roman"/>
                <w:sz w:val="24"/>
                <w:highlight w:val="none"/>
              </w:rPr>
              <w:t>+SCR</w:t>
            </w:r>
            <w:r>
              <w:rPr>
                <w:rFonts w:hint="eastAsia" w:ascii="Times New Roman" w:hAnsi="Times New Roman" w:eastAsia="宋体" w:cs="Times New Roman"/>
                <w:sz w:val="24"/>
                <w:highlight w:val="none"/>
              </w:rPr>
              <w:t>法、其他，本项目采用的低氮燃烧器为可行性技术。</w:t>
            </w:r>
          </w:p>
          <w:p w14:paraId="1571C32F">
            <w:pPr>
              <w:spacing w:line="360" w:lineRule="auto"/>
              <w:ind w:firstLine="480"/>
              <w:rPr>
                <w:rFonts w:hint="eastAsia" w:ascii="Times New Roman" w:hAnsi="Times New Roman" w:eastAsia="宋体" w:cs="Times New Roman"/>
                <w:sz w:val="24"/>
                <w:highlight w:val="none"/>
              </w:rPr>
            </w:pPr>
            <w:r>
              <w:rPr>
                <w:rFonts w:hint="eastAsia" w:ascii="Times New Roman" w:hAnsi="Times New Roman" w:eastAsia="宋体" w:cs="Times New Roman"/>
                <w:sz w:val="24"/>
                <w:highlight w:val="none"/>
              </w:rPr>
              <w:t>本项目锅炉废气经低氮燃烧器处理后，排气筒出口氮氧化物排放浓度为</w:t>
            </w:r>
            <w:r>
              <w:rPr>
                <w:rFonts w:hint="default" w:ascii="Times New Roman" w:hAnsi="Times New Roman" w:eastAsia="宋体" w:cs="Times New Roman"/>
                <w:sz w:val="24"/>
                <w:highlight w:val="none"/>
              </w:rPr>
              <w:t>28.1</w:t>
            </w:r>
            <w:r>
              <w:rPr>
                <w:rFonts w:hint="eastAsia" w:cs="Times New Roman"/>
                <w:sz w:val="24"/>
                <w:highlight w:val="none"/>
                <w:lang w:val="en-US" w:eastAsia="zh-CN"/>
              </w:rPr>
              <w:t>1</w:t>
            </w:r>
            <w:r>
              <w:rPr>
                <w:rFonts w:hint="default" w:ascii="Times New Roman" w:hAnsi="Times New Roman" w:eastAsia="宋体" w:cs="Times New Roman"/>
                <w:sz w:val="24"/>
                <w:highlight w:val="none"/>
              </w:rPr>
              <w:t>mg/m</w:t>
            </w:r>
            <w:r>
              <w:rPr>
                <w:rFonts w:hint="default" w:ascii="Times New Roman" w:hAnsi="Times New Roman" w:eastAsia="宋体" w:cs="Times New Roman"/>
                <w:sz w:val="24"/>
                <w:highlight w:val="none"/>
                <w:vertAlign w:val="superscript"/>
              </w:rPr>
              <w:t>3</w:t>
            </w:r>
            <w:r>
              <w:rPr>
                <w:rFonts w:hint="eastAsia" w:ascii="Times New Roman" w:hAnsi="Times New Roman" w:eastAsia="宋体" w:cs="Times New Roman"/>
                <w:sz w:val="24"/>
                <w:highlight w:val="none"/>
              </w:rPr>
              <w:t>，满足《锅炉大气污染物排放标准》（</w:t>
            </w:r>
            <w:r>
              <w:rPr>
                <w:rFonts w:hint="default" w:ascii="Times New Roman" w:hAnsi="Times New Roman" w:eastAsia="宋体" w:cs="Times New Roman"/>
                <w:sz w:val="24"/>
                <w:highlight w:val="none"/>
              </w:rPr>
              <w:t>DB13/5161-2020</w:t>
            </w:r>
            <w:r>
              <w:rPr>
                <w:rFonts w:hint="eastAsia" w:ascii="Times New Roman" w:hAnsi="Times New Roman" w:eastAsia="宋体" w:cs="Times New Roman"/>
                <w:sz w:val="24"/>
                <w:highlight w:val="none"/>
              </w:rPr>
              <w:t>）表</w:t>
            </w:r>
            <w:r>
              <w:rPr>
                <w:rFonts w:hint="default" w:ascii="Times New Roman" w:hAnsi="Times New Roman" w:eastAsia="宋体" w:cs="Times New Roman"/>
                <w:sz w:val="24"/>
                <w:highlight w:val="none"/>
              </w:rPr>
              <w:t>1</w:t>
            </w:r>
            <w:r>
              <w:rPr>
                <w:rFonts w:hint="eastAsia" w:ascii="Times New Roman" w:hAnsi="Times New Roman" w:eastAsia="宋体" w:cs="Times New Roman"/>
                <w:sz w:val="24"/>
                <w:highlight w:val="none"/>
              </w:rPr>
              <w:t>燃气锅炉排放限值要求。因此，本项目选择低氮燃烧器对锅炉废气中氮氧化物进行处理，从技术角度而言是可行的。</w:t>
            </w:r>
          </w:p>
          <w:p w14:paraId="3520BB6B">
            <w:pPr>
              <w:spacing w:line="360" w:lineRule="auto"/>
              <w:ind w:firstLine="480"/>
              <w:rPr>
                <w:b/>
                <w:sz w:val="24"/>
                <w:highlight w:val="none"/>
              </w:rPr>
            </w:pPr>
            <w:r>
              <w:rPr>
                <w:rFonts w:hint="eastAsia"/>
                <w:b/>
                <w:sz w:val="24"/>
                <w:highlight w:val="none"/>
              </w:rPr>
              <w:t>（</w:t>
            </w:r>
            <w:r>
              <w:rPr>
                <w:rFonts w:hint="eastAsia"/>
                <w:b/>
                <w:sz w:val="24"/>
                <w:highlight w:val="none"/>
                <w:lang w:val="en-US" w:eastAsia="zh-CN"/>
              </w:rPr>
              <w:t>5</w:t>
            </w:r>
            <w:r>
              <w:rPr>
                <w:rFonts w:hint="eastAsia"/>
                <w:b/>
                <w:sz w:val="24"/>
                <w:highlight w:val="none"/>
              </w:rPr>
              <w:t>）排放口基本情况</w:t>
            </w:r>
          </w:p>
          <w:p w14:paraId="43C2D083">
            <w:pPr>
              <w:spacing w:line="360" w:lineRule="auto"/>
              <w:ind w:firstLine="480"/>
              <w:rPr>
                <w:sz w:val="24"/>
                <w:highlight w:val="none"/>
              </w:rPr>
            </w:pPr>
            <w:r>
              <w:rPr>
                <w:sz w:val="24"/>
                <w:highlight w:val="none"/>
              </w:rPr>
              <w:t>项目共设置大气污染物排放口</w:t>
            </w:r>
            <w:r>
              <w:rPr>
                <w:rFonts w:hint="eastAsia"/>
                <w:sz w:val="24"/>
                <w:highlight w:val="none"/>
                <w:lang w:val="en-US" w:eastAsia="zh-CN"/>
              </w:rPr>
              <w:t>1</w:t>
            </w:r>
            <w:r>
              <w:rPr>
                <w:sz w:val="24"/>
                <w:highlight w:val="none"/>
              </w:rPr>
              <w:t>个，排放口基本情况详见下表：</w:t>
            </w:r>
          </w:p>
          <w:p w14:paraId="640993FE">
            <w:pPr>
              <w:pStyle w:val="50"/>
              <w:numPr>
                <w:ilvl w:val="0"/>
                <w:numId w:val="11"/>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项目大气污染物排放口基本情况一览表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0"/>
              <w:gridCol w:w="1415"/>
              <w:gridCol w:w="1941"/>
              <w:gridCol w:w="1844"/>
              <w:gridCol w:w="479"/>
              <w:gridCol w:w="531"/>
              <w:gridCol w:w="593"/>
              <w:gridCol w:w="879"/>
            </w:tblGrid>
            <w:tr w14:paraId="59876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537" w:type="pct"/>
                  <w:vMerge w:val="restart"/>
                  <w:vAlign w:val="center"/>
                </w:tcPr>
                <w:p w14:paraId="27C326B4">
                  <w:pPr>
                    <w:pStyle w:val="2"/>
                    <w:snapToGrid w:val="0"/>
                    <w:spacing w:line="240" w:lineRule="auto"/>
                    <w:ind w:left="0" w:leftChars="0"/>
                    <w:rPr>
                      <w:b/>
                      <w:w w:val="100"/>
                      <w:sz w:val="21"/>
                      <w:szCs w:val="21"/>
                      <w:highlight w:val="none"/>
                    </w:rPr>
                  </w:pPr>
                  <w:r>
                    <w:rPr>
                      <w:b/>
                      <w:w w:val="100"/>
                      <w:sz w:val="21"/>
                      <w:szCs w:val="21"/>
                      <w:highlight w:val="none"/>
                    </w:rPr>
                    <w:t>编号</w:t>
                  </w:r>
                </w:p>
              </w:tc>
              <w:tc>
                <w:tcPr>
                  <w:tcW w:w="997" w:type="pct"/>
                  <w:vMerge w:val="restart"/>
                  <w:vAlign w:val="center"/>
                </w:tcPr>
                <w:p w14:paraId="04B07F5E">
                  <w:pPr>
                    <w:pStyle w:val="2"/>
                    <w:snapToGrid w:val="0"/>
                    <w:spacing w:line="240" w:lineRule="auto"/>
                    <w:ind w:left="0" w:leftChars="0"/>
                    <w:rPr>
                      <w:b/>
                      <w:w w:val="100"/>
                      <w:sz w:val="21"/>
                      <w:szCs w:val="21"/>
                      <w:highlight w:val="none"/>
                    </w:rPr>
                  </w:pPr>
                  <w:r>
                    <w:rPr>
                      <w:b/>
                      <w:w w:val="100"/>
                      <w:sz w:val="21"/>
                      <w:szCs w:val="21"/>
                      <w:highlight w:val="none"/>
                    </w:rPr>
                    <w:t>名称</w:t>
                  </w:r>
                </w:p>
              </w:tc>
              <w:tc>
                <w:tcPr>
                  <w:tcW w:w="1524" w:type="pct"/>
                  <w:gridSpan w:val="2"/>
                  <w:vAlign w:val="center"/>
                </w:tcPr>
                <w:p w14:paraId="0212E091">
                  <w:pPr>
                    <w:pStyle w:val="2"/>
                    <w:snapToGrid w:val="0"/>
                    <w:spacing w:line="240" w:lineRule="auto"/>
                    <w:ind w:left="0" w:leftChars="0"/>
                    <w:rPr>
                      <w:b/>
                      <w:w w:val="100"/>
                      <w:sz w:val="21"/>
                      <w:szCs w:val="21"/>
                      <w:highlight w:val="none"/>
                    </w:rPr>
                  </w:pPr>
                  <w:r>
                    <w:rPr>
                      <w:b/>
                      <w:w w:val="100"/>
                      <w:sz w:val="21"/>
                      <w:szCs w:val="21"/>
                      <w:highlight w:val="none"/>
                    </w:rPr>
                    <w:t>排气筒底部中心坐标</w:t>
                  </w:r>
                </w:p>
              </w:tc>
              <w:tc>
                <w:tcPr>
                  <w:tcW w:w="387" w:type="pct"/>
                  <w:vMerge w:val="restart"/>
                  <w:vAlign w:val="center"/>
                </w:tcPr>
                <w:p w14:paraId="293DBC9F">
                  <w:pPr>
                    <w:pStyle w:val="2"/>
                    <w:snapToGrid w:val="0"/>
                    <w:spacing w:line="240" w:lineRule="auto"/>
                    <w:ind w:left="0" w:leftChars="0"/>
                    <w:rPr>
                      <w:b/>
                      <w:w w:val="100"/>
                      <w:sz w:val="21"/>
                      <w:szCs w:val="21"/>
                      <w:highlight w:val="none"/>
                    </w:rPr>
                  </w:pPr>
                  <w:r>
                    <w:rPr>
                      <w:b/>
                      <w:w w:val="100"/>
                      <w:sz w:val="21"/>
                      <w:szCs w:val="21"/>
                      <w:highlight w:val="none"/>
                    </w:rPr>
                    <w:t>排气筒</w:t>
                  </w:r>
                  <w:r>
                    <w:rPr>
                      <w:rFonts w:hint="eastAsia"/>
                      <w:b/>
                      <w:w w:val="100"/>
                      <w:sz w:val="21"/>
                      <w:szCs w:val="21"/>
                      <w:highlight w:val="none"/>
                    </w:rPr>
                    <w:t>内径</w:t>
                  </w:r>
                  <w:r>
                    <w:rPr>
                      <w:b/>
                      <w:w w:val="100"/>
                      <w:sz w:val="21"/>
                      <w:szCs w:val="21"/>
                      <w:highlight w:val="none"/>
                    </w:rPr>
                    <w:t>/m</w:t>
                  </w:r>
                </w:p>
              </w:tc>
              <w:tc>
                <w:tcPr>
                  <w:tcW w:w="447" w:type="pct"/>
                  <w:vMerge w:val="restart"/>
                  <w:vAlign w:val="center"/>
                </w:tcPr>
                <w:p w14:paraId="4079DE1B">
                  <w:pPr>
                    <w:pStyle w:val="2"/>
                    <w:snapToGrid w:val="0"/>
                    <w:spacing w:line="240" w:lineRule="auto"/>
                    <w:ind w:left="0" w:leftChars="0"/>
                    <w:rPr>
                      <w:b/>
                      <w:w w:val="100"/>
                      <w:sz w:val="21"/>
                      <w:szCs w:val="21"/>
                      <w:highlight w:val="none"/>
                    </w:rPr>
                  </w:pPr>
                  <w:r>
                    <w:rPr>
                      <w:b/>
                      <w:w w:val="100"/>
                      <w:sz w:val="21"/>
                      <w:szCs w:val="21"/>
                      <w:highlight w:val="none"/>
                    </w:rPr>
                    <w:t>排气筒高度/m</w:t>
                  </w:r>
                </w:p>
              </w:tc>
              <w:tc>
                <w:tcPr>
                  <w:tcW w:w="468" w:type="pct"/>
                  <w:vMerge w:val="restart"/>
                  <w:vAlign w:val="center"/>
                </w:tcPr>
                <w:p w14:paraId="1E4A8116">
                  <w:pPr>
                    <w:pStyle w:val="2"/>
                    <w:snapToGrid w:val="0"/>
                    <w:spacing w:line="240" w:lineRule="auto"/>
                    <w:ind w:left="0" w:leftChars="0"/>
                    <w:rPr>
                      <w:b/>
                      <w:w w:val="100"/>
                      <w:sz w:val="21"/>
                      <w:szCs w:val="21"/>
                      <w:highlight w:val="none"/>
                    </w:rPr>
                  </w:pPr>
                  <w:r>
                    <w:rPr>
                      <w:b/>
                      <w:w w:val="100"/>
                      <w:sz w:val="21"/>
                      <w:szCs w:val="21"/>
                      <w:highlight w:val="none"/>
                    </w:rPr>
                    <w:t>烟气温度/℃</w:t>
                  </w:r>
                </w:p>
              </w:tc>
              <w:tc>
                <w:tcPr>
                  <w:tcW w:w="637" w:type="pct"/>
                  <w:vMerge w:val="restart"/>
                  <w:vAlign w:val="center"/>
                </w:tcPr>
                <w:p w14:paraId="2B46E337">
                  <w:pPr>
                    <w:pStyle w:val="2"/>
                    <w:snapToGrid w:val="0"/>
                    <w:spacing w:line="240" w:lineRule="auto"/>
                    <w:ind w:left="0" w:leftChars="0"/>
                    <w:rPr>
                      <w:b/>
                      <w:w w:val="100"/>
                      <w:sz w:val="21"/>
                      <w:szCs w:val="21"/>
                      <w:highlight w:val="none"/>
                    </w:rPr>
                  </w:pPr>
                  <w:r>
                    <w:rPr>
                      <w:rFonts w:hint="eastAsia"/>
                      <w:b/>
                      <w:w w:val="100"/>
                      <w:sz w:val="21"/>
                      <w:szCs w:val="21"/>
                      <w:highlight w:val="none"/>
                    </w:rPr>
                    <w:t>排放口类型</w:t>
                  </w:r>
                </w:p>
              </w:tc>
            </w:tr>
            <w:tr w14:paraId="5746E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vMerge w:val="continue"/>
                  <w:vAlign w:val="center"/>
                </w:tcPr>
                <w:p w14:paraId="3B857941">
                  <w:pPr>
                    <w:pStyle w:val="2"/>
                    <w:snapToGrid w:val="0"/>
                    <w:spacing w:line="240" w:lineRule="auto"/>
                    <w:ind w:left="0" w:leftChars="0"/>
                    <w:rPr>
                      <w:b/>
                      <w:w w:val="100"/>
                      <w:sz w:val="21"/>
                      <w:szCs w:val="21"/>
                      <w:highlight w:val="none"/>
                    </w:rPr>
                  </w:pPr>
                </w:p>
              </w:tc>
              <w:tc>
                <w:tcPr>
                  <w:tcW w:w="997" w:type="pct"/>
                  <w:vMerge w:val="continue"/>
                  <w:vAlign w:val="center"/>
                </w:tcPr>
                <w:p w14:paraId="0A897C32">
                  <w:pPr>
                    <w:pStyle w:val="2"/>
                    <w:snapToGrid w:val="0"/>
                    <w:spacing w:line="240" w:lineRule="auto"/>
                    <w:ind w:left="0" w:leftChars="0"/>
                    <w:rPr>
                      <w:b/>
                      <w:w w:val="100"/>
                      <w:sz w:val="21"/>
                      <w:szCs w:val="21"/>
                      <w:highlight w:val="none"/>
                    </w:rPr>
                  </w:pPr>
                </w:p>
              </w:tc>
              <w:tc>
                <w:tcPr>
                  <w:tcW w:w="791" w:type="pct"/>
                  <w:vAlign w:val="center"/>
                </w:tcPr>
                <w:p w14:paraId="576E4BE0">
                  <w:pPr>
                    <w:pStyle w:val="2"/>
                    <w:snapToGrid w:val="0"/>
                    <w:spacing w:line="240" w:lineRule="auto"/>
                    <w:ind w:left="0" w:leftChars="0"/>
                    <w:rPr>
                      <w:b/>
                      <w:w w:val="100"/>
                      <w:sz w:val="21"/>
                      <w:szCs w:val="21"/>
                      <w:highlight w:val="none"/>
                    </w:rPr>
                  </w:pPr>
                  <w:r>
                    <w:rPr>
                      <w:b/>
                      <w:w w:val="100"/>
                      <w:sz w:val="21"/>
                      <w:szCs w:val="21"/>
                      <w:highlight w:val="none"/>
                    </w:rPr>
                    <w:t>E</w:t>
                  </w:r>
                </w:p>
              </w:tc>
              <w:tc>
                <w:tcPr>
                  <w:tcW w:w="732" w:type="pct"/>
                  <w:vAlign w:val="center"/>
                </w:tcPr>
                <w:p w14:paraId="3D61B5AE">
                  <w:pPr>
                    <w:pStyle w:val="2"/>
                    <w:snapToGrid w:val="0"/>
                    <w:spacing w:line="240" w:lineRule="auto"/>
                    <w:ind w:left="0" w:leftChars="0"/>
                    <w:rPr>
                      <w:b/>
                      <w:w w:val="100"/>
                      <w:sz w:val="21"/>
                      <w:szCs w:val="21"/>
                      <w:highlight w:val="none"/>
                    </w:rPr>
                  </w:pPr>
                  <w:r>
                    <w:rPr>
                      <w:b/>
                      <w:w w:val="100"/>
                      <w:sz w:val="21"/>
                      <w:szCs w:val="21"/>
                      <w:highlight w:val="none"/>
                    </w:rPr>
                    <w:t>N</w:t>
                  </w:r>
                </w:p>
              </w:tc>
              <w:tc>
                <w:tcPr>
                  <w:tcW w:w="387" w:type="pct"/>
                  <w:vMerge w:val="continue"/>
                  <w:vAlign w:val="center"/>
                </w:tcPr>
                <w:p w14:paraId="68839DDD">
                  <w:pPr>
                    <w:pStyle w:val="2"/>
                    <w:snapToGrid w:val="0"/>
                    <w:spacing w:line="240" w:lineRule="auto"/>
                    <w:ind w:left="0" w:leftChars="0"/>
                    <w:rPr>
                      <w:b/>
                      <w:w w:val="100"/>
                      <w:sz w:val="21"/>
                      <w:szCs w:val="21"/>
                      <w:highlight w:val="none"/>
                    </w:rPr>
                  </w:pPr>
                </w:p>
              </w:tc>
              <w:tc>
                <w:tcPr>
                  <w:tcW w:w="447" w:type="pct"/>
                  <w:vMerge w:val="continue"/>
                  <w:vAlign w:val="center"/>
                </w:tcPr>
                <w:p w14:paraId="1C4C1655">
                  <w:pPr>
                    <w:pStyle w:val="2"/>
                    <w:snapToGrid w:val="0"/>
                    <w:spacing w:line="240" w:lineRule="auto"/>
                    <w:ind w:left="0" w:leftChars="0"/>
                    <w:rPr>
                      <w:b/>
                      <w:w w:val="100"/>
                      <w:sz w:val="21"/>
                      <w:szCs w:val="21"/>
                      <w:highlight w:val="none"/>
                    </w:rPr>
                  </w:pPr>
                </w:p>
              </w:tc>
              <w:tc>
                <w:tcPr>
                  <w:tcW w:w="468" w:type="pct"/>
                  <w:vMerge w:val="continue"/>
                  <w:vAlign w:val="center"/>
                </w:tcPr>
                <w:p w14:paraId="2E0175B3">
                  <w:pPr>
                    <w:pStyle w:val="2"/>
                    <w:snapToGrid w:val="0"/>
                    <w:spacing w:line="240" w:lineRule="auto"/>
                    <w:ind w:left="0" w:leftChars="0"/>
                    <w:rPr>
                      <w:b/>
                      <w:w w:val="100"/>
                      <w:sz w:val="21"/>
                      <w:szCs w:val="21"/>
                      <w:highlight w:val="none"/>
                    </w:rPr>
                  </w:pPr>
                </w:p>
              </w:tc>
              <w:tc>
                <w:tcPr>
                  <w:tcW w:w="637" w:type="pct"/>
                  <w:vMerge w:val="continue"/>
                  <w:vAlign w:val="center"/>
                </w:tcPr>
                <w:p w14:paraId="090D1E0F">
                  <w:pPr>
                    <w:pStyle w:val="2"/>
                    <w:snapToGrid w:val="0"/>
                    <w:spacing w:line="240" w:lineRule="auto"/>
                    <w:ind w:left="0" w:leftChars="0"/>
                    <w:rPr>
                      <w:b/>
                      <w:w w:val="100"/>
                      <w:sz w:val="21"/>
                      <w:szCs w:val="21"/>
                      <w:highlight w:val="none"/>
                    </w:rPr>
                  </w:pPr>
                </w:p>
              </w:tc>
            </w:tr>
            <w:tr w14:paraId="34127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vAlign w:val="center"/>
                </w:tcPr>
                <w:p w14:paraId="56A32F3F">
                  <w:pPr>
                    <w:adjustRightInd w:val="0"/>
                    <w:snapToGrid w:val="0"/>
                    <w:jc w:val="center"/>
                    <w:rPr>
                      <w:bCs/>
                      <w:spacing w:val="-11"/>
                      <w:szCs w:val="21"/>
                      <w:highlight w:val="none"/>
                    </w:rPr>
                  </w:pPr>
                  <w:r>
                    <w:rPr>
                      <w:bCs/>
                      <w:spacing w:val="-11"/>
                      <w:szCs w:val="21"/>
                      <w:highlight w:val="none"/>
                    </w:rPr>
                    <w:t>DA001</w:t>
                  </w:r>
                </w:p>
              </w:tc>
              <w:tc>
                <w:tcPr>
                  <w:tcW w:w="997" w:type="pct"/>
                  <w:vAlign w:val="center"/>
                </w:tcPr>
                <w:p w14:paraId="4D587627">
                  <w:pPr>
                    <w:jc w:val="center"/>
                    <w:rPr>
                      <w:szCs w:val="21"/>
                      <w:highlight w:val="none"/>
                    </w:rPr>
                  </w:pPr>
                  <w:r>
                    <w:rPr>
                      <w:rFonts w:hint="eastAsia"/>
                      <w:szCs w:val="21"/>
                      <w:highlight w:val="none"/>
                      <w:lang w:val="en-US" w:eastAsia="zh-CN"/>
                    </w:rPr>
                    <w:t>锅炉废气</w:t>
                  </w:r>
                  <w:r>
                    <w:rPr>
                      <w:rFonts w:hint="eastAsia"/>
                      <w:szCs w:val="21"/>
                      <w:highlight w:val="none"/>
                    </w:rPr>
                    <w:t>排气筒</w:t>
                  </w:r>
                </w:p>
              </w:tc>
              <w:tc>
                <w:tcPr>
                  <w:tcW w:w="791" w:type="pct"/>
                  <w:vAlign w:val="center"/>
                </w:tcPr>
                <w:p w14:paraId="55B99015">
                  <w:pPr>
                    <w:widowControl/>
                    <w:adjustRightInd w:val="0"/>
                    <w:snapToGrid w:val="0"/>
                    <w:jc w:val="center"/>
                    <w:textAlignment w:val="center"/>
                    <w:rPr>
                      <w:bCs/>
                      <w:szCs w:val="21"/>
                      <w:highlight w:val="none"/>
                    </w:rPr>
                  </w:pPr>
                  <w:r>
                    <w:rPr>
                      <w:rFonts w:hint="eastAsia"/>
                      <w:bCs/>
                      <w:szCs w:val="21"/>
                      <w:highlight w:val="none"/>
                    </w:rPr>
                    <w:t>117°25′33.950″</w:t>
                  </w:r>
                </w:p>
              </w:tc>
              <w:tc>
                <w:tcPr>
                  <w:tcW w:w="732" w:type="pct"/>
                  <w:vAlign w:val="center"/>
                </w:tcPr>
                <w:p w14:paraId="4AD94E45">
                  <w:pPr>
                    <w:widowControl/>
                    <w:adjustRightInd w:val="0"/>
                    <w:snapToGrid w:val="0"/>
                    <w:jc w:val="center"/>
                    <w:textAlignment w:val="center"/>
                    <w:rPr>
                      <w:bCs/>
                      <w:szCs w:val="21"/>
                      <w:highlight w:val="none"/>
                    </w:rPr>
                  </w:pPr>
                  <w:r>
                    <w:rPr>
                      <w:rFonts w:hint="eastAsia"/>
                      <w:bCs/>
                      <w:szCs w:val="21"/>
                      <w:highlight w:val="none"/>
                    </w:rPr>
                    <w:t>41°56′47.257″</w:t>
                  </w:r>
                </w:p>
              </w:tc>
              <w:tc>
                <w:tcPr>
                  <w:tcW w:w="387" w:type="pct"/>
                  <w:vAlign w:val="center"/>
                </w:tcPr>
                <w:p w14:paraId="0D9C8257">
                  <w:pPr>
                    <w:widowControl/>
                    <w:jc w:val="center"/>
                    <w:textAlignment w:val="center"/>
                    <w:rPr>
                      <w:rFonts w:hint="eastAsia" w:eastAsia="宋体"/>
                      <w:szCs w:val="21"/>
                      <w:highlight w:val="none"/>
                      <w:lang w:val="en-US" w:eastAsia="zh-CN"/>
                    </w:rPr>
                  </w:pPr>
                  <w:r>
                    <w:rPr>
                      <w:rFonts w:hint="eastAsia"/>
                      <w:szCs w:val="21"/>
                      <w:highlight w:val="none"/>
                    </w:rPr>
                    <w:t>0.</w:t>
                  </w:r>
                  <w:r>
                    <w:rPr>
                      <w:rFonts w:hint="eastAsia"/>
                      <w:szCs w:val="21"/>
                      <w:highlight w:val="none"/>
                      <w:lang w:val="en-US" w:eastAsia="zh-CN"/>
                    </w:rPr>
                    <w:t>5</w:t>
                  </w:r>
                </w:p>
              </w:tc>
              <w:tc>
                <w:tcPr>
                  <w:tcW w:w="447" w:type="pct"/>
                  <w:vAlign w:val="center"/>
                </w:tcPr>
                <w:p w14:paraId="4840EBD7">
                  <w:pPr>
                    <w:snapToGrid w:val="0"/>
                    <w:jc w:val="center"/>
                    <w:rPr>
                      <w:rFonts w:hint="default" w:eastAsia="宋体"/>
                      <w:szCs w:val="21"/>
                      <w:highlight w:val="none"/>
                      <w:lang w:val="en-US" w:eastAsia="zh-CN"/>
                    </w:rPr>
                  </w:pPr>
                  <w:r>
                    <w:rPr>
                      <w:rFonts w:hint="eastAsia"/>
                      <w:szCs w:val="21"/>
                      <w:highlight w:val="none"/>
                      <w:lang w:val="en-US" w:eastAsia="zh-CN"/>
                    </w:rPr>
                    <w:t>15</w:t>
                  </w:r>
                </w:p>
              </w:tc>
              <w:tc>
                <w:tcPr>
                  <w:tcW w:w="468" w:type="pct"/>
                  <w:vAlign w:val="center"/>
                </w:tcPr>
                <w:p w14:paraId="7DA485B2">
                  <w:pPr>
                    <w:snapToGrid w:val="0"/>
                    <w:jc w:val="center"/>
                    <w:rPr>
                      <w:rFonts w:hint="default" w:eastAsia="宋体"/>
                      <w:szCs w:val="21"/>
                      <w:highlight w:val="none"/>
                      <w:lang w:val="en-US" w:eastAsia="zh-CN"/>
                    </w:rPr>
                  </w:pPr>
                  <w:r>
                    <w:rPr>
                      <w:rFonts w:hint="eastAsia"/>
                      <w:szCs w:val="21"/>
                      <w:highlight w:val="none"/>
                      <w:lang w:val="en-US" w:eastAsia="zh-CN"/>
                    </w:rPr>
                    <w:t>120</w:t>
                  </w:r>
                </w:p>
              </w:tc>
              <w:tc>
                <w:tcPr>
                  <w:tcW w:w="637" w:type="pct"/>
                  <w:vAlign w:val="center"/>
                </w:tcPr>
                <w:p w14:paraId="2BAA01C4">
                  <w:pPr>
                    <w:jc w:val="center"/>
                    <w:rPr>
                      <w:rFonts w:hint="default" w:eastAsia="宋体"/>
                      <w:kern w:val="0"/>
                      <w:szCs w:val="21"/>
                      <w:highlight w:val="none"/>
                      <w:lang w:val="en-US" w:eastAsia="zh-CN" w:bidi="ar"/>
                    </w:rPr>
                  </w:pPr>
                  <w:r>
                    <w:rPr>
                      <w:rFonts w:hint="eastAsia"/>
                      <w:kern w:val="0"/>
                      <w:szCs w:val="21"/>
                      <w:highlight w:val="none"/>
                      <w:lang w:val="en-US" w:eastAsia="zh-CN" w:bidi="ar"/>
                    </w:rPr>
                    <w:t>一般排放口</w:t>
                  </w:r>
                </w:p>
              </w:tc>
            </w:tr>
          </w:tbl>
          <w:p w14:paraId="388061E8">
            <w:pPr>
              <w:spacing w:before="120" w:beforeLines="50" w:line="360" w:lineRule="auto"/>
              <w:ind w:firstLine="482"/>
              <w:rPr>
                <w:b/>
                <w:sz w:val="24"/>
                <w:highlight w:val="none"/>
              </w:rPr>
            </w:pPr>
            <w:r>
              <w:rPr>
                <w:rFonts w:hint="eastAsia"/>
                <w:b/>
                <w:sz w:val="24"/>
                <w:highlight w:val="none"/>
              </w:rPr>
              <w:t>（</w:t>
            </w:r>
            <w:r>
              <w:rPr>
                <w:b/>
                <w:sz w:val="24"/>
                <w:highlight w:val="none"/>
              </w:rPr>
              <w:t>5</w:t>
            </w:r>
            <w:r>
              <w:rPr>
                <w:rFonts w:hint="eastAsia"/>
                <w:b/>
                <w:sz w:val="24"/>
                <w:highlight w:val="none"/>
              </w:rPr>
              <w:t>）污染物达标排放情况</w:t>
            </w:r>
          </w:p>
          <w:p w14:paraId="3038C877">
            <w:pPr>
              <w:spacing w:line="360" w:lineRule="auto"/>
              <w:ind w:firstLine="480"/>
              <w:rPr>
                <w:sz w:val="24"/>
                <w:highlight w:val="none"/>
              </w:rPr>
            </w:pPr>
            <w:r>
              <w:rPr>
                <w:sz w:val="24"/>
                <w:highlight w:val="none"/>
              </w:rPr>
              <w:t>①</w:t>
            </w:r>
            <w:r>
              <w:rPr>
                <w:rFonts w:hint="eastAsia"/>
                <w:sz w:val="24"/>
                <w:highlight w:val="none"/>
              </w:rPr>
              <w:t>有组织达标排放分析</w:t>
            </w:r>
          </w:p>
          <w:p w14:paraId="39500D42">
            <w:pPr>
              <w:snapToGrid w:val="0"/>
              <w:spacing w:line="360" w:lineRule="auto"/>
              <w:ind w:firstLine="480" w:firstLineChars="200"/>
              <w:jc w:val="left"/>
              <w:rPr>
                <w:sz w:val="24"/>
                <w:highlight w:val="none"/>
              </w:rPr>
            </w:pPr>
            <w:r>
              <w:rPr>
                <w:sz w:val="24"/>
                <w:highlight w:val="none"/>
              </w:rPr>
              <w:t>项目各工序有组织排放情况详见下表：</w:t>
            </w:r>
          </w:p>
          <w:p w14:paraId="142D7247">
            <w:pPr>
              <w:pStyle w:val="50"/>
              <w:numPr>
                <w:ilvl w:val="0"/>
                <w:numId w:val="11"/>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项目大气污染物有组织排放情况一览表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6"/>
              <w:gridCol w:w="1360"/>
              <w:gridCol w:w="1345"/>
              <w:gridCol w:w="1063"/>
              <w:gridCol w:w="998"/>
              <w:gridCol w:w="1179"/>
              <w:gridCol w:w="1024"/>
              <w:gridCol w:w="667"/>
            </w:tblGrid>
            <w:tr w14:paraId="3B3F3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795" w:type="dxa"/>
                  <w:vMerge w:val="restart"/>
                  <w:vAlign w:val="center"/>
                </w:tcPr>
                <w:p w14:paraId="10AB3EC3">
                  <w:pPr>
                    <w:snapToGrid w:val="0"/>
                    <w:jc w:val="center"/>
                    <w:rPr>
                      <w:b/>
                      <w:bCs/>
                      <w:szCs w:val="21"/>
                      <w:highlight w:val="none"/>
                    </w:rPr>
                  </w:pPr>
                  <w:r>
                    <w:rPr>
                      <w:b/>
                      <w:bCs/>
                      <w:szCs w:val="21"/>
                      <w:highlight w:val="none"/>
                    </w:rPr>
                    <w:t>排气筒</w:t>
                  </w:r>
                </w:p>
              </w:tc>
              <w:tc>
                <w:tcPr>
                  <w:tcW w:w="1309" w:type="dxa"/>
                  <w:vMerge w:val="restart"/>
                  <w:vAlign w:val="center"/>
                </w:tcPr>
                <w:p w14:paraId="14937FA8">
                  <w:pPr>
                    <w:snapToGrid w:val="0"/>
                    <w:jc w:val="center"/>
                    <w:rPr>
                      <w:b/>
                      <w:bCs/>
                      <w:szCs w:val="21"/>
                      <w:highlight w:val="none"/>
                    </w:rPr>
                  </w:pPr>
                  <w:r>
                    <w:rPr>
                      <w:b/>
                      <w:bCs/>
                      <w:szCs w:val="21"/>
                      <w:highlight w:val="none"/>
                    </w:rPr>
                    <w:t>产污节点</w:t>
                  </w:r>
                </w:p>
              </w:tc>
              <w:tc>
                <w:tcPr>
                  <w:tcW w:w="1295" w:type="dxa"/>
                  <w:vMerge w:val="restart"/>
                  <w:vAlign w:val="center"/>
                </w:tcPr>
                <w:p w14:paraId="79950813">
                  <w:pPr>
                    <w:snapToGrid w:val="0"/>
                    <w:jc w:val="center"/>
                    <w:rPr>
                      <w:b/>
                      <w:bCs/>
                      <w:szCs w:val="21"/>
                      <w:highlight w:val="none"/>
                    </w:rPr>
                  </w:pPr>
                  <w:r>
                    <w:rPr>
                      <w:b/>
                      <w:bCs/>
                      <w:szCs w:val="21"/>
                      <w:highlight w:val="none"/>
                    </w:rPr>
                    <w:t>污染物</w:t>
                  </w:r>
                </w:p>
              </w:tc>
              <w:tc>
                <w:tcPr>
                  <w:tcW w:w="1984" w:type="dxa"/>
                  <w:gridSpan w:val="2"/>
                  <w:vAlign w:val="center"/>
                </w:tcPr>
                <w:p w14:paraId="6563BC02">
                  <w:pPr>
                    <w:snapToGrid w:val="0"/>
                    <w:jc w:val="center"/>
                    <w:rPr>
                      <w:b/>
                      <w:bCs/>
                      <w:szCs w:val="21"/>
                      <w:highlight w:val="none"/>
                    </w:rPr>
                  </w:pPr>
                  <w:r>
                    <w:rPr>
                      <w:b/>
                      <w:bCs/>
                      <w:szCs w:val="21"/>
                      <w:highlight w:val="none"/>
                    </w:rPr>
                    <w:t>有组织排放参数</w:t>
                  </w:r>
                </w:p>
              </w:tc>
              <w:tc>
                <w:tcPr>
                  <w:tcW w:w="2121" w:type="dxa"/>
                  <w:gridSpan w:val="2"/>
                  <w:vAlign w:val="center"/>
                </w:tcPr>
                <w:p w14:paraId="3E30835A">
                  <w:pPr>
                    <w:pStyle w:val="76"/>
                    <w:spacing w:line="240" w:lineRule="auto"/>
                    <w:jc w:val="center"/>
                    <w:rPr>
                      <w:rFonts w:ascii="Times New Roman" w:hAnsi="Times New Roman" w:eastAsia="宋体" w:cs="Times New Roman"/>
                      <w:b/>
                      <w:szCs w:val="21"/>
                      <w:highlight w:val="none"/>
                    </w:rPr>
                  </w:pPr>
                  <w:r>
                    <w:rPr>
                      <w:rFonts w:ascii="Times New Roman" w:hAnsi="Times New Roman" w:eastAsia="宋体" w:cs="Times New Roman"/>
                      <w:b/>
                      <w:szCs w:val="21"/>
                      <w:highlight w:val="none"/>
                    </w:rPr>
                    <w:t>排放标准</w:t>
                  </w:r>
                </w:p>
              </w:tc>
              <w:tc>
                <w:tcPr>
                  <w:tcW w:w="642" w:type="dxa"/>
                  <w:vMerge w:val="restart"/>
                  <w:vAlign w:val="center"/>
                </w:tcPr>
                <w:p w14:paraId="662BD960">
                  <w:pPr>
                    <w:snapToGrid w:val="0"/>
                    <w:jc w:val="center"/>
                    <w:rPr>
                      <w:b/>
                      <w:bCs/>
                      <w:szCs w:val="21"/>
                      <w:highlight w:val="none"/>
                    </w:rPr>
                  </w:pPr>
                  <w:r>
                    <w:rPr>
                      <w:b/>
                      <w:bCs/>
                      <w:szCs w:val="21"/>
                      <w:highlight w:val="none"/>
                    </w:rPr>
                    <w:t>是否达标</w:t>
                  </w:r>
                </w:p>
              </w:tc>
            </w:tr>
            <w:tr w14:paraId="11267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5" w:type="dxa"/>
                  <w:vMerge w:val="continue"/>
                  <w:vAlign w:val="center"/>
                </w:tcPr>
                <w:p w14:paraId="02E9EDDB">
                  <w:pPr>
                    <w:snapToGrid w:val="0"/>
                    <w:jc w:val="center"/>
                    <w:rPr>
                      <w:b/>
                      <w:bCs/>
                      <w:szCs w:val="21"/>
                      <w:highlight w:val="none"/>
                    </w:rPr>
                  </w:pPr>
                </w:p>
              </w:tc>
              <w:tc>
                <w:tcPr>
                  <w:tcW w:w="1309" w:type="dxa"/>
                  <w:vMerge w:val="continue"/>
                  <w:vAlign w:val="center"/>
                </w:tcPr>
                <w:p w14:paraId="6356A0BB">
                  <w:pPr>
                    <w:snapToGrid w:val="0"/>
                    <w:jc w:val="center"/>
                    <w:rPr>
                      <w:b/>
                      <w:bCs/>
                      <w:szCs w:val="21"/>
                      <w:highlight w:val="none"/>
                    </w:rPr>
                  </w:pPr>
                </w:p>
              </w:tc>
              <w:tc>
                <w:tcPr>
                  <w:tcW w:w="1295" w:type="dxa"/>
                  <w:vMerge w:val="continue"/>
                  <w:vAlign w:val="center"/>
                </w:tcPr>
                <w:p w14:paraId="0D610C4B">
                  <w:pPr>
                    <w:snapToGrid w:val="0"/>
                    <w:jc w:val="center"/>
                    <w:rPr>
                      <w:b/>
                      <w:bCs/>
                      <w:szCs w:val="21"/>
                      <w:highlight w:val="none"/>
                    </w:rPr>
                  </w:pPr>
                </w:p>
              </w:tc>
              <w:tc>
                <w:tcPr>
                  <w:tcW w:w="1023" w:type="dxa"/>
                  <w:vAlign w:val="center"/>
                </w:tcPr>
                <w:p w14:paraId="5F214201">
                  <w:pPr>
                    <w:snapToGrid w:val="0"/>
                    <w:jc w:val="center"/>
                    <w:rPr>
                      <w:b/>
                      <w:bCs/>
                      <w:szCs w:val="21"/>
                      <w:highlight w:val="none"/>
                    </w:rPr>
                  </w:pPr>
                  <w:r>
                    <w:rPr>
                      <w:b/>
                      <w:bCs/>
                      <w:szCs w:val="21"/>
                      <w:highlight w:val="none"/>
                    </w:rPr>
                    <w:t>排放浓度</w:t>
                  </w:r>
                  <w:r>
                    <w:rPr>
                      <w:rFonts w:hint="eastAsia"/>
                      <w:b/>
                      <w:bCs/>
                      <w:szCs w:val="21"/>
                      <w:highlight w:val="none"/>
                    </w:rPr>
                    <w:t>(</w:t>
                  </w:r>
                  <w:r>
                    <w:rPr>
                      <w:b/>
                      <w:bCs/>
                      <w:szCs w:val="21"/>
                      <w:highlight w:val="none"/>
                    </w:rPr>
                    <w:t>mg/m³)</w:t>
                  </w:r>
                </w:p>
              </w:tc>
              <w:tc>
                <w:tcPr>
                  <w:tcW w:w="961" w:type="dxa"/>
                  <w:vAlign w:val="center"/>
                </w:tcPr>
                <w:p w14:paraId="19EE1960">
                  <w:pPr>
                    <w:snapToGrid w:val="0"/>
                    <w:jc w:val="center"/>
                    <w:rPr>
                      <w:b/>
                      <w:bCs/>
                      <w:szCs w:val="21"/>
                      <w:highlight w:val="none"/>
                    </w:rPr>
                  </w:pPr>
                  <w:r>
                    <w:rPr>
                      <w:b/>
                      <w:bCs/>
                      <w:szCs w:val="21"/>
                      <w:highlight w:val="none"/>
                    </w:rPr>
                    <w:t>排放速率</w:t>
                  </w:r>
                  <w:r>
                    <w:rPr>
                      <w:rFonts w:hint="eastAsia"/>
                      <w:b/>
                      <w:bCs/>
                      <w:szCs w:val="21"/>
                      <w:highlight w:val="none"/>
                    </w:rPr>
                    <w:t>(</w:t>
                  </w:r>
                  <w:r>
                    <w:rPr>
                      <w:b/>
                      <w:bCs/>
                      <w:szCs w:val="21"/>
                      <w:highlight w:val="none"/>
                    </w:rPr>
                    <w:t>kg/h)</w:t>
                  </w:r>
                </w:p>
              </w:tc>
              <w:tc>
                <w:tcPr>
                  <w:tcW w:w="1135" w:type="dxa"/>
                  <w:vAlign w:val="center"/>
                </w:tcPr>
                <w:p w14:paraId="5E5038C3">
                  <w:pPr>
                    <w:pStyle w:val="76"/>
                    <w:spacing w:line="240" w:lineRule="auto"/>
                    <w:jc w:val="center"/>
                    <w:rPr>
                      <w:rFonts w:ascii="Times New Roman" w:hAnsi="Times New Roman" w:eastAsia="宋体" w:cs="Times New Roman"/>
                      <w:b/>
                      <w:bCs/>
                      <w:szCs w:val="21"/>
                      <w:highlight w:val="none"/>
                    </w:rPr>
                  </w:pPr>
                  <w:r>
                    <w:rPr>
                      <w:rFonts w:ascii="Times New Roman" w:hAnsi="Times New Roman" w:eastAsia="宋体" w:cs="Times New Roman"/>
                      <w:b/>
                      <w:szCs w:val="21"/>
                      <w:highlight w:val="none"/>
                    </w:rPr>
                    <w:t>排放限值</w:t>
                  </w:r>
                  <w:r>
                    <w:rPr>
                      <w:rFonts w:hint="eastAsia"/>
                      <w:b/>
                      <w:bCs/>
                      <w:szCs w:val="21"/>
                      <w:highlight w:val="none"/>
                    </w:rPr>
                    <w:t>(</w:t>
                  </w:r>
                  <w:r>
                    <w:rPr>
                      <w:rFonts w:ascii="Times New Roman" w:hAnsi="Times New Roman" w:eastAsia="宋体" w:cs="Times New Roman"/>
                      <w:b/>
                      <w:bCs/>
                      <w:szCs w:val="21"/>
                      <w:highlight w:val="none"/>
                    </w:rPr>
                    <w:t>mg/m³</w:t>
                  </w:r>
                  <w:r>
                    <w:rPr>
                      <w:b/>
                      <w:bCs/>
                      <w:szCs w:val="21"/>
                      <w:highlight w:val="none"/>
                    </w:rPr>
                    <w:t>)</w:t>
                  </w:r>
                </w:p>
              </w:tc>
              <w:tc>
                <w:tcPr>
                  <w:tcW w:w="986" w:type="dxa"/>
                  <w:vAlign w:val="center"/>
                </w:tcPr>
                <w:p w14:paraId="469E7638">
                  <w:pPr>
                    <w:pStyle w:val="76"/>
                    <w:spacing w:line="240" w:lineRule="auto"/>
                    <w:jc w:val="center"/>
                    <w:rPr>
                      <w:rFonts w:ascii="Times New Roman" w:hAnsi="Times New Roman" w:eastAsia="宋体" w:cs="Times New Roman"/>
                      <w:b/>
                      <w:szCs w:val="21"/>
                      <w:highlight w:val="none"/>
                    </w:rPr>
                  </w:pPr>
                  <w:r>
                    <w:rPr>
                      <w:rFonts w:ascii="Times New Roman" w:hAnsi="Times New Roman" w:eastAsia="宋体" w:cs="Times New Roman"/>
                      <w:b/>
                      <w:bCs/>
                      <w:szCs w:val="21"/>
                      <w:highlight w:val="none"/>
                    </w:rPr>
                    <w:t>排放速率</w:t>
                  </w:r>
                  <w:r>
                    <w:rPr>
                      <w:rFonts w:hint="eastAsia"/>
                      <w:b/>
                      <w:bCs/>
                      <w:szCs w:val="21"/>
                      <w:highlight w:val="none"/>
                    </w:rPr>
                    <w:t>(</w:t>
                  </w:r>
                  <w:r>
                    <w:rPr>
                      <w:rFonts w:ascii="Times New Roman" w:hAnsi="Times New Roman" w:eastAsia="宋体" w:cs="Times New Roman"/>
                      <w:b/>
                      <w:bCs/>
                      <w:szCs w:val="21"/>
                      <w:highlight w:val="none"/>
                    </w:rPr>
                    <w:t>kg/h</w:t>
                  </w:r>
                  <w:r>
                    <w:rPr>
                      <w:b/>
                      <w:bCs/>
                      <w:szCs w:val="21"/>
                      <w:highlight w:val="none"/>
                    </w:rPr>
                    <w:t>)</w:t>
                  </w:r>
                </w:p>
              </w:tc>
              <w:tc>
                <w:tcPr>
                  <w:tcW w:w="642" w:type="dxa"/>
                  <w:vMerge w:val="continue"/>
                  <w:vAlign w:val="center"/>
                </w:tcPr>
                <w:p w14:paraId="482A12F7">
                  <w:pPr>
                    <w:snapToGrid w:val="0"/>
                    <w:jc w:val="center"/>
                    <w:rPr>
                      <w:b/>
                      <w:bCs/>
                      <w:szCs w:val="21"/>
                      <w:highlight w:val="none"/>
                    </w:rPr>
                  </w:pPr>
                </w:p>
              </w:tc>
            </w:tr>
            <w:tr w14:paraId="5217F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795" w:type="dxa"/>
                  <w:vMerge w:val="restart"/>
                  <w:vAlign w:val="center"/>
                </w:tcPr>
                <w:p w14:paraId="5224BFAF">
                  <w:pPr>
                    <w:adjustRightInd w:val="0"/>
                    <w:snapToGrid w:val="0"/>
                    <w:jc w:val="center"/>
                    <w:rPr>
                      <w:bCs/>
                      <w:spacing w:val="-11"/>
                      <w:szCs w:val="21"/>
                      <w:highlight w:val="none"/>
                    </w:rPr>
                  </w:pPr>
                  <w:r>
                    <w:rPr>
                      <w:bCs/>
                      <w:spacing w:val="-11"/>
                      <w:szCs w:val="21"/>
                      <w:highlight w:val="none"/>
                    </w:rPr>
                    <w:t>DA001</w:t>
                  </w:r>
                </w:p>
              </w:tc>
              <w:tc>
                <w:tcPr>
                  <w:tcW w:w="1309" w:type="dxa"/>
                  <w:vMerge w:val="restart"/>
                  <w:vAlign w:val="center"/>
                </w:tcPr>
                <w:p w14:paraId="66DA6B06">
                  <w:pPr>
                    <w:jc w:val="center"/>
                    <w:rPr>
                      <w:szCs w:val="21"/>
                      <w:highlight w:val="none"/>
                    </w:rPr>
                  </w:pPr>
                  <w:r>
                    <w:rPr>
                      <w:rFonts w:hint="eastAsia"/>
                      <w:szCs w:val="21"/>
                      <w:highlight w:val="none"/>
                      <w:lang w:val="en-US" w:eastAsia="zh-CN"/>
                    </w:rPr>
                    <w:t>锅炉</w:t>
                  </w:r>
                  <w:r>
                    <w:rPr>
                      <w:rFonts w:hint="eastAsia"/>
                      <w:szCs w:val="21"/>
                      <w:highlight w:val="none"/>
                    </w:rPr>
                    <w:t>烟气排气筒</w:t>
                  </w:r>
                </w:p>
              </w:tc>
              <w:tc>
                <w:tcPr>
                  <w:tcW w:w="1295" w:type="dxa"/>
                  <w:vAlign w:val="center"/>
                </w:tcPr>
                <w:p w14:paraId="6448A5D6">
                  <w:pPr>
                    <w:jc w:val="center"/>
                    <w:rPr>
                      <w:szCs w:val="21"/>
                      <w:highlight w:val="none"/>
                    </w:rPr>
                  </w:pPr>
                  <w:r>
                    <w:rPr>
                      <w:szCs w:val="21"/>
                      <w:highlight w:val="none"/>
                    </w:rPr>
                    <w:t>颗粒物</w:t>
                  </w:r>
                </w:p>
              </w:tc>
              <w:tc>
                <w:tcPr>
                  <w:tcW w:w="1023" w:type="dxa"/>
                  <w:vAlign w:val="center"/>
                </w:tcPr>
                <w:p w14:paraId="520EE8B8">
                  <w:pPr>
                    <w:jc w:val="center"/>
                    <w:rPr>
                      <w:rFonts w:hint="default" w:eastAsia="宋体"/>
                      <w:kern w:val="0"/>
                      <w:szCs w:val="21"/>
                      <w:highlight w:val="none"/>
                      <w:lang w:val="en-US" w:eastAsia="zh-CN" w:bidi="ar"/>
                    </w:rPr>
                  </w:pPr>
                  <w:r>
                    <w:rPr>
                      <w:rFonts w:hint="eastAsia"/>
                      <w:kern w:val="0"/>
                      <w:szCs w:val="21"/>
                      <w:highlight w:val="none"/>
                      <w:lang w:val="en-US" w:eastAsia="zh-CN" w:bidi="ar"/>
                    </w:rPr>
                    <w:t>4.12</w:t>
                  </w:r>
                </w:p>
              </w:tc>
              <w:tc>
                <w:tcPr>
                  <w:tcW w:w="961" w:type="dxa"/>
                  <w:vAlign w:val="center"/>
                </w:tcPr>
                <w:p w14:paraId="2102BCDA">
                  <w:pPr>
                    <w:jc w:val="center"/>
                    <w:rPr>
                      <w:rFonts w:hint="default" w:eastAsia="宋体"/>
                      <w:kern w:val="0"/>
                      <w:szCs w:val="21"/>
                      <w:highlight w:val="none"/>
                      <w:lang w:val="en-US" w:eastAsia="zh-CN" w:bidi="ar"/>
                    </w:rPr>
                  </w:pPr>
                  <w:r>
                    <w:rPr>
                      <w:rFonts w:hint="eastAsia"/>
                      <w:kern w:val="0"/>
                      <w:szCs w:val="21"/>
                      <w:highlight w:val="none"/>
                      <w:lang w:val="en-US" w:eastAsia="zh-CN" w:bidi="ar"/>
                    </w:rPr>
                    <w:t>0.018</w:t>
                  </w:r>
                </w:p>
              </w:tc>
              <w:tc>
                <w:tcPr>
                  <w:tcW w:w="1135" w:type="dxa"/>
                  <w:vAlign w:val="center"/>
                </w:tcPr>
                <w:p w14:paraId="0113C127">
                  <w:pPr>
                    <w:snapToGrid w:val="0"/>
                    <w:jc w:val="center"/>
                    <w:rPr>
                      <w:rFonts w:hint="eastAsia" w:eastAsia="宋体"/>
                      <w:szCs w:val="21"/>
                      <w:highlight w:val="none"/>
                      <w:lang w:val="en-US" w:eastAsia="zh-CN"/>
                    </w:rPr>
                  </w:pPr>
                  <w:r>
                    <w:rPr>
                      <w:rFonts w:hint="eastAsia"/>
                      <w:szCs w:val="21"/>
                      <w:highlight w:val="none"/>
                      <w:lang w:val="en-US" w:eastAsia="zh-CN"/>
                    </w:rPr>
                    <w:t>5</w:t>
                  </w:r>
                </w:p>
              </w:tc>
              <w:tc>
                <w:tcPr>
                  <w:tcW w:w="986" w:type="dxa"/>
                  <w:vAlign w:val="center"/>
                </w:tcPr>
                <w:p w14:paraId="6DE5B35B">
                  <w:pPr>
                    <w:snapToGrid w:val="0"/>
                    <w:jc w:val="center"/>
                    <w:rPr>
                      <w:szCs w:val="21"/>
                      <w:highlight w:val="none"/>
                    </w:rPr>
                  </w:pPr>
                  <w:r>
                    <w:rPr>
                      <w:rFonts w:hint="eastAsia"/>
                      <w:szCs w:val="21"/>
                      <w:highlight w:val="none"/>
                    </w:rPr>
                    <w:t>/</w:t>
                  </w:r>
                </w:p>
              </w:tc>
              <w:tc>
                <w:tcPr>
                  <w:tcW w:w="642" w:type="dxa"/>
                  <w:vAlign w:val="center"/>
                </w:tcPr>
                <w:p w14:paraId="201EA120">
                  <w:pPr>
                    <w:snapToGrid w:val="0"/>
                    <w:jc w:val="center"/>
                    <w:rPr>
                      <w:szCs w:val="21"/>
                      <w:highlight w:val="none"/>
                    </w:rPr>
                  </w:pPr>
                  <w:r>
                    <w:rPr>
                      <w:sz w:val="20"/>
                      <w:szCs w:val="21"/>
                      <w:highlight w:val="none"/>
                    </w:rPr>
                    <w:t>达标</w:t>
                  </w:r>
                </w:p>
              </w:tc>
            </w:tr>
            <w:tr w14:paraId="244DD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5" w:type="dxa"/>
                  <w:vMerge w:val="continue"/>
                  <w:vAlign w:val="center"/>
                </w:tcPr>
                <w:p w14:paraId="7CC7C7C5">
                  <w:pPr>
                    <w:adjustRightInd w:val="0"/>
                    <w:snapToGrid w:val="0"/>
                    <w:jc w:val="center"/>
                    <w:rPr>
                      <w:bCs/>
                      <w:spacing w:val="-11"/>
                      <w:szCs w:val="21"/>
                      <w:highlight w:val="none"/>
                    </w:rPr>
                  </w:pPr>
                </w:p>
              </w:tc>
              <w:tc>
                <w:tcPr>
                  <w:tcW w:w="1309" w:type="dxa"/>
                  <w:vMerge w:val="continue"/>
                  <w:vAlign w:val="center"/>
                </w:tcPr>
                <w:p w14:paraId="1747CB3A">
                  <w:pPr>
                    <w:jc w:val="center"/>
                    <w:rPr>
                      <w:szCs w:val="21"/>
                      <w:highlight w:val="none"/>
                    </w:rPr>
                  </w:pPr>
                </w:p>
              </w:tc>
              <w:tc>
                <w:tcPr>
                  <w:tcW w:w="1295" w:type="dxa"/>
                  <w:vAlign w:val="center"/>
                </w:tcPr>
                <w:p w14:paraId="384C30E2">
                  <w:pPr>
                    <w:jc w:val="center"/>
                    <w:rPr>
                      <w:szCs w:val="21"/>
                      <w:highlight w:val="none"/>
                    </w:rPr>
                  </w:pPr>
                  <w:r>
                    <w:rPr>
                      <w:szCs w:val="21"/>
                      <w:highlight w:val="none"/>
                    </w:rPr>
                    <w:t>SO</w:t>
                  </w:r>
                  <w:r>
                    <w:rPr>
                      <w:szCs w:val="21"/>
                      <w:highlight w:val="none"/>
                      <w:vertAlign w:val="subscript"/>
                    </w:rPr>
                    <w:t>2</w:t>
                  </w:r>
                </w:p>
              </w:tc>
              <w:tc>
                <w:tcPr>
                  <w:tcW w:w="1023" w:type="dxa"/>
                  <w:vAlign w:val="center"/>
                </w:tcPr>
                <w:p w14:paraId="5DFC2C82">
                  <w:pPr>
                    <w:jc w:val="center"/>
                    <w:rPr>
                      <w:rFonts w:hint="default" w:eastAsia="宋体"/>
                      <w:kern w:val="0"/>
                      <w:szCs w:val="21"/>
                      <w:highlight w:val="none"/>
                      <w:lang w:val="en-US" w:eastAsia="zh-CN" w:bidi="ar"/>
                    </w:rPr>
                  </w:pPr>
                  <w:r>
                    <w:rPr>
                      <w:rFonts w:hint="eastAsia"/>
                      <w:kern w:val="0"/>
                      <w:szCs w:val="21"/>
                      <w:highlight w:val="none"/>
                      <w:lang w:val="en-US" w:eastAsia="zh-CN" w:bidi="ar"/>
                    </w:rPr>
                    <w:t>7.33</w:t>
                  </w:r>
                </w:p>
              </w:tc>
              <w:tc>
                <w:tcPr>
                  <w:tcW w:w="961" w:type="dxa"/>
                  <w:vAlign w:val="center"/>
                </w:tcPr>
                <w:p w14:paraId="2E447256">
                  <w:pPr>
                    <w:jc w:val="center"/>
                    <w:rPr>
                      <w:rFonts w:hint="default" w:eastAsia="宋体"/>
                      <w:kern w:val="0"/>
                      <w:szCs w:val="21"/>
                      <w:highlight w:val="none"/>
                      <w:lang w:val="en-US" w:eastAsia="zh-CN" w:bidi="ar"/>
                    </w:rPr>
                  </w:pPr>
                  <w:r>
                    <w:rPr>
                      <w:rFonts w:hint="eastAsia"/>
                      <w:kern w:val="0"/>
                      <w:szCs w:val="21"/>
                      <w:highlight w:val="none"/>
                      <w:lang w:val="en-US" w:eastAsia="zh-CN" w:bidi="ar"/>
                    </w:rPr>
                    <w:t>0.032</w:t>
                  </w:r>
                </w:p>
              </w:tc>
              <w:tc>
                <w:tcPr>
                  <w:tcW w:w="1135" w:type="dxa"/>
                  <w:vAlign w:val="center"/>
                </w:tcPr>
                <w:p w14:paraId="12E3116E">
                  <w:pPr>
                    <w:snapToGrid w:val="0"/>
                    <w:jc w:val="center"/>
                    <w:rPr>
                      <w:rFonts w:hint="default" w:eastAsia="宋体"/>
                      <w:szCs w:val="21"/>
                      <w:highlight w:val="none"/>
                      <w:lang w:val="en-US" w:eastAsia="zh-CN"/>
                    </w:rPr>
                  </w:pPr>
                  <w:r>
                    <w:rPr>
                      <w:rFonts w:hint="eastAsia"/>
                      <w:szCs w:val="21"/>
                      <w:highlight w:val="none"/>
                      <w:lang w:val="en-US" w:eastAsia="zh-CN"/>
                    </w:rPr>
                    <w:t>10</w:t>
                  </w:r>
                </w:p>
              </w:tc>
              <w:tc>
                <w:tcPr>
                  <w:tcW w:w="986" w:type="dxa"/>
                  <w:vAlign w:val="center"/>
                </w:tcPr>
                <w:p w14:paraId="2C2067AD">
                  <w:pPr>
                    <w:snapToGrid w:val="0"/>
                    <w:jc w:val="center"/>
                    <w:rPr>
                      <w:szCs w:val="21"/>
                      <w:highlight w:val="none"/>
                    </w:rPr>
                  </w:pPr>
                  <w:r>
                    <w:rPr>
                      <w:rFonts w:hint="eastAsia"/>
                      <w:szCs w:val="21"/>
                      <w:highlight w:val="none"/>
                    </w:rPr>
                    <w:t>/</w:t>
                  </w:r>
                </w:p>
              </w:tc>
              <w:tc>
                <w:tcPr>
                  <w:tcW w:w="642" w:type="dxa"/>
                  <w:vAlign w:val="center"/>
                </w:tcPr>
                <w:p w14:paraId="723632F5">
                  <w:pPr>
                    <w:snapToGrid w:val="0"/>
                    <w:jc w:val="center"/>
                    <w:rPr>
                      <w:sz w:val="20"/>
                      <w:szCs w:val="21"/>
                      <w:highlight w:val="none"/>
                    </w:rPr>
                  </w:pPr>
                  <w:r>
                    <w:rPr>
                      <w:sz w:val="20"/>
                      <w:szCs w:val="21"/>
                      <w:highlight w:val="none"/>
                    </w:rPr>
                    <w:t>达标</w:t>
                  </w:r>
                </w:p>
              </w:tc>
            </w:tr>
            <w:tr w14:paraId="294D8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5" w:type="dxa"/>
                  <w:vMerge w:val="continue"/>
                  <w:vAlign w:val="center"/>
                </w:tcPr>
                <w:p w14:paraId="5A0D8847">
                  <w:pPr>
                    <w:adjustRightInd w:val="0"/>
                    <w:snapToGrid w:val="0"/>
                    <w:jc w:val="center"/>
                    <w:rPr>
                      <w:bCs/>
                      <w:spacing w:val="-11"/>
                      <w:szCs w:val="21"/>
                      <w:highlight w:val="none"/>
                    </w:rPr>
                  </w:pPr>
                </w:p>
              </w:tc>
              <w:tc>
                <w:tcPr>
                  <w:tcW w:w="1309" w:type="dxa"/>
                  <w:vMerge w:val="continue"/>
                  <w:vAlign w:val="center"/>
                </w:tcPr>
                <w:p w14:paraId="5431E75B">
                  <w:pPr>
                    <w:jc w:val="center"/>
                    <w:rPr>
                      <w:szCs w:val="21"/>
                      <w:highlight w:val="none"/>
                    </w:rPr>
                  </w:pPr>
                </w:p>
              </w:tc>
              <w:tc>
                <w:tcPr>
                  <w:tcW w:w="1295" w:type="dxa"/>
                  <w:vAlign w:val="center"/>
                </w:tcPr>
                <w:p w14:paraId="1985668D">
                  <w:pPr>
                    <w:jc w:val="center"/>
                    <w:rPr>
                      <w:szCs w:val="21"/>
                      <w:highlight w:val="none"/>
                    </w:rPr>
                  </w:pPr>
                  <w:r>
                    <w:rPr>
                      <w:szCs w:val="21"/>
                      <w:highlight w:val="none"/>
                    </w:rPr>
                    <w:t>NOx</w:t>
                  </w:r>
                </w:p>
              </w:tc>
              <w:tc>
                <w:tcPr>
                  <w:tcW w:w="1023" w:type="dxa"/>
                  <w:vAlign w:val="center"/>
                </w:tcPr>
                <w:p w14:paraId="2DBBF68E">
                  <w:pPr>
                    <w:jc w:val="center"/>
                    <w:rPr>
                      <w:rFonts w:hint="default" w:eastAsia="宋体"/>
                      <w:kern w:val="0"/>
                      <w:szCs w:val="21"/>
                      <w:highlight w:val="none"/>
                      <w:lang w:val="en-US" w:eastAsia="zh-CN" w:bidi="ar"/>
                    </w:rPr>
                  </w:pPr>
                  <w:r>
                    <w:rPr>
                      <w:rFonts w:hint="eastAsia"/>
                      <w:kern w:val="0"/>
                      <w:szCs w:val="21"/>
                      <w:highlight w:val="none"/>
                      <w:lang w:val="en-US" w:eastAsia="zh-CN" w:bidi="ar"/>
                    </w:rPr>
                    <w:t>28.19</w:t>
                  </w:r>
                </w:p>
              </w:tc>
              <w:tc>
                <w:tcPr>
                  <w:tcW w:w="961" w:type="dxa"/>
                  <w:vAlign w:val="center"/>
                </w:tcPr>
                <w:p w14:paraId="1EEE7C6E">
                  <w:pPr>
                    <w:jc w:val="center"/>
                    <w:rPr>
                      <w:rFonts w:hint="default" w:eastAsia="宋体"/>
                      <w:kern w:val="0"/>
                      <w:szCs w:val="21"/>
                      <w:highlight w:val="none"/>
                      <w:lang w:val="en-US" w:eastAsia="zh-CN" w:bidi="ar"/>
                    </w:rPr>
                  </w:pPr>
                  <w:r>
                    <w:rPr>
                      <w:rFonts w:hint="eastAsia"/>
                      <w:kern w:val="0"/>
                      <w:szCs w:val="21"/>
                      <w:highlight w:val="none"/>
                      <w:lang w:val="en-US" w:eastAsia="zh-CN" w:bidi="ar"/>
                    </w:rPr>
                    <w:t>0.123</w:t>
                  </w:r>
                </w:p>
              </w:tc>
              <w:tc>
                <w:tcPr>
                  <w:tcW w:w="1135" w:type="dxa"/>
                  <w:vAlign w:val="center"/>
                </w:tcPr>
                <w:p w14:paraId="3E284F71">
                  <w:pPr>
                    <w:snapToGrid w:val="0"/>
                    <w:jc w:val="center"/>
                    <w:rPr>
                      <w:rFonts w:hint="default" w:eastAsia="宋体"/>
                      <w:szCs w:val="21"/>
                      <w:highlight w:val="none"/>
                      <w:lang w:val="en-US" w:eastAsia="zh-CN"/>
                    </w:rPr>
                  </w:pPr>
                  <w:r>
                    <w:rPr>
                      <w:rFonts w:hint="eastAsia"/>
                      <w:szCs w:val="21"/>
                      <w:highlight w:val="none"/>
                      <w:lang w:val="en-US" w:eastAsia="zh-CN"/>
                    </w:rPr>
                    <w:t>50</w:t>
                  </w:r>
                </w:p>
              </w:tc>
              <w:tc>
                <w:tcPr>
                  <w:tcW w:w="986" w:type="dxa"/>
                  <w:vAlign w:val="center"/>
                </w:tcPr>
                <w:p w14:paraId="2B7C86D5">
                  <w:pPr>
                    <w:snapToGrid w:val="0"/>
                    <w:jc w:val="center"/>
                    <w:rPr>
                      <w:szCs w:val="21"/>
                      <w:highlight w:val="none"/>
                    </w:rPr>
                  </w:pPr>
                  <w:r>
                    <w:rPr>
                      <w:rFonts w:hint="eastAsia"/>
                      <w:szCs w:val="21"/>
                      <w:highlight w:val="none"/>
                    </w:rPr>
                    <w:t>/</w:t>
                  </w:r>
                </w:p>
              </w:tc>
              <w:tc>
                <w:tcPr>
                  <w:tcW w:w="642" w:type="dxa"/>
                  <w:vAlign w:val="center"/>
                </w:tcPr>
                <w:p w14:paraId="634D589E">
                  <w:pPr>
                    <w:snapToGrid w:val="0"/>
                    <w:jc w:val="center"/>
                    <w:rPr>
                      <w:sz w:val="20"/>
                      <w:szCs w:val="21"/>
                      <w:highlight w:val="none"/>
                    </w:rPr>
                  </w:pPr>
                  <w:r>
                    <w:rPr>
                      <w:sz w:val="20"/>
                      <w:szCs w:val="21"/>
                      <w:highlight w:val="none"/>
                    </w:rPr>
                    <w:t>达标</w:t>
                  </w:r>
                </w:p>
              </w:tc>
            </w:tr>
            <w:tr w14:paraId="2EC50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5" w:type="dxa"/>
                  <w:vMerge w:val="continue"/>
                  <w:vAlign w:val="center"/>
                </w:tcPr>
                <w:p w14:paraId="301BE1B9">
                  <w:pPr>
                    <w:adjustRightInd w:val="0"/>
                    <w:snapToGrid w:val="0"/>
                    <w:jc w:val="center"/>
                    <w:rPr>
                      <w:bCs/>
                      <w:spacing w:val="-11"/>
                      <w:szCs w:val="21"/>
                      <w:highlight w:val="none"/>
                    </w:rPr>
                  </w:pPr>
                </w:p>
              </w:tc>
              <w:tc>
                <w:tcPr>
                  <w:tcW w:w="1309" w:type="dxa"/>
                  <w:vMerge w:val="continue"/>
                  <w:vAlign w:val="center"/>
                </w:tcPr>
                <w:p w14:paraId="38AF3BD1">
                  <w:pPr>
                    <w:jc w:val="center"/>
                    <w:rPr>
                      <w:szCs w:val="21"/>
                      <w:highlight w:val="none"/>
                    </w:rPr>
                  </w:pPr>
                </w:p>
              </w:tc>
              <w:tc>
                <w:tcPr>
                  <w:tcW w:w="1295" w:type="dxa"/>
                  <w:vAlign w:val="center"/>
                </w:tcPr>
                <w:p w14:paraId="359690F3">
                  <w:pPr>
                    <w:jc w:val="center"/>
                    <w:rPr>
                      <w:szCs w:val="21"/>
                      <w:highlight w:val="none"/>
                    </w:rPr>
                  </w:pPr>
                  <w:r>
                    <w:rPr>
                      <w:szCs w:val="21"/>
                      <w:highlight w:val="none"/>
                    </w:rPr>
                    <w:t>烟气黑度</w:t>
                  </w:r>
                </w:p>
              </w:tc>
              <w:tc>
                <w:tcPr>
                  <w:tcW w:w="1984" w:type="dxa"/>
                  <w:gridSpan w:val="2"/>
                  <w:vAlign w:val="center"/>
                </w:tcPr>
                <w:p w14:paraId="6C4393D0">
                  <w:pPr>
                    <w:widowControl/>
                    <w:jc w:val="center"/>
                    <w:textAlignment w:val="center"/>
                    <w:rPr>
                      <w:kern w:val="0"/>
                      <w:szCs w:val="21"/>
                      <w:highlight w:val="none"/>
                      <w:lang w:bidi="ar"/>
                    </w:rPr>
                  </w:pPr>
                  <w:r>
                    <w:rPr>
                      <w:kern w:val="0"/>
                      <w:szCs w:val="21"/>
                      <w:highlight w:val="none"/>
                      <w:lang w:bidi="ar"/>
                    </w:rPr>
                    <w:t>≤1级</w:t>
                  </w:r>
                </w:p>
              </w:tc>
              <w:tc>
                <w:tcPr>
                  <w:tcW w:w="2121" w:type="dxa"/>
                  <w:gridSpan w:val="2"/>
                  <w:vAlign w:val="center"/>
                </w:tcPr>
                <w:p w14:paraId="778A9516">
                  <w:pPr>
                    <w:snapToGrid w:val="0"/>
                    <w:jc w:val="center"/>
                    <w:rPr>
                      <w:kern w:val="0"/>
                      <w:szCs w:val="21"/>
                      <w:highlight w:val="none"/>
                      <w:lang w:bidi="ar"/>
                    </w:rPr>
                  </w:pPr>
                  <w:r>
                    <w:rPr>
                      <w:kern w:val="0"/>
                      <w:szCs w:val="21"/>
                      <w:highlight w:val="none"/>
                      <w:lang w:bidi="ar"/>
                    </w:rPr>
                    <w:t>≤1级</w:t>
                  </w:r>
                </w:p>
              </w:tc>
              <w:tc>
                <w:tcPr>
                  <w:tcW w:w="642" w:type="dxa"/>
                  <w:vAlign w:val="center"/>
                </w:tcPr>
                <w:p w14:paraId="1A865705">
                  <w:pPr>
                    <w:snapToGrid w:val="0"/>
                    <w:jc w:val="center"/>
                    <w:rPr>
                      <w:sz w:val="20"/>
                      <w:szCs w:val="21"/>
                      <w:highlight w:val="none"/>
                    </w:rPr>
                  </w:pPr>
                  <w:r>
                    <w:rPr>
                      <w:sz w:val="20"/>
                      <w:szCs w:val="21"/>
                      <w:highlight w:val="none"/>
                    </w:rPr>
                    <w:t>达标</w:t>
                  </w:r>
                </w:p>
              </w:tc>
            </w:tr>
          </w:tbl>
          <w:p w14:paraId="52DAB899">
            <w:pPr>
              <w:snapToGrid w:val="0"/>
              <w:spacing w:before="120" w:beforeLines="50" w:line="360" w:lineRule="auto"/>
              <w:ind w:firstLine="480" w:firstLineChars="200"/>
              <w:rPr>
                <w:sz w:val="24"/>
                <w:highlight w:val="none"/>
              </w:rPr>
            </w:pPr>
            <w:r>
              <w:rPr>
                <w:sz w:val="24"/>
                <w:highlight w:val="none"/>
              </w:rPr>
              <w:t>由上表可知，</w:t>
            </w:r>
            <w:r>
              <w:rPr>
                <w:rFonts w:hint="eastAsia"/>
                <w:sz w:val="24"/>
                <w:highlight w:val="none"/>
                <w:lang w:val="en-US" w:eastAsia="zh-CN"/>
              </w:rPr>
              <w:t>沼气锅炉</w:t>
            </w:r>
            <w:r>
              <w:rPr>
                <w:rFonts w:hint="eastAsia" w:ascii="Times New Roman" w:hAnsi="Times New Roman" w:eastAsia="宋体" w:cs="Times New Roman"/>
                <w:sz w:val="24"/>
                <w:highlight w:val="none"/>
              </w:rPr>
              <w:t>排放的颗粒物、二氧化硫、氮氧化物和烟气黑度的排放速率和排放浓度均符合</w:t>
            </w:r>
            <w:r>
              <w:rPr>
                <w:rFonts w:hint="default" w:ascii="Times New Roman" w:hAnsi="Times New Roman" w:eastAsia="宋体" w:cs="Times New Roman"/>
                <w:sz w:val="24"/>
                <w:highlight w:val="none"/>
              </w:rPr>
              <w:t>《锅炉大气污染物排放标准》（DB13/5161-2020）燃气锅炉</w:t>
            </w:r>
            <w:r>
              <w:rPr>
                <w:rFonts w:hint="eastAsia" w:ascii="Times New Roman" w:hAnsi="Times New Roman" w:eastAsia="宋体" w:cs="Times New Roman"/>
                <w:sz w:val="24"/>
                <w:highlight w:val="none"/>
              </w:rPr>
              <w:t>颗粒物、二氧化硫、氮氧化物和烟气黑度的</w:t>
            </w:r>
            <w:r>
              <w:rPr>
                <w:rFonts w:hint="default" w:ascii="Times New Roman" w:hAnsi="Times New Roman" w:eastAsia="宋体" w:cs="Times New Roman"/>
                <w:sz w:val="24"/>
                <w:highlight w:val="none"/>
              </w:rPr>
              <w:t>限值要求</w:t>
            </w:r>
            <w:r>
              <w:rPr>
                <w:rFonts w:hint="eastAsia" w:ascii="Times New Roman" w:hAnsi="Times New Roman" w:eastAsia="宋体" w:cs="Times New Roman"/>
                <w:sz w:val="24"/>
                <w:highlight w:val="none"/>
              </w:rPr>
              <w:t>。</w:t>
            </w:r>
          </w:p>
          <w:p w14:paraId="2BE8B23B">
            <w:pPr>
              <w:spacing w:line="360" w:lineRule="auto"/>
              <w:ind w:firstLine="482"/>
              <w:rPr>
                <w:b/>
                <w:sz w:val="24"/>
                <w:highlight w:val="none"/>
              </w:rPr>
            </w:pPr>
            <w:r>
              <w:rPr>
                <w:rFonts w:hint="eastAsia"/>
                <w:b/>
                <w:sz w:val="24"/>
                <w:highlight w:val="none"/>
              </w:rPr>
              <w:t>（</w:t>
            </w:r>
            <w:r>
              <w:rPr>
                <w:b/>
                <w:sz w:val="24"/>
                <w:highlight w:val="none"/>
              </w:rPr>
              <w:t>6</w:t>
            </w:r>
            <w:r>
              <w:rPr>
                <w:rFonts w:hint="eastAsia"/>
                <w:b/>
                <w:sz w:val="24"/>
                <w:highlight w:val="none"/>
              </w:rPr>
              <w:t>）监测要求</w:t>
            </w:r>
          </w:p>
          <w:p w14:paraId="190A4373">
            <w:pPr>
              <w:spacing w:line="360" w:lineRule="auto"/>
              <w:ind w:firstLine="480"/>
              <w:rPr>
                <w:sz w:val="24"/>
                <w:highlight w:val="none"/>
              </w:rPr>
            </w:pPr>
            <w:r>
              <w:rPr>
                <w:sz w:val="24"/>
                <w:highlight w:val="none"/>
              </w:rPr>
              <w:t>根据</w:t>
            </w:r>
            <w:r>
              <w:rPr>
                <w:rFonts w:hint="eastAsia"/>
                <w:sz w:val="24"/>
                <w:highlight w:val="none"/>
              </w:rPr>
              <w:t>《排污单位自行监测技术指南 火力发电及锅炉》（HJ 820-2017）</w:t>
            </w:r>
            <w:r>
              <w:rPr>
                <w:sz w:val="24"/>
                <w:highlight w:val="none"/>
              </w:rPr>
              <w:t>，项目大气污染源监测要求详见下表：</w:t>
            </w:r>
          </w:p>
          <w:p w14:paraId="39CA473A">
            <w:pPr>
              <w:pStyle w:val="50"/>
              <w:numPr>
                <w:ilvl w:val="0"/>
                <w:numId w:val="11"/>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项目大气污染源监测计划一览表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5"/>
              <w:gridCol w:w="1593"/>
              <w:gridCol w:w="1229"/>
              <w:gridCol w:w="1013"/>
              <w:gridCol w:w="3912"/>
            </w:tblGrid>
            <w:tr w14:paraId="23D11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2" w:type="pct"/>
                  <w:vAlign w:val="center"/>
                </w:tcPr>
                <w:p w14:paraId="513501FE">
                  <w:pPr>
                    <w:jc w:val="center"/>
                    <w:rPr>
                      <w:b/>
                      <w:szCs w:val="21"/>
                      <w:highlight w:val="none"/>
                    </w:rPr>
                  </w:pPr>
                  <w:r>
                    <w:rPr>
                      <w:rFonts w:hint="eastAsia"/>
                      <w:b/>
                      <w:szCs w:val="21"/>
                      <w:highlight w:val="none"/>
                    </w:rPr>
                    <w:t>类型</w:t>
                  </w:r>
                </w:p>
              </w:tc>
              <w:tc>
                <w:tcPr>
                  <w:tcW w:w="941" w:type="pct"/>
                  <w:vAlign w:val="center"/>
                </w:tcPr>
                <w:p w14:paraId="799A5B91">
                  <w:pPr>
                    <w:jc w:val="center"/>
                    <w:rPr>
                      <w:b/>
                      <w:szCs w:val="21"/>
                      <w:highlight w:val="none"/>
                    </w:rPr>
                  </w:pPr>
                  <w:r>
                    <w:rPr>
                      <w:b/>
                      <w:szCs w:val="21"/>
                      <w:highlight w:val="none"/>
                    </w:rPr>
                    <w:t>监测</w:t>
                  </w:r>
                  <w:r>
                    <w:rPr>
                      <w:rFonts w:hint="eastAsia"/>
                      <w:b/>
                      <w:szCs w:val="21"/>
                      <w:highlight w:val="none"/>
                    </w:rPr>
                    <w:t>点位</w:t>
                  </w:r>
                </w:p>
              </w:tc>
              <w:tc>
                <w:tcPr>
                  <w:tcW w:w="726" w:type="pct"/>
                  <w:vAlign w:val="center"/>
                </w:tcPr>
                <w:p w14:paraId="31B7B1E7">
                  <w:pPr>
                    <w:jc w:val="center"/>
                    <w:rPr>
                      <w:b/>
                      <w:szCs w:val="21"/>
                      <w:highlight w:val="none"/>
                    </w:rPr>
                  </w:pPr>
                  <w:r>
                    <w:rPr>
                      <w:b/>
                      <w:szCs w:val="21"/>
                      <w:highlight w:val="none"/>
                    </w:rPr>
                    <w:t>监测</w:t>
                  </w:r>
                  <w:r>
                    <w:rPr>
                      <w:rFonts w:hint="eastAsia"/>
                      <w:b/>
                      <w:szCs w:val="21"/>
                      <w:highlight w:val="none"/>
                    </w:rPr>
                    <w:t>因子</w:t>
                  </w:r>
                </w:p>
              </w:tc>
              <w:tc>
                <w:tcPr>
                  <w:tcW w:w="598" w:type="pct"/>
                  <w:vAlign w:val="center"/>
                </w:tcPr>
                <w:p w14:paraId="6F30B7DE">
                  <w:pPr>
                    <w:jc w:val="center"/>
                    <w:rPr>
                      <w:b/>
                      <w:szCs w:val="21"/>
                      <w:highlight w:val="none"/>
                    </w:rPr>
                  </w:pPr>
                  <w:r>
                    <w:rPr>
                      <w:rFonts w:hint="eastAsia"/>
                      <w:b/>
                      <w:szCs w:val="21"/>
                      <w:highlight w:val="none"/>
                    </w:rPr>
                    <w:t>监测</w:t>
                  </w:r>
                  <w:r>
                    <w:rPr>
                      <w:b/>
                      <w:szCs w:val="21"/>
                      <w:highlight w:val="none"/>
                    </w:rPr>
                    <w:t>频次</w:t>
                  </w:r>
                </w:p>
              </w:tc>
              <w:tc>
                <w:tcPr>
                  <w:tcW w:w="2310" w:type="pct"/>
                  <w:vAlign w:val="center"/>
                </w:tcPr>
                <w:p w14:paraId="3B0AAE65">
                  <w:pPr>
                    <w:jc w:val="center"/>
                    <w:rPr>
                      <w:b/>
                      <w:szCs w:val="21"/>
                      <w:highlight w:val="none"/>
                    </w:rPr>
                  </w:pPr>
                  <w:r>
                    <w:rPr>
                      <w:b/>
                      <w:szCs w:val="21"/>
                      <w:highlight w:val="none"/>
                    </w:rPr>
                    <w:t>执行标准</w:t>
                  </w:r>
                </w:p>
              </w:tc>
            </w:tr>
            <w:tr w14:paraId="7EEE2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2" w:type="pct"/>
                  <w:vMerge w:val="restart"/>
                  <w:vAlign w:val="center"/>
                </w:tcPr>
                <w:p w14:paraId="287E8042">
                  <w:pPr>
                    <w:jc w:val="center"/>
                    <w:rPr>
                      <w:szCs w:val="21"/>
                      <w:highlight w:val="none"/>
                    </w:rPr>
                  </w:pPr>
                  <w:r>
                    <w:rPr>
                      <w:szCs w:val="21"/>
                      <w:highlight w:val="none"/>
                    </w:rPr>
                    <w:t>有组织</w:t>
                  </w:r>
                </w:p>
              </w:tc>
              <w:tc>
                <w:tcPr>
                  <w:tcW w:w="941" w:type="pct"/>
                  <w:vMerge w:val="restart"/>
                  <w:vAlign w:val="center"/>
                </w:tcPr>
                <w:p w14:paraId="180B1F66">
                  <w:pPr>
                    <w:jc w:val="center"/>
                    <w:rPr>
                      <w:szCs w:val="21"/>
                      <w:highlight w:val="none"/>
                    </w:rPr>
                  </w:pPr>
                  <w:r>
                    <w:rPr>
                      <w:szCs w:val="21"/>
                      <w:highlight w:val="none"/>
                    </w:rPr>
                    <w:t>排气筒DA001</w:t>
                  </w:r>
                </w:p>
              </w:tc>
              <w:tc>
                <w:tcPr>
                  <w:tcW w:w="726" w:type="pct"/>
                  <w:vAlign w:val="center"/>
                </w:tcPr>
                <w:p w14:paraId="7DC0411A">
                  <w:pPr>
                    <w:jc w:val="center"/>
                    <w:rPr>
                      <w:szCs w:val="21"/>
                      <w:highlight w:val="none"/>
                    </w:rPr>
                  </w:pPr>
                  <w:r>
                    <w:rPr>
                      <w:szCs w:val="21"/>
                      <w:highlight w:val="none"/>
                    </w:rPr>
                    <w:t>颗粒物、</w:t>
                  </w:r>
                </w:p>
              </w:tc>
              <w:tc>
                <w:tcPr>
                  <w:tcW w:w="598" w:type="pct"/>
                  <w:vAlign w:val="center"/>
                </w:tcPr>
                <w:p w14:paraId="538E735D">
                  <w:pPr>
                    <w:jc w:val="center"/>
                    <w:rPr>
                      <w:szCs w:val="21"/>
                      <w:highlight w:val="none"/>
                    </w:rPr>
                  </w:pPr>
                  <w:r>
                    <w:rPr>
                      <w:rFonts w:hint="eastAsia"/>
                      <w:szCs w:val="21"/>
                      <w:highlight w:val="none"/>
                      <w:lang w:val="en-US" w:eastAsia="zh-CN"/>
                    </w:rPr>
                    <w:t>年</w:t>
                  </w:r>
                  <w:r>
                    <w:rPr>
                      <w:szCs w:val="21"/>
                      <w:highlight w:val="none"/>
                    </w:rPr>
                    <w:t>/次</w:t>
                  </w:r>
                </w:p>
              </w:tc>
              <w:tc>
                <w:tcPr>
                  <w:tcW w:w="2310" w:type="pct"/>
                  <w:vMerge w:val="restart"/>
                  <w:vAlign w:val="center"/>
                </w:tcPr>
                <w:p w14:paraId="1AEC8670">
                  <w:pPr>
                    <w:jc w:val="center"/>
                    <w:rPr>
                      <w:szCs w:val="21"/>
                      <w:highlight w:val="none"/>
                    </w:rPr>
                  </w:pPr>
                  <w:r>
                    <w:rPr>
                      <w:rFonts w:hint="eastAsia"/>
                      <w:szCs w:val="21"/>
                      <w:highlight w:val="none"/>
                    </w:rPr>
                    <w:t>《锅炉大气污染物排放标准》（DB13/5161-2020）燃气锅炉限值要求</w:t>
                  </w:r>
                </w:p>
              </w:tc>
            </w:tr>
            <w:tr w14:paraId="26466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2" w:type="pct"/>
                  <w:vMerge w:val="continue"/>
                  <w:vAlign w:val="center"/>
                </w:tcPr>
                <w:p w14:paraId="124FF95F">
                  <w:pPr>
                    <w:jc w:val="center"/>
                    <w:rPr>
                      <w:szCs w:val="21"/>
                      <w:highlight w:val="none"/>
                    </w:rPr>
                  </w:pPr>
                </w:p>
              </w:tc>
              <w:tc>
                <w:tcPr>
                  <w:tcW w:w="941" w:type="pct"/>
                  <w:vMerge w:val="continue"/>
                  <w:vAlign w:val="center"/>
                </w:tcPr>
                <w:p w14:paraId="211E733A">
                  <w:pPr>
                    <w:jc w:val="center"/>
                    <w:rPr>
                      <w:szCs w:val="21"/>
                      <w:highlight w:val="none"/>
                    </w:rPr>
                  </w:pPr>
                </w:p>
              </w:tc>
              <w:tc>
                <w:tcPr>
                  <w:tcW w:w="726" w:type="pct"/>
                  <w:vAlign w:val="center"/>
                </w:tcPr>
                <w:p w14:paraId="28373703">
                  <w:pPr>
                    <w:jc w:val="center"/>
                    <w:rPr>
                      <w:rFonts w:hint="eastAsia" w:eastAsia="宋体"/>
                      <w:szCs w:val="21"/>
                      <w:highlight w:val="none"/>
                      <w:lang w:eastAsia="zh-CN"/>
                    </w:rPr>
                  </w:pPr>
                  <w:r>
                    <w:rPr>
                      <w:rFonts w:hint="eastAsia"/>
                      <w:szCs w:val="21"/>
                      <w:highlight w:val="none"/>
                      <w:lang w:val="en-US" w:eastAsia="zh-CN"/>
                    </w:rPr>
                    <w:t>二氧化硫</w:t>
                  </w:r>
                </w:p>
              </w:tc>
              <w:tc>
                <w:tcPr>
                  <w:tcW w:w="598" w:type="pct"/>
                  <w:vAlign w:val="center"/>
                </w:tcPr>
                <w:p w14:paraId="694637BE">
                  <w:pPr>
                    <w:jc w:val="center"/>
                    <w:rPr>
                      <w:szCs w:val="21"/>
                      <w:highlight w:val="none"/>
                    </w:rPr>
                  </w:pPr>
                  <w:r>
                    <w:rPr>
                      <w:rFonts w:hint="eastAsia"/>
                      <w:szCs w:val="21"/>
                      <w:highlight w:val="none"/>
                      <w:lang w:val="en-US" w:eastAsia="zh-CN"/>
                    </w:rPr>
                    <w:t>年</w:t>
                  </w:r>
                  <w:r>
                    <w:rPr>
                      <w:szCs w:val="21"/>
                      <w:highlight w:val="none"/>
                    </w:rPr>
                    <w:t>/次</w:t>
                  </w:r>
                </w:p>
              </w:tc>
              <w:tc>
                <w:tcPr>
                  <w:tcW w:w="2310" w:type="pct"/>
                  <w:vMerge w:val="continue"/>
                  <w:vAlign w:val="center"/>
                </w:tcPr>
                <w:p w14:paraId="45D56311">
                  <w:pPr>
                    <w:jc w:val="center"/>
                    <w:rPr>
                      <w:szCs w:val="21"/>
                      <w:highlight w:val="none"/>
                    </w:rPr>
                  </w:pPr>
                </w:p>
              </w:tc>
            </w:tr>
            <w:tr w14:paraId="38973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2" w:type="pct"/>
                  <w:vMerge w:val="continue"/>
                  <w:vAlign w:val="center"/>
                </w:tcPr>
                <w:p w14:paraId="7584E773">
                  <w:pPr>
                    <w:jc w:val="center"/>
                    <w:rPr>
                      <w:szCs w:val="21"/>
                      <w:highlight w:val="none"/>
                    </w:rPr>
                  </w:pPr>
                </w:p>
              </w:tc>
              <w:tc>
                <w:tcPr>
                  <w:tcW w:w="941" w:type="pct"/>
                  <w:vMerge w:val="continue"/>
                  <w:vAlign w:val="center"/>
                </w:tcPr>
                <w:p w14:paraId="06B0124E">
                  <w:pPr>
                    <w:jc w:val="center"/>
                    <w:rPr>
                      <w:szCs w:val="21"/>
                      <w:highlight w:val="none"/>
                    </w:rPr>
                  </w:pPr>
                </w:p>
              </w:tc>
              <w:tc>
                <w:tcPr>
                  <w:tcW w:w="726" w:type="pct"/>
                  <w:vAlign w:val="center"/>
                </w:tcPr>
                <w:p w14:paraId="2BBAE0A0">
                  <w:pPr>
                    <w:jc w:val="center"/>
                    <w:rPr>
                      <w:rFonts w:hint="eastAsia" w:eastAsia="宋体"/>
                      <w:szCs w:val="21"/>
                      <w:highlight w:val="none"/>
                      <w:lang w:eastAsia="zh-CN"/>
                    </w:rPr>
                  </w:pPr>
                  <w:r>
                    <w:rPr>
                      <w:rFonts w:hint="eastAsia"/>
                      <w:szCs w:val="21"/>
                      <w:highlight w:val="none"/>
                      <w:lang w:val="en-US" w:eastAsia="zh-CN"/>
                    </w:rPr>
                    <w:t>氮氧化物</w:t>
                  </w:r>
                </w:p>
              </w:tc>
              <w:tc>
                <w:tcPr>
                  <w:tcW w:w="598" w:type="pct"/>
                  <w:vAlign w:val="center"/>
                </w:tcPr>
                <w:p w14:paraId="3B482CFF">
                  <w:pPr>
                    <w:jc w:val="center"/>
                    <w:rPr>
                      <w:szCs w:val="21"/>
                      <w:highlight w:val="none"/>
                    </w:rPr>
                  </w:pPr>
                  <w:r>
                    <w:rPr>
                      <w:rFonts w:hint="eastAsia"/>
                      <w:szCs w:val="21"/>
                      <w:highlight w:val="none"/>
                      <w:lang w:val="en-US" w:eastAsia="zh-CN"/>
                    </w:rPr>
                    <w:t>月</w:t>
                  </w:r>
                  <w:r>
                    <w:rPr>
                      <w:szCs w:val="21"/>
                      <w:highlight w:val="none"/>
                    </w:rPr>
                    <w:t>/次</w:t>
                  </w:r>
                </w:p>
              </w:tc>
              <w:tc>
                <w:tcPr>
                  <w:tcW w:w="2310" w:type="pct"/>
                  <w:vMerge w:val="continue"/>
                  <w:vAlign w:val="center"/>
                </w:tcPr>
                <w:p w14:paraId="5AF3086E">
                  <w:pPr>
                    <w:jc w:val="center"/>
                    <w:rPr>
                      <w:szCs w:val="21"/>
                      <w:highlight w:val="none"/>
                    </w:rPr>
                  </w:pPr>
                </w:p>
              </w:tc>
            </w:tr>
            <w:tr w14:paraId="2B269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2" w:type="pct"/>
                  <w:vMerge w:val="continue"/>
                  <w:vAlign w:val="center"/>
                </w:tcPr>
                <w:p w14:paraId="480F3FF4">
                  <w:pPr>
                    <w:jc w:val="center"/>
                    <w:rPr>
                      <w:szCs w:val="21"/>
                      <w:highlight w:val="none"/>
                    </w:rPr>
                  </w:pPr>
                </w:p>
              </w:tc>
              <w:tc>
                <w:tcPr>
                  <w:tcW w:w="941" w:type="pct"/>
                  <w:vMerge w:val="continue"/>
                  <w:vAlign w:val="center"/>
                </w:tcPr>
                <w:p w14:paraId="3616C654">
                  <w:pPr>
                    <w:jc w:val="center"/>
                    <w:rPr>
                      <w:szCs w:val="21"/>
                      <w:highlight w:val="none"/>
                    </w:rPr>
                  </w:pPr>
                </w:p>
              </w:tc>
              <w:tc>
                <w:tcPr>
                  <w:tcW w:w="726" w:type="pct"/>
                  <w:vAlign w:val="center"/>
                </w:tcPr>
                <w:p w14:paraId="4E790A4B">
                  <w:pPr>
                    <w:jc w:val="center"/>
                    <w:rPr>
                      <w:rFonts w:hint="default"/>
                      <w:szCs w:val="21"/>
                      <w:highlight w:val="none"/>
                      <w:lang w:val="en-US" w:eastAsia="zh-CN"/>
                    </w:rPr>
                  </w:pPr>
                  <w:r>
                    <w:rPr>
                      <w:rFonts w:hint="eastAsia"/>
                      <w:szCs w:val="21"/>
                      <w:highlight w:val="none"/>
                      <w:lang w:val="en-US" w:eastAsia="zh-CN"/>
                    </w:rPr>
                    <w:t>烟气黑度</w:t>
                  </w:r>
                </w:p>
              </w:tc>
              <w:tc>
                <w:tcPr>
                  <w:tcW w:w="598" w:type="pct"/>
                  <w:vAlign w:val="center"/>
                </w:tcPr>
                <w:p w14:paraId="2782E4C6">
                  <w:pPr>
                    <w:jc w:val="center"/>
                    <w:rPr>
                      <w:rFonts w:hint="eastAsia"/>
                      <w:szCs w:val="21"/>
                      <w:highlight w:val="none"/>
                      <w:lang w:val="en-US" w:eastAsia="zh-CN"/>
                    </w:rPr>
                  </w:pPr>
                  <w:r>
                    <w:rPr>
                      <w:rFonts w:hint="eastAsia"/>
                      <w:szCs w:val="21"/>
                      <w:highlight w:val="none"/>
                      <w:lang w:val="en-US" w:eastAsia="zh-CN"/>
                    </w:rPr>
                    <w:t>年</w:t>
                  </w:r>
                  <w:r>
                    <w:rPr>
                      <w:szCs w:val="21"/>
                      <w:highlight w:val="none"/>
                    </w:rPr>
                    <w:t>/次</w:t>
                  </w:r>
                </w:p>
              </w:tc>
              <w:tc>
                <w:tcPr>
                  <w:tcW w:w="2310" w:type="pct"/>
                  <w:vMerge w:val="continue"/>
                  <w:vAlign w:val="center"/>
                </w:tcPr>
                <w:p w14:paraId="08930107">
                  <w:pPr>
                    <w:jc w:val="center"/>
                    <w:rPr>
                      <w:szCs w:val="21"/>
                      <w:highlight w:val="none"/>
                    </w:rPr>
                  </w:pPr>
                </w:p>
              </w:tc>
            </w:tr>
          </w:tbl>
          <w:p w14:paraId="6EDD60CD">
            <w:pPr>
              <w:spacing w:before="120" w:beforeLines="50" w:line="360" w:lineRule="auto"/>
              <w:ind w:firstLine="482"/>
              <w:rPr>
                <w:b/>
                <w:sz w:val="24"/>
                <w:highlight w:val="none"/>
              </w:rPr>
            </w:pPr>
            <w:r>
              <w:rPr>
                <w:rFonts w:hint="eastAsia"/>
                <w:b/>
                <w:sz w:val="24"/>
                <w:highlight w:val="none"/>
              </w:rPr>
              <w:t>（</w:t>
            </w:r>
            <w:r>
              <w:rPr>
                <w:b/>
                <w:sz w:val="24"/>
                <w:highlight w:val="none"/>
              </w:rPr>
              <w:t>7</w:t>
            </w:r>
            <w:r>
              <w:rPr>
                <w:rFonts w:hint="eastAsia"/>
                <w:b/>
                <w:sz w:val="24"/>
                <w:highlight w:val="none"/>
              </w:rPr>
              <w:t>）非正常情况分析</w:t>
            </w:r>
          </w:p>
          <w:p w14:paraId="11A34CF6">
            <w:pPr>
              <w:spacing w:line="360" w:lineRule="auto"/>
              <w:ind w:firstLine="482"/>
              <w:rPr>
                <w:rFonts w:hint="default" w:ascii="Times New Roman" w:hAnsi="Times New Roman" w:eastAsia="宋体" w:cs="Times New Roman"/>
                <w:b w:val="0"/>
                <w:bCs/>
                <w:sz w:val="24"/>
                <w:highlight w:val="none"/>
              </w:rPr>
            </w:pPr>
            <w:r>
              <w:rPr>
                <w:rFonts w:hint="eastAsia" w:ascii="Times New Roman" w:hAnsi="Times New Roman" w:eastAsia="宋体" w:cs="Times New Roman"/>
                <w:b w:val="0"/>
                <w:bCs/>
                <w:sz w:val="24"/>
                <w:highlight w:val="none"/>
              </w:rPr>
              <w:t>项目非正常排放情况主要体现在废气治理措施达不到设计要求的处理效率导致废气处理不完全而超标排放。引起非正常排放因素主要有设备因素和人为因素，根据项目生产工艺特征和污染物产生情况，确定项目非正常工况为废气治理失效导致有机废气未经处理直接排放。</w:t>
            </w:r>
          </w:p>
          <w:p w14:paraId="39E0FFAA">
            <w:pPr>
              <w:spacing w:line="360" w:lineRule="auto"/>
              <w:ind w:firstLine="482"/>
              <w:rPr>
                <w:rFonts w:hint="default" w:ascii="Times New Roman" w:hAnsi="Times New Roman" w:eastAsia="宋体" w:cs="Times New Roman"/>
                <w:b w:val="0"/>
                <w:bCs/>
                <w:sz w:val="24"/>
                <w:highlight w:val="none"/>
              </w:rPr>
            </w:pPr>
            <w:r>
              <w:rPr>
                <w:rFonts w:hint="eastAsia" w:ascii="Times New Roman" w:hAnsi="Times New Roman" w:eastAsia="宋体" w:cs="Times New Roman"/>
                <w:b w:val="0"/>
                <w:bCs/>
                <w:sz w:val="24"/>
                <w:highlight w:val="none"/>
              </w:rPr>
              <w:t>本项目采用成熟的工艺技术和生产设施，专人管理，过程控制，设备出现故障时，可以做到随时停机检修，对一线职工上岗前进行培训实行规范化管理，严格岗前岗中岗后维护检查和交接班制度，尽可能杜绝废气非正常排放的发生。</w:t>
            </w:r>
          </w:p>
          <w:p w14:paraId="0D9591D2">
            <w:pPr>
              <w:spacing w:line="360" w:lineRule="auto"/>
              <w:ind w:firstLine="482"/>
              <w:rPr>
                <w:rFonts w:hint="default" w:ascii="Times New Roman" w:hAnsi="Times New Roman" w:eastAsia="宋体" w:cs="Times New Roman"/>
                <w:b w:val="0"/>
                <w:bCs/>
                <w:sz w:val="24"/>
                <w:highlight w:val="none"/>
              </w:rPr>
            </w:pPr>
            <w:r>
              <w:rPr>
                <w:rFonts w:hint="eastAsia" w:ascii="Times New Roman" w:hAnsi="Times New Roman" w:eastAsia="宋体" w:cs="Times New Roman"/>
                <w:b w:val="0"/>
                <w:bCs/>
                <w:sz w:val="24"/>
                <w:highlight w:val="none"/>
              </w:rPr>
              <w:t>本项目的事故排放情况下，最不利情况体为燃气锅炉低氮燃烧器损坏造成的非正常排放。假定低氮燃烧器损坏，低氮燃烧器减少</w:t>
            </w:r>
            <w:r>
              <w:rPr>
                <w:rFonts w:hint="eastAsia" w:cs="Times New Roman"/>
                <w:b w:val="0"/>
                <w:bCs/>
                <w:sz w:val="24"/>
                <w:highlight w:val="none"/>
                <w:lang w:val="en-US" w:eastAsia="zh-CN"/>
              </w:rPr>
              <w:t>4</w:t>
            </w:r>
            <w:r>
              <w:rPr>
                <w:rFonts w:hint="eastAsia" w:ascii="Times New Roman" w:hAnsi="Times New Roman" w:eastAsia="宋体" w:cs="Times New Roman"/>
                <w:b w:val="0"/>
                <w:bCs/>
                <w:sz w:val="24"/>
                <w:highlight w:val="none"/>
              </w:rPr>
              <w:t>0%的氮氧化物产生量，则损坏后氮氧化物排放速率为</w:t>
            </w:r>
            <w:r>
              <w:rPr>
                <w:rFonts w:hint="eastAsia" w:cs="Times New Roman"/>
                <w:b w:val="0"/>
                <w:bCs/>
                <w:sz w:val="24"/>
                <w:highlight w:val="none"/>
                <w:lang w:val="en-US" w:eastAsia="zh-CN"/>
              </w:rPr>
              <w:t>0.307</w:t>
            </w:r>
            <w:r>
              <w:rPr>
                <w:rFonts w:hint="eastAsia" w:ascii="Times New Roman" w:hAnsi="Times New Roman" w:eastAsia="宋体" w:cs="Times New Roman"/>
                <w:b w:val="0"/>
                <w:bCs/>
                <w:sz w:val="24"/>
                <w:highlight w:val="none"/>
              </w:rPr>
              <w:t>kg/h，排放浓度为</w:t>
            </w:r>
            <w:r>
              <w:rPr>
                <w:rFonts w:hint="eastAsia" w:cs="Times New Roman"/>
                <w:b w:val="0"/>
                <w:bCs/>
                <w:sz w:val="24"/>
                <w:highlight w:val="none"/>
                <w:lang w:val="en-US" w:eastAsia="zh-CN"/>
              </w:rPr>
              <w:t>70.34</w:t>
            </w:r>
            <w:r>
              <w:rPr>
                <w:rFonts w:hint="eastAsia" w:ascii="Times New Roman" w:hAnsi="Times New Roman" w:eastAsia="宋体" w:cs="Times New Roman"/>
                <w:b w:val="0"/>
                <w:bCs/>
                <w:sz w:val="24"/>
                <w:highlight w:val="none"/>
              </w:rPr>
              <w:t>mg/m</w:t>
            </w:r>
            <w:r>
              <w:rPr>
                <w:rFonts w:hint="eastAsia" w:ascii="Times New Roman" w:hAnsi="Times New Roman" w:eastAsia="宋体" w:cs="Times New Roman"/>
                <w:b w:val="0"/>
                <w:bCs/>
                <w:sz w:val="24"/>
                <w:highlight w:val="none"/>
                <w:vertAlign w:val="superscript"/>
              </w:rPr>
              <w:t>3</w:t>
            </w:r>
            <w:r>
              <w:rPr>
                <w:rFonts w:hint="eastAsia" w:cs="Times New Roman"/>
                <w:b w:val="0"/>
                <w:bCs/>
                <w:sz w:val="24"/>
                <w:highlight w:val="none"/>
                <w:lang w:eastAsia="zh-CN"/>
              </w:rPr>
              <w:t>；</w:t>
            </w:r>
            <w:r>
              <w:rPr>
                <w:rFonts w:hint="eastAsia" w:ascii="Times New Roman" w:hAnsi="Times New Roman" w:eastAsia="宋体" w:cs="Times New Roman"/>
                <w:b w:val="0"/>
                <w:bCs/>
                <w:sz w:val="24"/>
                <w:highlight w:val="none"/>
              </w:rPr>
              <w:t>颗粒物排放速率为</w:t>
            </w:r>
            <w:r>
              <w:rPr>
                <w:rFonts w:hint="eastAsia" w:cs="Times New Roman"/>
                <w:b w:val="0"/>
                <w:bCs/>
                <w:sz w:val="24"/>
                <w:highlight w:val="none"/>
                <w:lang w:val="en-US" w:eastAsia="zh-CN"/>
              </w:rPr>
              <w:t>0.018</w:t>
            </w:r>
            <w:r>
              <w:rPr>
                <w:rFonts w:hint="eastAsia" w:ascii="Times New Roman" w:hAnsi="Times New Roman" w:eastAsia="宋体" w:cs="Times New Roman"/>
                <w:b w:val="0"/>
                <w:bCs/>
                <w:sz w:val="24"/>
                <w:highlight w:val="none"/>
              </w:rPr>
              <w:t>kg/h，排放浓度为</w:t>
            </w:r>
            <w:r>
              <w:rPr>
                <w:rFonts w:hint="eastAsia" w:cs="Times New Roman"/>
                <w:b w:val="0"/>
                <w:bCs/>
                <w:sz w:val="24"/>
                <w:highlight w:val="none"/>
                <w:lang w:val="en-US" w:eastAsia="zh-CN"/>
              </w:rPr>
              <w:t>4.12</w:t>
            </w:r>
            <w:r>
              <w:rPr>
                <w:rFonts w:hint="eastAsia" w:ascii="Times New Roman" w:hAnsi="Times New Roman" w:eastAsia="宋体" w:cs="Times New Roman"/>
                <w:b w:val="0"/>
                <w:bCs/>
                <w:sz w:val="24"/>
                <w:highlight w:val="none"/>
              </w:rPr>
              <w:t>mg/m</w:t>
            </w:r>
            <w:r>
              <w:rPr>
                <w:rFonts w:hint="eastAsia" w:ascii="Times New Roman" w:hAnsi="Times New Roman" w:eastAsia="宋体" w:cs="Times New Roman"/>
                <w:b w:val="0"/>
                <w:bCs/>
                <w:sz w:val="24"/>
                <w:highlight w:val="none"/>
                <w:vertAlign w:val="superscript"/>
              </w:rPr>
              <w:t>3</w:t>
            </w:r>
            <w:r>
              <w:rPr>
                <w:rFonts w:hint="eastAsia" w:cs="Times New Roman"/>
                <w:b w:val="0"/>
                <w:bCs/>
                <w:sz w:val="24"/>
                <w:highlight w:val="none"/>
                <w:lang w:eastAsia="zh-CN"/>
              </w:rPr>
              <w:t>；</w:t>
            </w:r>
            <w:r>
              <w:rPr>
                <w:rFonts w:hint="eastAsia" w:ascii="Times New Roman" w:hAnsi="Times New Roman" w:eastAsia="宋体" w:cs="Times New Roman"/>
                <w:b w:val="0"/>
                <w:bCs/>
                <w:sz w:val="24"/>
                <w:highlight w:val="none"/>
              </w:rPr>
              <w:t>二氧化硫排放速率为</w:t>
            </w:r>
            <w:r>
              <w:rPr>
                <w:rFonts w:hint="eastAsia" w:cs="Times New Roman"/>
                <w:b w:val="0"/>
                <w:bCs/>
                <w:sz w:val="24"/>
                <w:highlight w:val="none"/>
                <w:lang w:val="en-US" w:eastAsia="zh-CN"/>
              </w:rPr>
              <w:t>0.032</w:t>
            </w:r>
            <w:r>
              <w:rPr>
                <w:rFonts w:hint="eastAsia" w:ascii="Times New Roman" w:hAnsi="Times New Roman" w:eastAsia="宋体" w:cs="Times New Roman"/>
                <w:b w:val="0"/>
                <w:bCs/>
                <w:sz w:val="24"/>
                <w:highlight w:val="none"/>
              </w:rPr>
              <w:t>kg/h，排放浓度</w:t>
            </w:r>
            <w:r>
              <w:rPr>
                <w:rFonts w:hint="eastAsia" w:cs="Times New Roman"/>
                <w:b w:val="0"/>
                <w:bCs/>
                <w:sz w:val="24"/>
                <w:highlight w:val="none"/>
                <w:lang w:val="en-US" w:eastAsia="zh-CN"/>
              </w:rPr>
              <w:t>7.33</w:t>
            </w:r>
            <w:r>
              <w:rPr>
                <w:rFonts w:hint="eastAsia" w:ascii="Times New Roman" w:hAnsi="Times New Roman" w:eastAsia="宋体" w:cs="Times New Roman"/>
                <w:b w:val="0"/>
                <w:bCs/>
                <w:sz w:val="24"/>
                <w:highlight w:val="none"/>
              </w:rPr>
              <w:t>mg/m</w:t>
            </w:r>
            <w:r>
              <w:rPr>
                <w:rFonts w:hint="eastAsia" w:ascii="Times New Roman" w:hAnsi="Times New Roman" w:eastAsia="宋体" w:cs="Times New Roman"/>
                <w:b w:val="0"/>
                <w:bCs/>
                <w:sz w:val="24"/>
                <w:highlight w:val="none"/>
                <w:vertAlign w:val="superscript"/>
              </w:rPr>
              <w:t>3</w:t>
            </w:r>
            <w:r>
              <w:rPr>
                <w:rFonts w:hint="eastAsia" w:ascii="Times New Roman" w:hAnsi="Times New Roman" w:eastAsia="宋体" w:cs="Times New Roman"/>
                <w:b w:val="0"/>
                <w:bCs/>
                <w:sz w:val="24"/>
                <w:highlight w:val="none"/>
              </w:rPr>
              <w:t>，烟气黑度</w:t>
            </w:r>
            <w:r>
              <w:rPr>
                <w:rFonts w:hint="default" w:ascii="Times New Roman" w:hAnsi="Times New Roman" w:eastAsia="宋体" w:cs="Times New Roman"/>
                <w:b w:val="0"/>
                <w:bCs/>
                <w:sz w:val="24"/>
                <w:highlight w:val="none"/>
              </w:rPr>
              <w:t>≤</w:t>
            </w:r>
            <w:r>
              <w:rPr>
                <w:rFonts w:hint="eastAsia" w:ascii="Times New Roman" w:hAnsi="Times New Roman" w:eastAsia="宋体" w:cs="Times New Roman"/>
                <w:b w:val="0"/>
                <w:bCs/>
                <w:sz w:val="24"/>
                <w:highlight w:val="none"/>
              </w:rPr>
              <w:t>1级。由发现低氮燃烧器损坏到锅炉停止运行，处理时间为30min，则颗粒物排放量为0.0</w:t>
            </w:r>
            <w:r>
              <w:rPr>
                <w:rFonts w:hint="eastAsia" w:cs="Times New Roman"/>
                <w:b w:val="0"/>
                <w:bCs/>
                <w:sz w:val="24"/>
                <w:highlight w:val="none"/>
                <w:lang w:val="en-US" w:eastAsia="zh-CN"/>
              </w:rPr>
              <w:t>09</w:t>
            </w:r>
            <w:r>
              <w:rPr>
                <w:rFonts w:hint="eastAsia" w:ascii="Times New Roman" w:hAnsi="Times New Roman" w:eastAsia="宋体" w:cs="Times New Roman"/>
                <w:b w:val="0"/>
                <w:bCs/>
                <w:sz w:val="24"/>
                <w:highlight w:val="none"/>
              </w:rPr>
              <w:t>kg/次，二氧化硫排放量为0.0</w:t>
            </w:r>
            <w:r>
              <w:rPr>
                <w:rFonts w:hint="eastAsia" w:cs="Times New Roman"/>
                <w:b w:val="0"/>
                <w:bCs/>
                <w:sz w:val="24"/>
                <w:highlight w:val="none"/>
                <w:lang w:val="en-US" w:eastAsia="zh-CN"/>
              </w:rPr>
              <w:t>16</w:t>
            </w:r>
            <w:r>
              <w:rPr>
                <w:rFonts w:hint="eastAsia" w:ascii="Times New Roman" w:hAnsi="Times New Roman" w:eastAsia="宋体" w:cs="Times New Roman"/>
                <w:b w:val="0"/>
                <w:bCs/>
                <w:sz w:val="24"/>
                <w:highlight w:val="none"/>
              </w:rPr>
              <w:t>kg/次，氮氧化物排放量为0.</w:t>
            </w:r>
            <w:r>
              <w:rPr>
                <w:rFonts w:hint="eastAsia" w:cs="Times New Roman"/>
                <w:b w:val="0"/>
                <w:bCs/>
                <w:sz w:val="24"/>
                <w:highlight w:val="none"/>
                <w:lang w:val="en-US" w:eastAsia="zh-CN"/>
              </w:rPr>
              <w:t>154</w:t>
            </w:r>
            <w:r>
              <w:rPr>
                <w:rFonts w:hint="eastAsia" w:ascii="Times New Roman" w:hAnsi="Times New Roman" w:eastAsia="宋体" w:cs="Times New Roman"/>
                <w:b w:val="0"/>
                <w:bCs/>
                <w:sz w:val="24"/>
                <w:highlight w:val="none"/>
              </w:rPr>
              <w:t>kg/次。</w:t>
            </w:r>
          </w:p>
          <w:p w14:paraId="16471156">
            <w:pPr>
              <w:spacing w:line="360" w:lineRule="auto"/>
              <w:ind w:firstLine="482"/>
              <w:rPr>
                <w:bCs/>
                <w:sz w:val="24"/>
                <w:highlight w:val="none"/>
              </w:rPr>
            </w:pPr>
            <w:r>
              <w:rPr>
                <w:rFonts w:hint="eastAsia"/>
                <w:bCs/>
                <w:sz w:val="24"/>
                <w:highlight w:val="none"/>
              </w:rPr>
              <w:t>大气污染物非正常排放情况如下表所示。</w:t>
            </w:r>
          </w:p>
          <w:p w14:paraId="2369305B">
            <w:pPr>
              <w:pStyle w:val="50"/>
              <w:numPr>
                <w:ilvl w:val="0"/>
                <w:numId w:val="11"/>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项目非正常排放情况分析表</w:t>
            </w:r>
          </w:p>
          <w:tbl>
            <w:tblPr>
              <w:tblStyle w:val="64"/>
              <w:tblW w:w="4991"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22"/>
              <w:gridCol w:w="1017"/>
              <w:gridCol w:w="944"/>
              <w:gridCol w:w="1639"/>
              <w:gridCol w:w="1384"/>
              <w:gridCol w:w="1013"/>
              <w:gridCol w:w="1533"/>
            </w:tblGrid>
            <w:tr w14:paraId="56557A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545" w:type="pct"/>
                  <w:vAlign w:val="center"/>
                </w:tcPr>
                <w:p w14:paraId="7F884974">
                  <w:pPr>
                    <w:pStyle w:val="74"/>
                    <w:widowControl w:val="0"/>
                    <w:rPr>
                      <w:rFonts w:hint="default"/>
                      <w:b/>
                      <w:bCs/>
                      <w:color w:val="auto"/>
                      <w:highlight w:val="none"/>
                    </w:rPr>
                  </w:pPr>
                  <w:r>
                    <w:rPr>
                      <w:b/>
                      <w:bCs/>
                      <w:color w:val="auto"/>
                      <w:highlight w:val="none"/>
                    </w:rPr>
                    <w:t>污染源名称</w:t>
                  </w:r>
                </w:p>
              </w:tc>
              <w:tc>
                <w:tcPr>
                  <w:tcW w:w="601" w:type="pct"/>
                  <w:vAlign w:val="center"/>
                </w:tcPr>
                <w:p w14:paraId="5B3894B4">
                  <w:pPr>
                    <w:pStyle w:val="74"/>
                    <w:widowControl w:val="0"/>
                    <w:rPr>
                      <w:rFonts w:hint="default"/>
                      <w:b/>
                      <w:bCs/>
                      <w:color w:val="auto"/>
                      <w:highlight w:val="none"/>
                    </w:rPr>
                  </w:pPr>
                  <w:r>
                    <w:rPr>
                      <w:b/>
                      <w:bCs/>
                      <w:color w:val="auto"/>
                      <w:highlight w:val="none"/>
                    </w:rPr>
                    <w:t>非正常原因</w:t>
                  </w:r>
                </w:p>
              </w:tc>
              <w:tc>
                <w:tcPr>
                  <w:tcW w:w="558" w:type="pct"/>
                  <w:vAlign w:val="center"/>
                </w:tcPr>
                <w:p w14:paraId="21F3E8F5">
                  <w:pPr>
                    <w:pStyle w:val="74"/>
                    <w:widowControl w:val="0"/>
                    <w:rPr>
                      <w:rFonts w:hint="default"/>
                      <w:b/>
                      <w:bCs/>
                      <w:color w:val="auto"/>
                      <w:highlight w:val="none"/>
                    </w:rPr>
                  </w:pPr>
                  <w:r>
                    <w:rPr>
                      <w:b/>
                      <w:bCs/>
                      <w:color w:val="auto"/>
                      <w:highlight w:val="none"/>
                    </w:rPr>
                    <w:t>评价因子</w:t>
                  </w:r>
                </w:p>
              </w:tc>
              <w:tc>
                <w:tcPr>
                  <w:tcW w:w="969" w:type="pct"/>
                  <w:vAlign w:val="center"/>
                </w:tcPr>
                <w:p w14:paraId="4FC9AB93">
                  <w:pPr>
                    <w:pStyle w:val="74"/>
                    <w:widowControl w:val="0"/>
                    <w:rPr>
                      <w:rFonts w:hint="default"/>
                      <w:b/>
                      <w:bCs/>
                      <w:color w:val="auto"/>
                      <w:highlight w:val="none"/>
                    </w:rPr>
                  </w:pPr>
                  <w:r>
                    <w:rPr>
                      <w:b/>
                      <w:bCs/>
                      <w:color w:val="auto"/>
                      <w:highlight w:val="none"/>
                    </w:rPr>
                    <w:t>非正常排放浓度</w:t>
                  </w:r>
                </w:p>
                <w:p w14:paraId="09159190">
                  <w:pPr>
                    <w:pStyle w:val="74"/>
                    <w:widowControl w:val="0"/>
                    <w:rPr>
                      <w:rFonts w:hint="default"/>
                      <w:b/>
                      <w:bCs/>
                      <w:color w:val="auto"/>
                      <w:highlight w:val="none"/>
                    </w:rPr>
                  </w:pPr>
                  <w:r>
                    <w:rPr>
                      <w:b/>
                      <w:bCs/>
                      <w:color w:val="auto"/>
                      <w:highlight w:val="none"/>
                    </w:rPr>
                    <w:t>（mg/m</w:t>
                  </w:r>
                  <w:r>
                    <w:rPr>
                      <w:b/>
                      <w:bCs/>
                      <w:color w:val="auto"/>
                      <w:highlight w:val="none"/>
                      <w:vertAlign w:val="superscript"/>
                    </w:rPr>
                    <w:t>3</w:t>
                  </w:r>
                  <w:r>
                    <w:rPr>
                      <w:b/>
                      <w:bCs/>
                      <w:color w:val="auto"/>
                      <w:highlight w:val="none"/>
                    </w:rPr>
                    <w:t>）</w:t>
                  </w:r>
                </w:p>
              </w:tc>
              <w:tc>
                <w:tcPr>
                  <w:tcW w:w="818" w:type="pct"/>
                  <w:vAlign w:val="center"/>
                </w:tcPr>
                <w:p w14:paraId="2DE34B22">
                  <w:pPr>
                    <w:pStyle w:val="74"/>
                    <w:widowControl w:val="0"/>
                    <w:rPr>
                      <w:rFonts w:hint="default"/>
                      <w:b/>
                      <w:bCs/>
                      <w:color w:val="auto"/>
                      <w:highlight w:val="none"/>
                    </w:rPr>
                  </w:pPr>
                  <w:r>
                    <w:rPr>
                      <w:b/>
                      <w:bCs/>
                      <w:color w:val="auto"/>
                      <w:highlight w:val="none"/>
                    </w:rPr>
                    <w:t>非正常排放速率（kg/h）</w:t>
                  </w:r>
                </w:p>
              </w:tc>
              <w:tc>
                <w:tcPr>
                  <w:tcW w:w="599" w:type="pct"/>
                  <w:vAlign w:val="center"/>
                </w:tcPr>
                <w:p w14:paraId="03EB768F">
                  <w:pPr>
                    <w:pStyle w:val="74"/>
                    <w:widowControl w:val="0"/>
                    <w:rPr>
                      <w:rFonts w:hint="default"/>
                      <w:b/>
                      <w:bCs/>
                      <w:color w:val="auto"/>
                      <w:highlight w:val="none"/>
                    </w:rPr>
                  </w:pPr>
                  <w:r>
                    <w:rPr>
                      <w:b/>
                      <w:bCs/>
                      <w:color w:val="auto"/>
                      <w:highlight w:val="none"/>
                    </w:rPr>
                    <w:t>单次持续时间h</w:t>
                  </w:r>
                </w:p>
              </w:tc>
              <w:tc>
                <w:tcPr>
                  <w:tcW w:w="906" w:type="pct"/>
                  <w:vAlign w:val="center"/>
                </w:tcPr>
                <w:p w14:paraId="70DA3F0E">
                  <w:pPr>
                    <w:pStyle w:val="74"/>
                    <w:widowControl w:val="0"/>
                    <w:rPr>
                      <w:rFonts w:hint="default"/>
                      <w:b/>
                      <w:bCs/>
                      <w:color w:val="auto"/>
                      <w:highlight w:val="none"/>
                    </w:rPr>
                  </w:pPr>
                  <w:r>
                    <w:rPr>
                      <w:b/>
                      <w:bCs/>
                      <w:color w:val="auto"/>
                      <w:highlight w:val="none"/>
                    </w:rPr>
                    <w:t>应对措施</w:t>
                  </w:r>
                </w:p>
              </w:tc>
            </w:tr>
            <w:tr w14:paraId="0A4349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545" w:type="pct"/>
                  <w:vMerge w:val="restart"/>
                  <w:vAlign w:val="center"/>
                </w:tcPr>
                <w:p w14:paraId="7F74714B">
                  <w:pPr>
                    <w:pStyle w:val="74"/>
                    <w:widowControl w:val="0"/>
                    <w:rPr>
                      <w:rFonts w:hint="default"/>
                      <w:color w:val="auto"/>
                      <w:highlight w:val="none"/>
                    </w:rPr>
                  </w:pPr>
                  <w:r>
                    <w:rPr>
                      <w:color w:val="auto"/>
                      <w:highlight w:val="none"/>
                    </w:rPr>
                    <w:t>锅炉</w:t>
                  </w:r>
                  <w:r>
                    <w:rPr>
                      <w:rFonts w:hint="eastAsia"/>
                      <w:color w:val="auto"/>
                      <w:highlight w:val="none"/>
                      <w:lang w:val="en-US" w:eastAsia="zh-CN"/>
                    </w:rPr>
                    <w:t>废气排气筒</w:t>
                  </w:r>
                  <w:r>
                    <w:rPr>
                      <w:color w:val="auto"/>
                      <w:highlight w:val="none"/>
                    </w:rPr>
                    <w:t>DA001</w:t>
                  </w:r>
                </w:p>
              </w:tc>
              <w:tc>
                <w:tcPr>
                  <w:tcW w:w="601" w:type="pct"/>
                  <w:vMerge w:val="restart"/>
                  <w:vAlign w:val="center"/>
                </w:tcPr>
                <w:p w14:paraId="0FAAB2CC">
                  <w:pPr>
                    <w:pStyle w:val="74"/>
                    <w:widowControl w:val="0"/>
                    <w:rPr>
                      <w:rFonts w:hint="default"/>
                      <w:color w:val="auto"/>
                      <w:highlight w:val="none"/>
                    </w:rPr>
                  </w:pPr>
                  <w:r>
                    <w:rPr>
                      <w:color w:val="auto"/>
                      <w:highlight w:val="none"/>
                    </w:rPr>
                    <w:t>污染物治理设施异常</w:t>
                  </w:r>
                </w:p>
              </w:tc>
              <w:tc>
                <w:tcPr>
                  <w:tcW w:w="558" w:type="pct"/>
                  <w:vAlign w:val="center"/>
                </w:tcPr>
                <w:p w14:paraId="68E23636">
                  <w:pPr>
                    <w:pStyle w:val="74"/>
                    <w:widowControl w:val="0"/>
                    <w:rPr>
                      <w:rFonts w:hint="default"/>
                      <w:color w:val="auto"/>
                      <w:highlight w:val="none"/>
                    </w:rPr>
                  </w:pPr>
                  <w:r>
                    <w:rPr>
                      <w:color w:val="auto"/>
                      <w:highlight w:val="none"/>
                    </w:rPr>
                    <w:t>颗粒物</w:t>
                  </w:r>
                </w:p>
              </w:tc>
              <w:tc>
                <w:tcPr>
                  <w:tcW w:w="969" w:type="pct"/>
                  <w:vAlign w:val="center"/>
                </w:tcPr>
                <w:p w14:paraId="4EAF07BE">
                  <w:pPr>
                    <w:pStyle w:val="74"/>
                    <w:widowControl w:val="0"/>
                    <w:rPr>
                      <w:rFonts w:hint="default" w:eastAsia="宋体"/>
                      <w:color w:val="auto"/>
                      <w:highlight w:val="none"/>
                      <w:lang w:val="en-US" w:eastAsia="zh-CN"/>
                    </w:rPr>
                  </w:pPr>
                  <w:r>
                    <w:rPr>
                      <w:rFonts w:hint="eastAsia"/>
                      <w:color w:val="auto"/>
                      <w:highlight w:val="none"/>
                      <w:lang w:val="en-US" w:eastAsia="zh-CN"/>
                    </w:rPr>
                    <w:t>4.12</w:t>
                  </w:r>
                </w:p>
              </w:tc>
              <w:tc>
                <w:tcPr>
                  <w:tcW w:w="818" w:type="pct"/>
                  <w:vAlign w:val="center"/>
                </w:tcPr>
                <w:p w14:paraId="6A3FB394">
                  <w:pPr>
                    <w:pStyle w:val="74"/>
                    <w:widowControl w:val="0"/>
                    <w:rPr>
                      <w:rFonts w:hint="eastAsia" w:eastAsia="宋体"/>
                      <w:color w:val="auto"/>
                      <w:highlight w:val="none"/>
                      <w:lang w:val="en-US" w:eastAsia="zh-CN"/>
                    </w:rPr>
                  </w:pPr>
                  <w:r>
                    <w:rPr>
                      <w:color w:val="auto"/>
                      <w:highlight w:val="none"/>
                    </w:rPr>
                    <w:t>0.01</w:t>
                  </w:r>
                  <w:r>
                    <w:rPr>
                      <w:rFonts w:hint="eastAsia"/>
                      <w:color w:val="auto"/>
                      <w:highlight w:val="none"/>
                      <w:lang w:val="en-US" w:eastAsia="zh-CN"/>
                    </w:rPr>
                    <w:t>8</w:t>
                  </w:r>
                </w:p>
              </w:tc>
              <w:tc>
                <w:tcPr>
                  <w:tcW w:w="599" w:type="pct"/>
                  <w:vAlign w:val="center"/>
                </w:tcPr>
                <w:p w14:paraId="6B8CF410">
                  <w:pPr>
                    <w:pStyle w:val="74"/>
                    <w:widowControl w:val="0"/>
                    <w:rPr>
                      <w:rFonts w:hint="default"/>
                      <w:color w:val="auto"/>
                      <w:highlight w:val="none"/>
                    </w:rPr>
                  </w:pPr>
                  <w:r>
                    <w:rPr>
                      <w:color w:val="auto"/>
                      <w:highlight w:val="none"/>
                    </w:rPr>
                    <w:t>0.5</w:t>
                  </w:r>
                </w:p>
              </w:tc>
              <w:tc>
                <w:tcPr>
                  <w:tcW w:w="906" w:type="pct"/>
                  <w:vMerge w:val="restart"/>
                  <w:vAlign w:val="center"/>
                </w:tcPr>
                <w:p w14:paraId="3CB2FB86">
                  <w:pPr>
                    <w:pStyle w:val="74"/>
                    <w:widowControl w:val="0"/>
                    <w:rPr>
                      <w:rFonts w:hint="default"/>
                      <w:color w:val="auto"/>
                      <w:highlight w:val="none"/>
                    </w:rPr>
                  </w:pPr>
                  <w:r>
                    <w:rPr>
                      <w:color w:val="auto"/>
                      <w:highlight w:val="none"/>
                    </w:rPr>
                    <w:t>关闭生产设备，维修废气治理设施</w:t>
                  </w:r>
                </w:p>
              </w:tc>
            </w:tr>
            <w:tr w14:paraId="5ABE4D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545" w:type="pct"/>
                  <w:vMerge w:val="continue"/>
                  <w:vAlign w:val="center"/>
                </w:tcPr>
                <w:p w14:paraId="27E1AC2B">
                  <w:pPr>
                    <w:pStyle w:val="74"/>
                    <w:widowControl w:val="0"/>
                    <w:rPr>
                      <w:rFonts w:hint="default"/>
                      <w:color w:val="auto"/>
                      <w:highlight w:val="none"/>
                    </w:rPr>
                  </w:pPr>
                </w:p>
              </w:tc>
              <w:tc>
                <w:tcPr>
                  <w:tcW w:w="601" w:type="pct"/>
                  <w:vMerge w:val="continue"/>
                  <w:vAlign w:val="center"/>
                </w:tcPr>
                <w:p w14:paraId="4B346A5D">
                  <w:pPr>
                    <w:pStyle w:val="74"/>
                    <w:widowControl w:val="0"/>
                    <w:rPr>
                      <w:rFonts w:hint="default"/>
                      <w:color w:val="auto"/>
                      <w:highlight w:val="none"/>
                    </w:rPr>
                  </w:pPr>
                </w:p>
              </w:tc>
              <w:tc>
                <w:tcPr>
                  <w:tcW w:w="558" w:type="pct"/>
                  <w:vAlign w:val="center"/>
                </w:tcPr>
                <w:p w14:paraId="40684649">
                  <w:pPr>
                    <w:pStyle w:val="74"/>
                    <w:widowControl w:val="0"/>
                    <w:rPr>
                      <w:rFonts w:hint="default"/>
                      <w:color w:val="auto"/>
                      <w:highlight w:val="none"/>
                    </w:rPr>
                  </w:pPr>
                  <w:r>
                    <w:rPr>
                      <w:color w:val="auto"/>
                      <w:highlight w:val="none"/>
                    </w:rPr>
                    <w:t>二氧化硫</w:t>
                  </w:r>
                </w:p>
              </w:tc>
              <w:tc>
                <w:tcPr>
                  <w:tcW w:w="969" w:type="pct"/>
                  <w:vAlign w:val="center"/>
                </w:tcPr>
                <w:p w14:paraId="01916C9E">
                  <w:pPr>
                    <w:pStyle w:val="74"/>
                    <w:widowControl w:val="0"/>
                    <w:rPr>
                      <w:rFonts w:hint="default" w:eastAsia="宋体"/>
                      <w:color w:val="auto"/>
                      <w:highlight w:val="none"/>
                      <w:lang w:val="en-US" w:eastAsia="zh-CN"/>
                    </w:rPr>
                  </w:pPr>
                  <w:r>
                    <w:rPr>
                      <w:rFonts w:hint="eastAsia"/>
                      <w:color w:val="auto"/>
                      <w:highlight w:val="none"/>
                      <w:lang w:val="en-US" w:eastAsia="zh-CN"/>
                    </w:rPr>
                    <w:t>7.33</w:t>
                  </w:r>
                </w:p>
              </w:tc>
              <w:tc>
                <w:tcPr>
                  <w:tcW w:w="818" w:type="pct"/>
                  <w:vAlign w:val="center"/>
                </w:tcPr>
                <w:p w14:paraId="719B5BDC">
                  <w:pPr>
                    <w:pStyle w:val="74"/>
                    <w:widowControl w:val="0"/>
                    <w:rPr>
                      <w:rFonts w:hint="default" w:eastAsia="宋体"/>
                      <w:color w:val="auto"/>
                      <w:highlight w:val="none"/>
                      <w:lang w:val="en-US" w:eastAsia="zh-CN"/>
                    </w:rPr>
                  </w:pPr>
                  <w:r>
                    <w:rPr>
                      <w:rFonts w:hint="eastAsia"/>
                      <w:color w:val="auto"/>
                      <w:highlight w:val="none"/>
                      <w:lang w:val="en-US" w:eastAsia="zh-CN"/>
                    </w:rPr>
                    <w:t>0.032</w:t>
                  </w:r>
                </w:p>
              </w:tc>
              <w:tc>
                <w:tcPr>
                  <w:tcW w:w="599" w:type="pct"/>
                  <w:vAlign w:val="center"/>
                </w:tcPr>
                <w:p w14:paraId="40A75AA8">
                  <w:pPr>
                    <w:pStyle w:val="74"/>
                    <w:widowControl w:val="0"/>
                    <w:rPr>
                      <w:rFonts w:hint="default"/>
                      <w:color w:val="auto"/>
                      <w:highlight w:val="none"/>
                    </w:rPr>
                  </w:pPr>
                  <w:r>
                    <w:rPr>
                      <w:color w:val="auto"/>
                      <w:highlight w:val="none"/>
                    </w:rPr>
                    <w:t>0.5</w:t>
                  </w:r>
                </w:p>
              </w:tc>
              <w:tc>
                <w:tcPr>
                  <w:tcW w:w="906" w:type="pct"/>
                  <w:vMerge w:val="continue"/>
                  <w:vAlign w:val="center"/>
                </w:tcPr>
                <w:p w14:paraId="4E4915F4">
                  <w:pPr>
                    <w:pStyle w:val="74"/>
                    <w:widowControl w:val="0"/>
                    <w:rPr>
                      <w:rFonts w:hint="default"/>
                      <w:color w:val="auto"/>
                      <w:highlight w:val="none"/>
                    </w:rPr>
                  </w:pPr>
                </w:p>
              </w:tc>
            </w:tr>
            <w:tr w14:paraId="65E0E2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545" w:type="pct"/>
                  <w:vMerge w:val="continue"/>
                  <w:vAlign w:val="center"/>
                </w:tcPr>
                <w:p w14:paraId="616EFE7D">
                  <w:pPr>
                    <w:pStyle w:val="74"/>
                    <w:widowControl w:val="0"/>
                    <w:rPr>
                      <w:rFonts w:hint="default"/>
                      <w:color w:val="auto"/>
                      <w:highlight w:val="none"/>
                    </w:rPr>
                  </w:pPr>
                </w:p>
              </w:tc>
              <w:tc>
                <w:tcPr>
                  <w:tcW w:w="601" w:type="pct"/>
                  <w:vMerge w:val="continue"/>
                  <w:vAlign w:val="center"/>
                </w:tcPr>
                <w:p w14:paraId="5706CA3C">
                  <w:pPr>
                    <w:pStyle w:val="74"/>
                    <w:widowControl w:val="0"/>
                    <w:rPr>
                      <w:rFonts w:hint="default"/>
                      <w:color w:val="auto"/>
                      <w:highlight w:val="none"/>
                    </w:rPr>
                  </w:pPr>
                </w:p>
              </w:tc>
              <w:tc>
                <w:tcPr>
                  <w:tcW w:w="558" w:type="pct"/>
                  <w:vAlign w:val="center"/>
                </w:tcPr>
                <w:p w14:paraId="175E6ECF">
                  <w:pPr>
                    <w:pStyle w:val="74"/>
                    <w:widowControl w:val="0"/>
                    <w:rPr>
                      <w:rFonts w:hint="default"/>
                      <w:color w:val="auto"/>
                      <w:highlight w:val="none"/>
                    </w:rPr>
                  </w:pPr>
                  <w:r>
                    <w:rPr>
                      <w:color w:val="auto"/>
                      <w:highlight w:val="none"/>
                    </w:rPr>
                    <w:t>氮氧化物</w:t>
                  </w:r>
                </w:p>
              </w:tc>
              <w:tc>
                <w:tcPr>
                  <w:tcW w:w="969" w:type="pct"/>
                  <w:vAlign w:val="center"/>
                </w:tcPr>
                <w:p w14:paraId="2A229ACE">
                  <w:pPr>
                    <w:pStyle w:val="74"/>
                    <w:widowControl w:val="0"/>
                    <w:rPr>
                      <w:rFonts w:hint="default" w:eastAsia="宋体"/>
                      <w:color w:val="auto"/>
                      <w:highlight w:val="none"/>
                      <w:lang w:val="en-US" w:eastAsia="zh-CN"/>
                    </w:rPr>
                  </w:pPr>
                  <w:r>
                    <w:rPr>
                      <w:rFonts w:hint="eastAsia"/>
                      <w:color w:val="auto"/>
                      <w:highlight w:val="none"/>
                      <w:lang w:val="en-US" w:eastAsia="zh-CN"/>
                    </w:rPr>
                    <w:t>70.34</w:t>
                  </w:r>
                </w:p>
              </w:tc>
              <w:tc>
                <w:tcPr>
                  <w:tcW w:w="818" w:type="pct"/>
                  <w:vAlign w:val="center"/>
                </w:tcPr>
                <w:p w14:paraId="3CF0B494">
                  <w:pPr>
                    <w:pStyle w:val="74"/>
                    <w:widowControl w:val="0"/>
                    <w:rPr>
                      <w:rFonts w:hint="default" w:eastAsia="宋体"/>
                      <w:color w:val="auto"/>
                      <w:highlight w:val="none"/>
                      <w:lang w:val="en-US" w:eastAsia="zh-CN"/>
                    </w:rPr>
                  </w:pPr>
                  <w:r>
                    <w:rPr>
                      <w:rFonts w:hint="eastAsia"/>
                      <w:color w:val="auto"/>
                      <w:highlight w:val="none"/>
                      <w:lang w:val="en-US" w:eastAsia="zh-CN"/>
                    </w:rPr>
                    <w:t>0.307</w:t>
                  </w:r>
                </w:p>
              </w:tc>
              <w:tc>
                <w:tcPr>
                  <w:tcW w:w="599" w:type="pct"/>
                  <w:vAlign w:val="center"/>
                </w:tcPr>
                <w:p w14:paraId="1B80C412">
                  <w:pPr>
                    <w:pStyle w:val="74"/>
                    <w:widowControl w:val="0"/>
                    <w:rPr>
                      <w:rFonts w:hint="default"/>
                      <w:color w:val="auto"/>
                      <w:highlight w:val="none"/>
                    </w:rPr>
                  </w:pPr>
                  <w:r>
                    <w:rPr>
                      <w:color w:val="auto"/>
                      <w:highlight w:val="none"/>
                    </w:rPr>
                    <w:t>0.5</w:t>
                  </w:r>
                </w:p>
              </w:tc>
              <w:tc>
                <w:tcPr>
                  <w:tcW w:w="906" w:type="pct"/>
                  <w:vMerge w:val="continue"/>
                  <w:vAlign w:val="center"/>
                </w:tcPr>
                <w:p w14:paraId="0005D081">
                  <w:pPr>
                    <w:pStyle w:val="74"/>
                    <w:widowControl w:val="0"/>
                    <w:rPr>
                      <w:rFonts w:hint="default"/>
                      <w:color w:val="auto"/>
                      <w:highlight w:val="none"/>
                    </w:rPr>
                  </w:pPr>
                </w:p>
              </w:tc>
            </w:tr>
            <w:tr w14:paraId="7B3F8A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545" w:type="pct"/>
                  <w:vMerge w:val="continue"/>
                  <w:vAlign w:val="center"/>
                </w:tcPr>
                <w:p w14:paraId="5E0A419A">
                  <w:pPr>
                    <w:pStyle w:val="74"/>
                    <w:widowControl w:val="0"/>
                    <w:rPr>
                      <w:rFonts w:hint="default"/>
                      <w:color w:val="auto"/>
                      <w:highlight w:val="none"/>
                    </w:rPr>
                  </w:pPr>
                </w:p>
              </w:tc>
              <w:tc>
                <w:tcPr>
                  <w:tcW w:w="601" w:type="pct"/>
                  <w:vMerge w:val="continue"/>
                  <w:vAlign w:val="center"/>
                </w:tcPr>
                <w:p w14:paraId="7E0E0789">
                  <w:pPr>
                    <w:pStyle w:val="74"/>
                    <w:widowControl w:val="0"/>
                    <w:rPr>
                      <w:rFonts w:hint="default"/>
                      <w:color w:val="auto"/>
                      <w:highlight w:val="none"/>
                    </w:rPr>
                  </w:pPr>
                </w:p>
              </w:tc>
              <w:tc>
                <w:tcPr>
                  <w:tcW w:w="558" w:type="pct"/>
                  <w:vAlign w:val="center"/>
                </w:tcPr>
                <w:p w14:paraId="0358A21E">
                  <w:pPr>
                    <w:pStyle w:val="74"/>
                    <w:widowControl w:val="0"/>
                    <w:rPr>
                      <w:rFonts w:hint="default"/>
                      <w:color w:val="auto"/>
                      <w:highlight w:val="none"/>
                    </w:rPr>
                  </w:pPr>
                  <w:r>
                    <w:rPr>
                      <w:color w:val="auto"/>
                      <w:highlight w:val="none"/>
                    </w:rPr>
                    <w:t>烟气黑度</w:t>
                  </w:r>
                </w:p>
              </w:tc>
              <w:tc>
                <w:tcPr>
                  <w:tcW w:w="969" w:type="pct"/>
                  <w:vAlign w:val="center"/>
                </w:tcPr>
                <w:p w14:paraId="0A6D7E93">
                  <w:pPr>
                    <w:pStyle w:val="74"/>
                    <w:widowControl w:val="0"/>
                    <w:rPr>
                      <w:rFonts w:hint="default"/>
                      <w:color w:val="auto"/>
                      <w:highlight w:val="none"/>
                    </w:rPr>
                  </w:pPr>
                  <w:r>
                    <w:rPr>
                      <w:color w:val="auto"/>
                      <w:highlight w:val="none"/>
                    </w:rPr>
                    <w:t>≤1级</w:t>
                  </w:r>
                </w:p>
              </w:tc>
              <w:tc>
                <w:tcPr>
                  <w:tcW w:w="818" w:type="pct"/>
                  <w:vAlign w:val="center"/>
                </w:tcPr>
                <w:p w14:paraId="568B989F">
                  <w:pPr>
                    <w:pStyle w:val="74"/>
                    <w:widowControl w:val="0"/>
                    <w:rPr>
                      <w:rFonts w:hint="default"/>
                      <w:color w:val="auto"/>
                      <w:highlight w:val="none"/>
                    </w:rPr>
                  </w:pPr>
                  <w:r>
                    <w:rPr>
                      <w:color w:val="auto"/>
                      <w:highlight w:val="none"/>
                    </w:rPr>
                    <w:t>/</w:t>
                  </w:r>
                </w:p>
              </w:tc>
              <w:tc>
                <w:tcPr>
                  <w:tcW w:w="599" w:type="pct"/>
                  <w:vAlign w:val="center"/>
                </w:tcPr>
                <w:p w14:paraId="236DD9D2">
                  <w:pPr>
                    <w:pStyle w:val="74"/>
                    <w:widowControl w:val="0"/>
                    <w:rPr>
                      <w:rFonts w:hint="default"/>
                      <w:color w:val="auto"/>
                      <w:highlight w:val="none"/>
                    </w:rPr>
                  </w:pPr>
                  <w:r>
                    <w:rPr>
                      <w:color w:val="auto"/>
                      <w:highlight w:val="none"/>
                    </w:rPr>
                    <w:t>0.5</w:t>
                  </w:r>
                </w:p>
              </w:tc>
              <w:tc>
                <w:tcPr>
                  <w:tcW w:w="906" w:type="pct"/>
                  <w:vMerge w:val="continue"/>
                  <w:vAlign w:val="center"/>
                </w:tcPr>
                <w:p w14:paraId="6AACBC7F">
                  <w:pPr>
                    <w:pStyle w:val="74"/>
                    <w:widowControl w:val="0"/>
                    <w:rPr>
                      <w:rFonts w:hint="default"/>
                      <w:color w:val="auto"/>
                      <w:highlight w:val="none"/>
                    </w:rPr>
                  </w:pPr>
                </w:p>
              </w:tc>
            </w:tr>
          </w:tbl>
          <w:p w14:paraId="57F5CDEB">
            <w:pPr>
              <w:spacing w:before="120" w:beforeLines="50" w:line="360" w:lineRule="auto"/>
              <w:ind w:firstLine="482"/>
              <w:rPr>
                <w:b/>
                <w:sz w:val="24"/>
                <w:highlight w:val="none"/>
              </w:rPr>
            </w:pPr>
            <w:r>
              <w:rPr>
                <w:rFonts w:hint="eastAsia"/>
                <w:b/>
                <w:sz w:val="24"/>
                <w:highlight w:val="none"/>
              </w:rPr>
              <w:t>（</w:t>
            </w:r>
            <w:r>
              <w:rPr>
                <w:b/>
                <w:sz w:val="24"/>
                <w:highlight w:val="none"/>
              </w:rPr>
              <w:t>8</w:t>
            </w:r>
            <w:r>
              <w:rPr>
                <w:rFonts w:hint="eastAsia"/>
                <w:b/>
                <w:sz w:val="24"/>
                <w:highlight w:val="none"/>
              </w:rPr>
              <w:t>）大气环境影响分析结论</w:t>
            </w:r>
          </w:p>
          <w:p w14:paraId="0BE98BCA">
            <w:pPr>
              <w:spacing w:line="360" w:lineRule="auto"/>
              <w:ind w:firstLine="480"/>
              <w:rPr>
                <w:sz w:val="24"/>
                <w:highlight w:val="none"/>
              </w:rPr>
            </w:pPr>
            <w:r>
              <w:rPr>
                <w:rFonts w:hint="eastAsia"/>
                <w:sz w:val="24"/>
                <w:highlight w:val="none"/>
              </w:rPr>
              <w:t>经上述分析、计算，通过采用各项大气污染防范措施，项目排气筒、厂界颗粒物的排放均符合达标排放要求，对周边环境影响程度较轻，项目产生的大气环境影响可接受。</w:t>
            </w:r>
          </w:p>
          <w:p w14:paraId="19A46893">
            <w:pPr>
              <w:spacing w:line="360" w:lineRule="auto"/>
              <w:ind w:firstLine="482"/>
              <w:rPr>
                <w:b/>
                <w:sz w:val="24"/>
                <w:highlight w:val="none"/>
              </w:rPr>
            </w:pPr>
            <w:r>
              <w:rPr>
                <w:b/>
                <w:sz w:val="24"/>
                <w:highlight w:val="none"/>
              </w:rPr>
              <w:t>2．</w:t>
            </w:r>
            <w:r>
              <w:rPr>
                <w:rFonts w:hint="eastAsia"/>
                <w:b/>
                <w:sz w:val="24"/>
                <w:highlight w:val="none"/>
              </w:rPr>
              <w:t>水环境影响和保护措施</w:t>
            </w:r>
          </w:p>
          <w:p w14:paraId="267E901C">
            <w:pPr>
              <w:spacing w:line="360" w:lineRule="auto"/>
              <w:ind w:firstLine="480"/>
              <w:rPr>
                <w:b/>
                <w:bCs/>
                <w:sz w:val="24"/>
                <w:highlight w:val="none"/>
              </w:rPr>
            </w:pPr>
            <w:r>
              <w:rPr>
                <w:b/>
                <w:bCs/>
                <w:sz w:val="24"/>
                <w:highlight w:val="none"/>
              </w:rPr>
              <w:t>（1）废水产生情况</w:t>
            </w:r>
          </w:p>
          <w:p w14:paraId="606B3F50">
            <w:pPr>
              <w:spacing w:line="360" w:lineRule="auto"/>
              <w:ind w:firstLine="480"/>
              <w:rPr>
                <w:sz w:val="24"/>
                <w:highlight w:val="none"/>
              </w:rPr>
            </w:pPr>
            <w:r>
              <w:rPr>
                <w:sz w:val="24"/>
                <w:highlight w:val="none"/>
              </w:rPr>
              <w:t>项目废水主要为</w:t>
            </w:r>
            <w:r>
              <w:rPr>
                <w:rFonts w:hint="eastAsia"/>
                <w:sz w:val="24"/>
                <w:highlight w:val="none"/>
                <w:lang w:val="en-US" w:eastAsia="zh-CN"/>
              </w:rPr>
              <w:t>锅炉废水和离子树脂反冲洗废水</w:t>
            </w:r>
            <w:r>
              <w:rPr>
                <w:sz w:val="24"/>
                <w:highlight w:val="none"/>
              </w:rPr>
              <w:t>。</w:t>
            </w:r>
          </w:p>
          <w:p w14:paraId="23756200">
            <w:pPr>
              <w:spacing w:line="360" w:lineRule="auto"/>
              <w:ind w:firstLine="480"/>
              <w:rPr>
                <w:rFonts w:hint="eastAsia"/>
                <w:sz w:val="24"/>
                <w:highlight w:val="none"/>
              </w:rPr>
            </w:pPr>
            <w:r>
              <w:rPr>
                <w:rFonts w:hint="eastAsia" w:ascii="Times New Roman" w:hAnsi="Times New Roman" w:eastAsia="宋体" w:cs="Times New Roman"/>
                <w:sz w:val="24"/>
                <w:highlight w:val="none"/>
              </w:rPr>
              <w:t>锅炉</w:t>
            </w:r>
            <w:r>
              <w:rPr>
                <w:rFonts w:hint="eastAsia" w:cs="Times New Roman"/>
                <w:sz w:val="24"/>
                <w:highlight w:val="none"/>
                <w:lang w:val="en-US" w:eastAsia="zh-CN"/>
              </w:rPr>
              <w:t>废水</w:t>
            </w:r>
            <w:r>
              <w:rPr>
                <w:rFonts w:hint="eastAsia" w:ascii="Times New Roman" w:hAnsi="Times New Roman" w:eastAsia="宋体" w:cs="Times New Roman"/>
                <w:sz w:val="24"/>
                <w:highlight w:val="none"/>
              </w:rPr>
              <w:t>量为</w:t>
            </w:r>
            <w:r>
              <w:rPr>
                <w:rFonts w:hint="eastAsia" w:cs="Times New Roman"/>
                <w:sz w:val="24"/>
                <w:highlight w:val="none"/>
                <w:lang w:val="en-US" w:eastAsia="zh-CN"/>
              </w:rPr>
              <w:t>2.4m</w:t>
            </w:r>
            <w:r>
              <w:rPr>
                <w:rFonts w:hint="eastAsia" w:cs="Times New Roman"/>
                <w:sz w:val="24"/>
                <w:highlight w:val="none"/>
                <w:vertAlign w:val="superscript"/>
                <w:lang w:val="en-US" w:eastAsia="zh-CN"/>
              </w:rPr>
              <w:t>3</w:t>
            </w:r>
            <w:r>
              <w:rPr>
                <w:rFonts w:hint="eastAsia" w:ascii="Times New Roman" w:hAnsi="Times New Roman" w:eastAsia="宋体" w:cs="Times New Roman"/>
                <w:sz w:val="24"/>
                <w:highlight w:val="none"/>
              </w:rPr>
              <w:t>/d（</w:t>
            </w:r>
            <w:r>
              <w:rPr>
                <w:rFonts w:hint="eastAsia" w:ascii="Times New Roman" w:hAnsi="Times New Roman" w:eastAsia="宋体" w:cs="Times New Roman"/>
                <w:sz w:val="24"/>
                <w:highlight w:val="none"/>
                <w:lang w:val="en-US" w:eastAsia="zh-CN"/>
              </w:rPr>
              <w:t>216</w:t>
            </w:r>
            <w:r>
              <w:rPr>
                <w:rFonts w:hint="eastAsia" w:cs="Times New Roman"/>
                <w:sz w:val="24"/>
                <w:highlight w:val="none"/>
                <w:lang w:val="en-US" w:eastAsia="zh-CN"/>
              </w:rPr>
              <w:t>m</w:t>
            </w:r>
            <w:r>
              <w:rPr>
                <w:rFonts w:hint="eastAsia" w:cs="Times New Roman"/>
                <w:sz w:val="24"/>
                <w:highlight w:val="none"/>
                <w:vertAlign w:val="superscript"/>
                <w:lang w:val="en-US" w:eastAsia="zh-CN"/>
              </w:rPr>
              <w:t>3</w:t>
            </w:r>
            <w:r>
              <w:rPr>
                <w:rFonts w:hint="eastAsia" w:ascii="Times New Roman" w:hAnsi="Times New Roman" w:eastAsia="宋体" w:cs="Times New Roman"/>
                <w:sz w:val="24"/>
                <w:highlight w:val="none"/>
              </w:rPr>
              <w:t>/a）</w:t>
            </w:r>
            <w:r>
              <w:rPr>
                <w:rFonts w:hint="eastAsia" w:ascii="Times New Roman" w:hAnsi="Times New Roman" w:eastAsia="宋体" w:cs="Times New Roman"/>
                <w:sz w:val="24"/>
                <w:highlight w:val="none"/>
                <w:lang w:eastAsia="zh-CN"/>
              </w:rPr>
              <w:t>，</w:t>
            </w:r>
            <w:r>
              <w:rPr>
                <w:rFonts w:hint="eastAsia" w:ascii="Times New Roman" w:hAnsi="Times New Roman" w:eastAsia="宋体" w:cs="Times New Roman"/>
                <w:sz w:val="24"/>
                <w:highlight w:val="none"/>
                <w:lang w:val="en-US" w:eastAsia="zh-CN"/>
              </w:rPr>
              <w:t>离子交换树脂反冲洗废水量为</w:t>
            </w:r>
            <w:r>
              <w:rPr>
                <w:rFonts w:hint="eastAsia" w:ascii="Times New Roman" w:hAnsi="Times New Roman" w:eastAsia="宋体" w:cs="Times New Roman"/>
                <w:sz w:val="24"/>
                <w:highlight w:val="none"/>
              </w:rPr>
              <w:t>0.0</w:t>
            </w:r>
            <w:r>
              <w:rPr>
                <w:rFonts w:hint="eastAsia" w:ascii="Times New Roman" w:hAnsi="Times New Roman" w:eastAsia="宋体" w:cs="Times New Roman"/>
                <w:sz w:val="24"/>
                <w:highlight w:val="none"/>
                <w:lang w:val="en-US" w:eastAsia="zh-CN"/>
              </w:rPr>
              <w:t>26</w:t>
            </w:r>
            <w:r>
              <w:rPr>
                <w:rFonts w:hint="eastAsia" w:cs="Times New Roman"/>
                <w:sz w:val="24"/>
                <w:highlight w:val="none"/>
                <w:lang w:val="en-US" w:eastAsia="zh-CN"/>
              </w:rPr>
              <w:t>m</w:t>
            </w:r>
            <w:r>
              <w:rPr>
                <w:rFonts w:hint="eastAsia" w:cs="Times New Roman"/>
                <w:sz w:val="24"/>
                <w:highlight w:val="none"/>
                <w:vertAlign w:val="superscript"/>
                <w:lang w:val="en-US" w:eastAsia="zh-CN"/>
              </w:rPr>
              <w:t>3</w:t>
            </w:r>
            <w:r>
              <w:rPr>
                <w:rFonts w:hint="eastAsia" w:ascii="Times New Roman" w:hAnsi="Times New Roman" w:eastAsia="宋体" w:cs="Times New Roman"/>
                <w:sz w:val="24"/>
                <w:highlight w:val="none"/>
              </w:rPr>
              <w:t>/d（</w:t>
            </w:r>
            <w:r>
              <w:rPr>
                <w:rFonts w:hint="eastAsia" w:ascii="Times New Roman" w:hAnsi="Times New Roman" w:eastAsia="宋体" w:cs="Times New Roman"/>
                <w:sz w:val="24"/>
                <w:highlight w:val="none"/>
                <w:lang w:val="en-US" w:eastAsia="zh-CN"/>
              </w:rPr>
              <w:t>2.38</w:t>
            </w:r>
            <w:r>
              <w:rPr>
                <w:rFonts w:hint="eastAsia" w:cs="Times New Roman"/>
                <w:sz w:val="24"/>
                <w:highlight w:val="none"/>
                <w:lang w:val="en-US" w:eastAsia="zh-CN"/>
              </w:rPr>
              <w:t>m</w:t>
            </w:r>
            <w:r>
              <w:rPr>
                <w:rFonts w:hint="eastAsia" w:cs="Times New Roman"/>
                <w:sz w:val="24"/>
                <w:highlight w:val="none"/>
                <w:vertAlign w:val="superscript"/>
                <w:lang w:val="en-US" w:eastAsia="zh-CN"/>
              </w:rPr>
              <w:t>3</w:t>
            </w:r>
            <w:r>
              <w:rPr>
                <w:rFonts w:hint="eastAsia" w:ascii="Times New Roman" w:hAnsi="Times New Roman" w:eastAsia="宋体" w:cs="Times New Roman"/>
                <w:sz w:val="24"/>
                <w:highlight w:val="none"/>
              </w:rPr>
              <w:t>/a）</w:t>
            </w:r>
            <w:r>
              <w:rPr>
                <w:rFonts w:hint="eastAsia" w:cs="Times New Roman"/>
                <w:sz w:val="24"/>
                <w:highlight w:val="none"/>
                <w:lang w:eastAsia="zh-CN"/>
              </w:rPr>
              <w:t>，</w:t>
            </w:r>
            <w:r>
              <w:rPr>
                <w:rFonts w:hint="eastAsia"/>
                <w:sz w:val="24"/>
                <w:highlight w:val="none"/>
              </w:rPr>
              <w:t>项目废水总</w:t>
            </w:r>
            <w:r>
              <w:rPr>
                <w:rFonts w:hint="eastAsia"/>
                <w:sz w:val="24"/>
                <w:highlight w:val="none"/>
                <w:lang w:val="en-US" w:eastAsia="zh-CN"/>
              </w:rPr>
              <w:t>计</w:t>
            </w:r>
            <w:r>
              <w:rPr>
                <w:rFonts w:hint="eastAsia"/>
                <w:sz w:val="24"/>
                <w:highlight w:val="none"/>
              </w:rPr>
              <w:t>为</w:t>
            </w:r>
            <w:r>
              <w:rPr>
                <w:rFonts w:hint="eastAsia"/>
                <w:sz w:val="24"/>
                <w:highlight w:val="none"/>
                <w:lang w:val="en-US" w:eastAsia="zh-CN"/>
              </w:rPr>
              <w:t>2.426</w:t>
            </w:r>
            <w:r>
              <w:rPr>
                <w:sz w:val="24"/>
                <w:highlight w:val="none"/>
              </w:rPr>
              <w:t>m</w:t>
            </w:r>
            <w:r>
              <w:rPr>
                <w:sz w:val="24"/>
                <w:highlight w:val="none"/>
                <w:vertAlign w:val="superscript"/>
              </w:rPr>
              <w:t>3</w:t>
            </w:r>
            <w:r>
              <w:rPr>
                <w:sz w:val="24"/>
                <w:highlight w:val="none"/>
              </w:rPr>
              <w:t>/d</w:t>
            </w:r>
            <w:r>
              <w:rPr>
                <w:rFonts w:hint="eastAsia"/>
                <w:sz w:val="24"/>
                <w:highlight w:val="none"/>
              </w:rPr>
              <w:t>（</w:t>
            </w:r>
            <w:r>
              <w:rPr>
                <w:rFonts w:hint="eastAsia"/>
                <w:sz w:val="24"/>
                <w:highlight w:val="none"/>
                <w:lang w:val="en-US" w:eastAsia="zh-CN"/>
              </w:rPr>
              <w:t>218.38</w:t>
            </w:r>
            <w:r>
              <w:rPr>
                <w:rFonts w:hint="eastAsia" w:cs="Times New Roman"/>
                <w:sz w:val="24"/>
                <w:highlight w:val="none"/>
                <w:lang w:val="en-US" w:eastAsia="zh-CN"/>
              </w:rPr>
              <w:t>m</w:t>
            </w:r>
            <w:r>
              <w:rPr>
                <w:rFonts w:hint="eastAsia" w:cs="Times New Roman"/>
                <w:sz w:val="24"/>
                <w:highlight w:val="none"/>
                <w:vertAlign w:val="superscript"/>
                <w:lang w:val="en-US" w:eastAsia="zh-CN"/>
              </w:rPr>
              <w:t>3</w:t>
            </w:r>
            <w:r>
              <w:rPr>
                <w:sz w:val="24"/>
                <w:highlight w:val="none"/>
              </w:rPr>
              <w:t>/a</w:t>
            </w:r>
            <w:r>
              <w:rPr>
                <w:rFonts w:hint="eastAsia"/>
                <w:sz w:val="24"/>
                <w:highlight w:val="none"/>
              </w:rPr>
              <w:t>）</w:t>
            </w:r>
            <w:r>
              <w:rPr>
                <w:sz w:val="24"/>
                <w:highlight w:val="none"/>
              </w:rPr>
              <w:t>，经</w:t>
            </w:r>
            <w:r>
              <w:rPr>
                <w:rFonts w:hint="eastAsia"/>
                <w:sz w:val="24"/>
                <w:highlight w:val="none"/>
                <w:lang w:val="en-US" w:eastAsia="zh-CN"/>
              </w:rPr>
              <w:t>承德泓辉双合淀粉有限公司污水处理站</w:t>
            </w:r>
            <w:r>
              <w:rPr>
                <w:rFonts w:hint="eastAsia"/>
                <w:sz w:val="24"/>
                <w:highlight w:val="none"/>
              </w:rPr>
              <w:t>处理</w:t>
            </w:r>
            <w:r>
              <w:rPr>
                <w:rFonts w:hint="eastAsia"/>
                <w:sz w:val="24"/>
                <w:highlight w:val="none"/>
                <w:lang w:val="en-US" w:eastAsia="zh-CN"/>
              </w:rPr>
              <w:t>达到《城镇污水处理厂污染物排放标准》（GB18918—2002）中一级A标准后排入</w:t>
            </w:r>
            <w:r>
              <w:rPr>
                <w:rFonts w:hint="eastAsia" w:cs="Times New Roman"/>
                <w:color w:val="auto"/>
                <w:sz w:val="24"/>
                <w:szCs w:val="24"/>
                <w:highlight w:val="none"/>
                <w:lang w:val="en-US" w:eastAsia="zh-CN"/>
              </w:rPr>
              <w:t>蚁蚂吐河</w:t>
            </w:r>
            <w:r>
              <w:rPr>
                <w:rFonts w:hint="eastAsia"/>
                <w:sz w:val="24"/>
                <w:highlight w:val="none"/>
              </w:rPr>
              <w:t>。</w:t>
            </w:r>
          </w:p>
          <w:p w14:paraId="5CAA4C96">
            <w:pPr>
              <w:spacing w:line="360" w:lineRule="auto"/>
              <w:ind w:firstLine="480"/>
              <w:rPr>
                <w:sz w:val="24"/>
                <w:highlight w:val="none"/>
              </w:rPr>
            </w:pPr>
            <w:r>
              <w:rPr>
                <w:rFonts w:hint="eastAsia"/>
                <w:sz w:val="24"/>
                <w:highlight w:val="none"/>
              </w:rPr>
              <w:t>项目废水污染物产生情况详见下表：</w:t>
            </w:r>
          </w:p>
          <w:p w14:paraId="7D280E07">
            <w:pPr>
              <w:pStyle w:val="50"/>
              <w:numPr>
                <w:ilvl w:val="0"/>
                <w:numId w:val="11"/>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项目水污染排放情况一览表</w:t>
            </w:r>
          </w:p>
          <w:tbl>
            <w:tblPr>
              <w:tblStyle w:val="2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6"/>
              <w:gridCol w:w="1978"/>
              <w:gridCol w:w="1411"/>
              <w:gridCol w:w="1694"/>
              <w:gridCol w:w="1430"/>
            </w:tblGrid>
            <w:tr w14:paraId="532CE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50" w:type="pct"/>
                  <w:vAlign w:val="center"/>
                </w:tcPr>
                <w:p w14:paraId="462BFBB3">
                  <w:pPr>
                    <w:pStyle w:val="72"/>
                    <w:spacing w:line="240" w:lineRule="auto"/>
                    <w:jc w:val="center"/>
                    <w:rPr>
                      <w:rFonts w:ascii="Times New Roman" w:hAnsi="Times New Roman" w:eastAsia="宋体" w:cs="Times New Roman"/>
                      <w:b/>
                      <w:bCs/>
                      <w:sz w:val="21"/>
                      <w:szCs w:val="21"/>
                      <w:highlight w:val="none"/>
                    </w:rPr>
                  </w:pPr>
                  <w:r>
                    <w:rPr>
                      <w:rFonts w:ascii="Times New Roman" w:hAnsi="Times New Roman" w:eastAsia="宋体" w:cs="Times New Roman"/>
                      <w:b/>
                      <w:bCs/>
                      <w:sz w:val="21"/>
                      <w:szCs w:val="21"/>
                      <w:highlight w:val="none"/>
                    </w:rPr>
                    <w:t>废水名称</w:t>
                  </w:r>
                </w:p>
              </w:tc>
              <w:tc>
                <w:tcPr>
                  <w:tcW w:w="1169" w:type="pct"/>
                  <w:vAlign w:val="center"/>
                </w:tcPr>
                <w:p w14:paraId="2063D520">
                  <w:pPr>
                    <w:pStyle w:val="72"/>
                    <w:spacing w:line="240" w:lineRule="auto"/>
                    <w:jc w:val="center"/>
                    <w:rPr>
                      <w:rFonts w:hint="eastAsia" w:ascii="Times New Roman" w:hAnsi="Times New Roman" w:eastAsia="宋体" w:cs="Times New Roman"/>
                      <w:b/>
                      <w:bCs/>
                      <w:sz w:val="21"/>
                      <w:szCs w:val="21"/>
                      <w:highlight w:val="none"/>
                      <w:lang w:eastAsia="zh-CN"/>
                    </w:rPr>
                  </w:pPr>
                  <w:r>
                    <w:rPr>
                      <w:rFonts w:hint="eastAsia" w:ascii="Times New Roman" w:hAnsi="Times New Roman" w:eastAsia="宋体" w:cs="Times New Roman"/>
                      <w:b/>
                      <w:bCs/>
                      <w:sz w:val="21"/>
                      <w:szCs w:val="21"/>
                      <w:highlight w:val="none"/>
                      <w:lang w:val="en-US" w:eastAsia="zh-CN"/>
                    </w:rPr>
                    <w:t>污染物</w:t>
                  </w:r>
                </w:p>
              </w:tc>
              <w:tc>
                <w:tcPr>
                  <w:tcW w:w="834" w:type="pct"/>
                  <w:vAlign w:val="center"/>
                </w:tcPr>
                <w:p w14:paraId="196FDA06">
                  <w:pPr>
                    <w:pStyle w:val="72"/>
                    <w:spacing w:line="240" w:lineRule="auto"/>
                    <w:jc w:val="center"/>
                    <w:rPr>
                      <w:rFonts w:ascii="Times New Roman" w:hAnsi="Times New Roman" w:eastAsia="宋体" w:cs="Times New Roman"/>
                      <w:b/>
                      <w:bCs/>
                      <w:sz w:val="21"/>
                      <w:szCs w:val="21"/>
                      <w:highlight w:val="none"/>
                    </w:rPr>
                  </w:pPr>
                  <w:r>
                    <w:rPr>
                      <w:rFonts w:ascii="Times New Roman" w:hAnsi="Times New Roman" w:eastAsia="宋体" w:cs="Times New Roman"/>
                      <w:b/>
                      <w:bCs/>
                      <w:sz w:val="21"/>
                      <w:szCs w:val="21"/>
                      <w:highlight w:val="none"/>
                    </w:rPr>
                    <w:t>pH</w:t>
                  </w:r>
                </w:p>
              </w:tc>
              <w:tc>
                <w:tcPr>
                  <w:tcW w:w="1001" w:type="pct"/>
                  <w:vAlign w:val="center"/>
                </w:tcPr>
                <w:p w14:paraId="730BC4AF">
                  <w:pPr>
                    <w:pStyle w:val="72"/>
                    <w:spacing w:line="240" w:lineRule="auto"/>
                    <w:jc w:val="center"/>
                    <w:rPr>
                      <w:rFonts w:ascii="Times New Roman" w:hAnsi="Times New Roman" w:eastAsia="宋体" w:cs="Times New Roman"/>
                      <w:b/>
                      <w:bCs/>
                      <w:sz w:val="21"/>
                      <w:szCs w:val="21"/>
                      <w:highlight w:val="none"/>
                    </w:rPr>
                  </w:pPr>
                  <w:r>
                    <w:rPr>
                      <w:rFonts w:ascii="Times New Roman" w:hAnsi="Times New Roman" w:eastAsia="宋体" w:cs="Times New Roman"/>
                      <w:b/>
                      <w:bCs/>
                      <w:sz w:val="21"/>
                      <w:szCs w:val="21"/>
                      <w:highlight w:val="none"/>
                    </w:rPr>
                    <w:t>COD</w:t>
                  </w:r>
                </w:p>
              </w:tc>
              <w:tc>
                <w:tcPr>
                  <w:tcW w:w="844" w:type="pct"/>
                  <w:vAlign w:val="center"/>
                </w:tcPr>
                <w:p w14:paraId="554532E5">
                  <w:pPr>
                    <w:pStyle w:val="72"/>
                    <w:spacing w:line="240" w:lineRule="auto"/>
                    <w:jc w:val="center"/>
                    <w:rPr>
                      <w:rFonts w:ascii="Times New Roman" w:hAnsi="Times New Roman" w:eastAsia="宋体" w:cs="Times New Roman"/>
                      <w:b/>
                      <w:bCs/>
                      <w:sz w:val="21"/>
                      <w:szCs w:val="21"/>
                      <w:highlight w:val="none"/>
                    </w:rPr>
                  </w:pPr>
                  <w:r>
                    <w:rPr>
                      <w:rFonts w:ascii="Times New Roman" w:hAnsi="Times New Roman" w:eastAsia="宋体" w:cs="Times New Roman"/>
                      <w:b/>
                      <w:bCs/>
                      <w:sz w:val="21"/>
                      <w:szCs w:val="21"/>
                      <w:highlight w:val="none"/>
                    </w:rPr>
                    <w:t>SS</w:t>
                  </w:r>
                </w:p>
              </w:tc>
            </w:tr>
            <w:tr w14:paraId="44017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0" w:type="pct"/>
                  <w:vMerge w:val="restart"/>
                  <w:vAlign w:val="center"/>
                </w:tcPr>
                <w:p w14:paraId="361D5591">
                  <w:pPr>
                    <w:pStyle w:val="72"/>
                    <w:spacing w:line="240" w:lineRule="auto"/>
                    <w:jc w:val="center"/>
                    <w:rPr>
                      <w:rFonts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锅炉废水和离子树脂反冲洗废水</w:t>
                  </w:r>
                </w:p>
              </w:tc>
              <w:tc>
                <w:tcPr>
                  <w:tcW w:w="1169" w:type="pct"/>
                  <w:vAlign w:val="center"/>
                </w:tcPr>
                <w:p w14:paraId="1E685F43">
                  <w:pPr>
                    <w:pStyle w:val="72"/>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废水量</w:t>
                  </w:r>
                </w:p>
              </w:tc>
              <w:tc>
                <w:tcPr>
                  <w:tcW w:w="2680" w:type="pct"/>
                  <w:gridSpan w:val="3"/>
                  <w:vAlign w:val="center"/>
                </w:tcPr>
                <w:p w14:paraId="7602D442">
                  <w:pPr>
                    <w:pStyle w:val="72"/>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218.38</w:t>
                  </w:r>
                </w:p>
              </w:tc>
            </w:tr>
            <w:tr w14:paraId="6062C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0" w:type="pct"/>
                  <w:vMerge w:val="continue"/>
                  <w:vAlign w:val="center"/>
                </w:tcPr>
                <w:p w14:paraId="5B9712F4">
                  <w:pPr>
                    <w:pStyle w:val="72"/>
                    <w:spacing w:line="240" w:lineRule="auto"/>
                    <w:jc w:val="center"/>
                    <w:rPr>
                      <w:rFonts w:ascii="Times New Roman" w:hAnsi="Times New Roman" w:eastAsia="宋体" w:cs="Times New Roman"/>
                      <w:sz w:val="21"/>
                      <w:szCs w:val="21"/>
                      <w:highlight w:val="none"/>
                    </w:rPr>
                  </w:pPr>
                </w:p>
              </w:tc>
              <w:tc>
                <w:tcPr>
                  <w:tcW w:w="1169" w:type="pct"/>
                  <w:vAlign w:val="center"/>
                </w:tcPr>
                <w:p w14:paraId="74760723">
                  <w:pPr>
                    <w:pStyle w:val="72"/>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产生</w:t>
                  </w:r>
                  <w:r>
                    <w:rPr>
                      <w:rFonts w:ascii="Times New Roman" w:hAnsi="Times New Roman" w:eastAsia="宋体" w:cs="Times New Roman"/>
                      <w:sz w:val="21"/>
                      <w:szCs w:val="21"/>
                      <w:highlight w:val="none"/>
                    </w:rPr>
                    <w:t>浓度（mg/L）</w:t>
                  </w:r>
                </w:p>
              </w:tc>
              <w:tc>
                <w:tcPr>
                  <w:tcW w:w="834" w:type="pct"/>
                  <w:shd w:val="clear" w:color="auto" w:fill="auto"/>
                  <w:vAlign w:val="center"/>
                </w:tcPr>
                <w:p w14:paraId="391C1694">
                  <w:pPr>
                    <w:pStyle w:val="72"/>
                    <w:spacing w:line="240" w:lineRule="auto"/>
                    <w:jc w:val="center"/>
                    <w:rPr>
                      <w:rFonts w:ascii="Times New Roman" w:hAnsi="Times New Roman" w:eastAsia="宋体" w:cs="Times New Roman"/>
                      <w:kern w:val="2"/>
                      <w:sz w:val="21"/>
                      <w:szCs w:val="21"/>
                      <w:highlight w:val="none"/>
                      <w:lang w:val="en-US" w:eastAsia="zh-CN" w:bidi="ar-SA"/>
                    </w:rPr>
                  </w:pPr>
                  <w:bookmarkStart w:id="18" w:name="OLE_LINK15"/>
                  <w:r>
                    <w:rPr>
                      <w:rFonts w:ascii="Times New Roman" w:hAnsi="Times New Roman" w:eastAsia="宋体" w:cs="Times New Roman"/>
                      <w:sz w:val="21"/>
                      <w:szCs w:val="21"/>
                      <w:highlight w:val="none"/>
                    </w:rPr>
                    <w:t>6-9</w:t>
                  </w:r>
                  <w:bookmarkEnd w:id="18"/>
                </w:p>
              </w:tc>
              <w:tc>
                <w:tcPr>
                  <w:tcW w:w="1001" w:type="pct"/>
                  <w:shd w:val="clear" w:color="auto" w:fill="auto"/>
                  <w:vAlign w:val="center"/>
                </w:tcPr>
                <w:p w14:paraId="734749C2">
                  <w:pPr>
                    <w:pStyle w:val="72"/>
                    <w:spacing w:line="240" w:lineRule="auto"/>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80</w:t>
                  </w:r>
                </w:p>
              </w:tc>
              <w:tc>
                <w:tcPr>
                  <w:tcW w:w="844" w:type="pct"/>
                  <w:shd w:val="clear" w:color="auto" w:fill="auto"/>
                  <w:vAlign w:val="center"/>
                </w:tcPr>
                <w:p w14:paraId="5D72CE1A">
                  <w:pPr>
                    <w:pStyle w:val="72"/>
                    <w:spacing w:line="240" w:lineRule="auto"/>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120</w:t>
                  </w:r>
                </w:p>
              </w:tc>
            </w:tr>
            <w:tr w14:paraId="31924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1150" w:type="pct"/>
                  <w:vMerge w:val="continue"/>
                  <w:vAlign w:val="center"/>
                </w:tcPr>
                <w:p w14:paraId="5A980F2D">
                  <w:pPr>
                    <w:pStyle w:val="72"/>
                    <w:spacing w:line="240" w:lineRule="auto"/>
                    <w:jc w:val="center"/>
                    <w:rPr>
                      <w:rFonts w:ascii="Times New Roman" w:hAnsi="Times New Roman" w:eastAsia="宋体" w:cs="Times New Roman"/>
                      <w:sz w:val="21"/>
                      <w:szCs w:val="21"/>
                      <w:highlight w:val="none"/>
                    </w:rPr>
                  </w:pPr>
                </w:p>
              </w:tc>
              <w:tc>
                <w:tcPr>
                  <w:tcW w:w="1169" w:type="pct"/>
                  <w:shd w:val="clear" w:color="auto" w:fill="auto"/>
                  <w:vAlign w:val="center"/>
                </w:tcPr>
                <w:p w14:paraId="24A3B832">
                  <w:pPr>
                    <w:pStyle w:val="72"/>
                    <w:spacing w:line="240" w:lineRule="auto"/>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产生量（t/a</w:t>
                  </w:r>
                  <w:r>
                    <w:rPr>
                      <w:rFonts w:ascii="Times New Roman" w:hAnsi="Times New Roman" w:eastAsia="宋体" w:cs="Times New Roman"/>
                      <w:sz w:val="21"/>
                      <w:szCs w:val="21"/>
                      <w:highlight w:val="none"/>
                    </w:rPr>
                    <w:t>）</w:t>
                  </w:r>
                </w:p>
              </w:tc>
              <w:tc>
                <w:tcPr>
                  <w:tcW w:w="834" w:type="pct"/>
                  <w:shd w:val="clear" w:color="auto" w:fill="auto"/>
                  <w:vAlign w:val="center"/>
                </w:tcPr>
                <w:p w14:paraId="31F59A80">
                  <w:pPr>
                    <w:pStyle w:val="72"/>
                    <w:spacing w:line="240" w:lineRule="auto"/>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w:t>
                  </w:r>
                </w:p>
              </w:tc>
              <w:tc>
                <w:tcPr>
                  <w:tcW w:w="1001" w:type="pct"/>
                  <w:shd w:val="clear" w:color="auto" w:fill="auto"/>
                  <w:vAlign w:val="center"/>
                </w:tcPr>
                <w:p w14:paraId="59FC208B">
                  <w:pPr>
                    <w:pStyle w:val="72"/>
                    <w:spacing w:line="240" w:lineRule="auto"/>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0.017</w:t>
                  </w:r>
                </w:p>
              </w:tc>
              <w:tc>
                <w:tcPr>
                  <w:tcW w:w="844" w:type="pct"/>
                  <w:shd w:val="clear" w:color="auto" w:fill="auto"/>
                  <w:vAlign w:val="center"/>
                </w:tcPr>
                <w:p w14:paraId="745F41BC">
                  <w:pPr>
                    <w:pStyle w:val="72"/>
                    <w:spacing w:line="240" w:lineRule="auto"/>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0.026</w:t>
                  </w:r>
                </w:p>
              </w:tc>
            </w:tr>
            <w:tr w14:paraId="3AAD7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0" w:type="pct"/>
                  <w:vMerge w:val="continue"/>
                  <w:vAlign w:val="center"/>
                </w:tcPr>
                <w:p w14:paraId="7A5C3A89">
                  <w:pPr>
                    <w:pStyle w:val="72"/>
                    <w:spacing w:line="240" w:lineRule="auto"/>
                    <w:jc w:val="center"/>
                    <w:rPr>
                      <w:rFonts w:ascii="Times New Roman" w:hAnsi="Times New Roman" w:eastAsia="宋体" w:cs="Times New Roman"/>
                      <w:sz w:val="21"/>
                      <w:szCs w:val="21"/>
                      <w:highlight w:val="none"/>
                    </w:rPr>
                  </w:pPr>
                </w:p>
              </w:tc>
              <w:tc>
                <w:tcPr>
                  <w:tcW w:w="1169" w:type="pct"/>
                  <w:shd w:val="clear" w:color="auto" w:fill="auto"/>
                  <w:vAlign w:val="center"/>
                </w:tcPr>
                <w:p w14:paraId="131BF10C">
                  <w:pPr>
                    <w:pStyle w:val="72"/>
                    <w:spacing w:line="240" w:lineRule="auto"/>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污水处理站处理效率%</w:t>
                  </w:r>
                </w:p>
              </w:tc>
              <w:tc>
                <w:tcPr>
                  <w:tcW w:w="834" w:type="pct"/>
                  <w:vAlign w:val="center"/>
                </w:tcPr>
                <w:p w14:paraId="084A925B">
                  <w:pPr>
                    <w:pStyle w:val="72"/>
                    <w:spacing w:line="240" w:lineRule="auto"/>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w:t>
                  </w:r>
                </w:p>
              </w:tc>
              <w:tc>
                <w:tcPr>
                  <w:tcW w:w="1001" w:type="pct"/>
                  <w:vAlign w:val="center"/>
                </w:tcPr>
                <w:p w14:paraId="2FDD65DB">
                  <w:pPr>
                    <w:pStyle w:val="72"/>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37.5</w:t>
                  </w:r>
                </w:p>
              </w:tc>
              <w:tc>
                <w:tcPr>
                  <w:tcW w:w="844" w:type="pct"/>
                  <w:vAlign w:val="center"/>
                </w:tcPr>
                <w:p w14:paraId="200064AD">
                  <w:pPr>
                    <w:pStyle w:val="72"/>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0.917</w:t>
                  </w:r>
                </w:p>
              </w:tc>
            </w:tr>
            <w:tr w14:paraId="3F086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0" w:type="pct"/>
                  <w:vMerge w:val="continue"/>
                  <w:vAlign w:val="center"/>
                </w:tcPr>
                <w:p w14:paraId="5C29492A">
                  <w:pPr>
                    <w:pStyle w:val="72"/>
                    <w:spacing w:line="240" w:lineRule="auto"/>
                    <w:jc w:val="center"/>
                    <w:rPr>
                      <w:rFonts w:ascii="Times New Roman" w:hAnsi="Times New Roman" w:eastAsia="宋体" w:cs="Times New Roman"/>
                      <w:sz w:val="21"/>
                      <w:szCs w:val="21"/>
                      <w:highlight w:val="none"/>
                    </w:rPr>
                  </w:pPr>
                </w:p>
              </w:tc>
              <w:tc>
                <w:tcPr>
                  <w:tcW w:w="1169" w:type="pct"/>
                  <w:shd w:val="clear" w:color="auto" w:fill="auto"/>
                  <w:vAlign w:val="center"/>
                </w:tcPr>
                <w:p w14:paraId="61C8E306">
                  <w:pPr>
                    <w:pStyle w:val="72"/>
                    <w:spacing w:line="240" w:lineRule="auto"/>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排放</w:t>
                  </w:r>
                  <w:r>
                    <w:rPr>
                      <w:rFonts w:ascii="Times New Roman" w:hAnsi="Times New Roman" w:eastAsia="宋体" w:cs="Times New Roman"/>
                      <w:sz w:val="21"/>
                      <w:szCs w:val="21"/>
                      <w:highlight w:val="none"/>
                    </w:rPr>
                    <w:t>浓度（mg/L）</w:t>
                  </w:r>
                </w:p>
              </w:tc>
              <w:tc>
                <w:tcPr>
                  <w:tcW w:w="834" w:type="pct"/>
                  <w:vAlign w:val="center"/>
                </w:tcPr>
                <w:p w14:paraId="79CB31DA">
                  <w:pPr>
                    <w:pStyle w:val="72"/>
                    <w:spacing w:line="240" w:lineRule="auto"/>
                    <w:jc w:val="center"/>
                    <w:rPr>
                      <w:rFonts w:hint="eastAsia" w:ascii="Times New Roman" w:hAnsi="Times New Roman" w:eastAsia="宋体" w:cs="Times New Roman"/>
                      <w:sz w:val="21"/>
                      <w:szCs w:val="21"/>
                      <w:highlight w:val="none"/>
                      <w:lang w:val="en-US" w:eastAsia="zh-CN"/>
                    </w:rPr>
                  </w:pPr>
                  <w:r>
                    <w:rPr>
                      <w:rFonts w:ascii="Times New Roman" w:hAnsi="Times New Roman" w:eastAsia="宋体" w:cs="Times New Roman"/>
                      <w:sz w:val="21"/>
                      <w:szCs w:val="21"/>
                      <w:highlight w:val="none"/>
                    </w:rPr>
                    <w:t>6-9</w:t>
                  </w:r>
                </w:p>
              </w:tc>
              <w:tc>
                <w:tcPr>
                  <w:tcW w:w="1001" w:type="pct"/>
                  <w:vAlign w:val="center"/>
                </w:tcPr>
                <w:p w14:paraId="1EB12ACB">
                  <w:pPr>
                    <w:pStyle w:val="72"/>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50</w:t>
                  </w:r>
                </w:p>
              </w:tc>
              <w:tc>
                <w:tcPr>
                  <w:tcW w:w="844" w:type="pct"/>
                  <w:vAlign w:val="center"/>
                </w:tcPr>
                <w:p w14:paraId="6F9B515D">
                  <w:pPr>
                    <w:pStyle w:val="72"/>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10</w:t>
                  </w:r>
                </w:p>
              </w:tc>
            </w:tr>
            <w:tr w14:paraId="3FC6A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0" w:type="pct"/>
                  <w:vMerge w:val="continue"/>
                  <w:vAlign w:val="center"/>
                </w:tcPr>
                <w:p w14:paraId="3BDDC2A9">
                  <w:pPr>
                    <w:pStyle w:val="72"/>
                    <w:spacing w:line="240" w:lineRule="auto"/>
                    <w:jc w:val="center"/>
                    <w:rPr>
                      <w:rFonts w:ascii="Times New Roman" w:hAnsi="Times New Roman" w:eastAsia="宋体" w:cs="Times New Roman"/>
                      <w:sz w:val="21"/>
                      <w:szCs w:val="21"/>
                      <w:highlight w:val="none"/>
                    </w:rPr>
                  </w:pPr>
                </w:p>
              </w:tc>
              <w:tc>
                <w:tcPr>
                  <w:tcW w:w="1169" w:type="pct"/>
                  <w:shd w:val="clear" w:color="auto" w:fill="auto"/>
                  <w:vAlign w:val="center"/>
                </w:tcPr>
                <w:p w14:paraId="32602471">
                  <w:pPr>
                    <w:pStyle w:val="72"/>
                    <w:spacing w:line="240" w:lineRule="auto"/>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排放量（t/a</w:t>
                  </w:r>
                  <w:r>
                    <w:rPr>
                      <w:rFonts w:ascii="Times New Roman" w:hAnsi="Times New Roman" w:eastAsia="宋体" w:cs="Times New Roman"/>
                      <w:sz w:val="21"/>
                      <w:szCs w:val="21"/>
                      <w:highlight w:val="none"/>
                    </w:rPr>
                    <w:t>）</w:t>
                  </w:r>
                </w:p>
              </w:tc>
              <w:tc>
                <w:tcPr>
                  <w:tcW w:w="834" w:type="pct"/>
                  <w:vAlign w:val="center"/>
                </w:tcPr>
                <w:p w14:paraId="7F4D29F2">
                  <w:pPr>
                    <w:pStyle w:val="72"/>
                    <w:spacing w:line="240" w:lineRule="auto"/>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w:t>
                  </w:r>
                </w:p>
              </w:tc>
              <w:tc>
                <w:tcPr>
                  <w:tcW w:w="1001" w:type="pct"/>
                  <w:vAlign w:val="center"/>
                </w:tcPr>
                <w:p w14:paraId="1183E4BE">
                  <w:pPr>
                    <w:pStyle w:val="72"/>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0.011</w:t>
                  </w:r>
                </w:p>
              </w:tc>
              <w:tc>
                <w:tcPr>
                  <w:tcW w:w="844" w:type="pct"/>
                  <w:vAlign w:val="center"/>
                </w:tcPr>
                <w:p w14:paraId="5B8370A0">
                  <w:pPr>
                    <w:pStyle w:val="72"/>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0.002</w:t>
                  </w:r>
                </w:p>
              </w:tc>
            </w:tr>
          </w:tbl>
          <w:p w14:paraId="13DAA55A">
            <w:pPr>
              <w:snapToGrid w:val="0"/>
              <w:spacing w:before="120" w:beforeLines="50" w:line="360" w:lineRule="auto"/>
              <w:ind w:firstLine="480" w:firstLineChars="200"/>
              <w:rPr>
                <w:sz w:val="24"/>
                <w:highlight w:val="none"/>
              </w:rPr>
            </w:pPr>
            <w:r>
              <w:rPr>
                <w:rFonts w:hint="eastAsia"/>
                <w:sz w:val="24"/>
                <w:highlight w:val="none"/>
              </w:rPr>
              <w:t>项目</w:t>
            </w:r>
            <w:r>
              <w:rPr>
                <w:sz w:val="24"/>
                <w:highlight w:val="none"/>
              </w:rPr>
              <w:t>废水污染物排放执行标准见下表：</w:t>
            </w:r>
          </w:p>
          <w:p w14:paraId="4456DE49">
            <w:pPr>
              <w:pStyle w:val="50"/>
              <w:numPr>
                <w:ilvl w:val="0"/>
                <w:numId w:val="11"/>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项目废水污染物排放执行标准一览表</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91"/>
              <w:gridCol w:w="709"/>
              <w:gridCol w:w="2046"/>
              <w:gridCol w:w="2329"/>
              <w:gridCol w:w="1579"/>
              <w:gridCol w:w="1205"/>
            </w:tblGrid>
            <w:tr w14:paraId="43F1B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9" w:type="pct"/>
                  <w:vMerge w:val="restart"/>
                  <w:vAlign w:val="center"/>
                </w:tcPr>
                <w:p w14:paraId="458D0DEA">
                  <w:pPr>
                    <w:adjustRightInd w:val="0"/>
                    <w:snapToGrid w:val="0"/>
                    <w:jc w:val="center"/>
                    <w:rPr>
                      <w:b/>
                      <w:szCs w:val="21"/>
                      <w:highlight w:val="none"/>
                    </w:rPr>
                  </w:pPr>
                  <w:r>
                    <w:rPr>
                      <w:b/>
                      <w:szCs w:val="21"/>
                      <w:highlight w:val="none"/>
                    </w:rPr>
                    <w:t>序号</w:t>
                  </w:r>
                </w:p>
              </w:tc>
              <w:tc>
                <w:tcPr>
                  <w:tcW w:w="419" w:type="pct"/>
                  <w:vMerge w:val="restart"/>
                  <w:vAlign w:val="center"/>
                </w:tcPr>
                <w:p w14:paraId="4F5BA725">
                  <w:pPr>
                    <w:adjustRightInd w:val="0"/>
                    <w:snapToGrid w:val="0"/>
                    <w:jc w:val="center"/>
                    <w:rPr>
                      <w:b/>
                      <w:szCs w:val="21"/>
                      <w:highlight w:val="none"/>
                    </w:rPr>
                  </w:pPr>
                  <w:r>
                    <w:rPr>
                      <w:b/>
                      <w:szCs w:val="21"/>
                      <w:highlight w:val="none"/>
                    </w:rPr>
                    <w:t>排放口编号</w:t>
                  </w:r>
                </w:p>
              </w:tc>
              <w:tc>
                <w:tcPr>
                  <w:tcW w:w="1209" w:type="pct"/>
                  <w:vMerge w:val="restart"/>
                  <w:vAlign w:val="center"/>
                </w:tcPr>
                <w:p w14:paraId="0A2807D1">
                  <w:pPr>
                    <w:adjustRightInd w:val="0"/>
                    <w:snapToGrid w:val="0"/>
                    <w:jc w:val="center"/>
                    <w:rPr>
                      <w:b/>
                      <w:szCs w:val="21"/>
                      <w:highlight w:val="none"/>
                    </w:rPr>
                  </w:pPr>
                  <w:r>
                    <w:rPr>
                      <w:b/>
                      <w:szCs w:val="21"/>
                      <w:highlight w:val="none"/>
                    </w:rPr>
                    <w:t>污染物种类</w:t>
                  </w:r>
                </w:p>
              </w:tc>
              <w:tc>
                <w:tcPr>
                  <w:tcW w:w="3021" w:type="pct"/>
                  <w:gridSpan w:val="3"/>
                  <w:vAlign w:val="center"/>
                </w:tcPr>
                <w:p w14:paraId="3CC09A71">
                  <w:pPr>
                    <w:adjustRightInd w:val="0"/>
                    <w:snapToGrid w:val="0"/>
                    <w:jc w:val="center"/>
                    <w:rPr>
                      <w:b/>
                      <w:szCs w:val="21"/>
                      <w:highlight w:val="none"/>
                    </w:rPr>
                  </w:pPr>
                  <w:r>
                    <w:rPr>
                      <w:b/>
                      <w:szCs w:val="21"/>
                      <w:highlight w:val="none"/>
                    </w:rPr>
                    <w:t>国家或地方污染物排放标准及其他按规定商定的排放协议</w:t>
                  </w:r>
                </w:p>
              </w:tc>
            </w:tr>
            <w:tr w14:paraId="3F005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9" w:type="pct"/>
                  <w:vMerge w:val="continue"/>
                  <w:vAlign w:val="center"/>
                </w:tcPr>
                <w:p w14:paraId="2C566618">
                  <w:pPr>
                    <w:adjustRightInd w:val="0"/>
                    <w:snapToGrid w:val="0"/>
                    <w:jc w:val="center"/>
                    <w:rPr>
                      <w:b/>
                      <w:szCs w:val="21"/>
                      <w:highlight w:val="none"/>
                    </w:rPr>
                  </w:pPr>
                </w:p>
              </w:tc>
              <w:tc>
                <w:tcPr>
                  <w:tcW w:w="419" w:type="pct"/>
                  <w:vMerge w:val="continue"/>
                  <w:vAlign w:val="center"/>
                </w:tcPr>
                <w:p w14:paraId="099780C9">
                  <w:pPr>
                    <w:adjustRightInd w:val="0"/>
                    <w:snapToGrid w:val="0"/>
                    <w:jc w:val="center"/>
                    <w:rPr>
                      <w:b/>
                      <w:szCs w:val="21"/>
                      <w:highlight w:val="none"/>
                    </w:rPr>
                  </w:pPr>
                </w:p>
              </w:tc>
              <w:tc>
                <w:tcPr>
                  <w:tcW w:w="1209" w:type="pct"/>
                  <w:vMerge w:val="continue"/>
                  <w:vAlign w:val="center"/>
                </w:tcPr>
                <w:p w14:paraId="14345F3C">
                  <w:pPr>
                    <w:adjustRightInd w:val="0"/>
                    <w:snapToGrid w:val="0"/>
                    <w:jc w:val="center"/>
                    <w:rPr>
                      <w:b/>
                      <w:szCs w:val="21"/>
                      <w:highlight w:val="none"/>
                    </w:rPr>
                  </w:pPr>
                </w:p>
              </w:tc>
              <w:tc>
                <w:tcPr>
                  <w:tcW w:w="1376" w:type="pct"/>
                  <w:vAlign w:val="center"/>
                </w:tcPr>
                <w:p w14:paraId="38364DD3">
                  <w:pPr>
                    <w:adjustRightInd w:val="0"/>
                    <w:snapToGrid w:val="0"/>
                    <w:jc w:val="center"/>
                    <w:rPr>
                      <w:b/>
                      <w:szCs w:val="21"/>
                      <w:highlight w:val="none"/>
                    </w:rPr>
                  </w:pPr>
                  <w:r>
                    <w:rPr>
                      <w:b/>
                      <w:szCs w:val="21"/>
                      <w:highlight w:val="none"/>
                    </w:rPr>
                    <w:t>名称</w:t>
                  </w:r>
                </w:p>
              </w:tc>
              <w:tc>
                <w:tcPr>
                  <w:tcW w:w="1644" w:type="pct"/>
                  <w:gridSpan w:val="2"/>
                  <w:vAlign w:val="center"/>
                </w:tcPr>
                <w:p w14:paraId="16546701">
                  <w:pPr>
                    <w:adjustRightInd w:val="0"/>
                    <w:snapToGrid w:val="0"/>
                    <w:jc w:val="center"/>
                    <w:rPr>
                      <w:b/>
                      <w:szCs w:val="21"/>
                      <w:highlight w:val="none"/>
                    </w:rPr>
                  </w:pPr>
                  <w:r>
                    <w:rPr>
                      <w:b/>
                      <w:szCs w:val="21"/>
                      <w:highlight w:val="none"/>
                    </w:rPr>
                    <w:t>浓度限值/(mg/L)</w:t>
                  </w:r>
                </w:p>
              </w:tc>
            </w:tr>
            <w:tr w14:paraId="79759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9" w:type="pct"/>
                  <w:vMerge w:val="restart"/>
                  <w:vAlign w:val="center"/>
                </w:tcPr>
                <w:p w14:paraId="0A6BC61D">
                  <w:pPr>
                    <w:adjustRightInd w:val="0"/>
                    <w:snapToGrid w:val="0"/>
                    <w:jc w:val="center"/>
                    <w:rPr>
                      <w:bCs/>
                      <w:szCs w:val="21"/>
                      <w:highlight w:val="none"/>
                    </w:rPr>
                  </w:pPr>
                  <w:r>
                    <w:rPr>
                      <w:bCs/>
                      <w:szCs w:val="21"/>
                      <w:highlight w:val="none"/>
                    </w:rPr>
                    <w:t>1</w:t>
                  </w:r>
                </w:p>
              </w:tc>
              <w:tc>
                <w:tcPr>
                  <w:tcW w:w="419" w:type="pct"/>
                  <w:vMerge w:val="restart"/>
                  <w:vAlign w:val="center"/>
                </w:tcPr>
                <w:p w14:paraId="639C06AC">
                  <w:pPr>
                    <w:adjustRightInd w:val="0"/>
                    <w:snapToGrid w:val="0"/>
                    <w:jc w:val="center"/>
                    <w:rPr>
                      <w:bCs/>
                      <w:szCs w:val="21"/>
                      <w:highlight w:val="none"/>
                    </w:rPr>
                  </w:pPr>
                  <w:r>
                    <w:rPr>
                      <w:bCs/>
                      <w:szCs w:val="21"/>
                      <w:highlight w:val="none"/>
                    </w:rPr>
                    <w:t>DW001</w:t>
                  </w:r>
                </w:p>
              </w:tc>
              <w:tc>
                <w:tcPr>
                  <w:tcW w:w="1209" w:type="pct"/>
                  <w:vMerge w:val="restart"/>
                  <w:vAlign w:val="center"/>
                </w:tcPr>
                <w:p w14:paraId="73B8E0E7">
                  <w:pPr>
                    <w:adjustRightInd w:val="0"/>
                    <w:snapToGrid w:val="0"/>
                    <w:jc w:val="center"/>
                    <w:rPr>
                      <w:bCs/>
                      <w:szCs w:val="21"/>
                      <w:highlight w:val="none"/>
                    </w:rPr>
                  </w:pPr>
                  <w:r>
                    <w:rPr>
                      <w:szCs w:val="21"/>
                      <w:highlight w:val="none"/>
                    </w:rPr>
                    <w:t>pH、COD、SS</w:t>
                  </w:r>
                </w:p>
              </w:tc>
              <w:tc>
                <w:tcPr>
                  <w:tcW w:w="1376" w:type="pct"/>
                  <w:vMerge w:val="restart"/>
                  <w:vAlign w:val="center"/>
                </w:tcPr>
                <w:p w14:paraId="1698F7C1">
                  <w:pPr>
                    <w:adjustRightInd w:val="0"/>
                    <w:snapToGrid w:val="0"/>
                    <w:jc w:val="center"/>
                    <w:rPr>
                      <w:bCs/>
                      <w:szCs w:val="21"/>
                      <w:highlight w:val="none"/>
                    </w:rPr>
                  </w:pPr>
                  <w:r>
                    <w:rPr>
                      <w:rFonts w:hint="eastAsia"/>
                      <w:szCs w:val="21"/>
                      <w:highlight w:val="none"/>
                    </w:rPr>
                    <w:t>承德泓辉双合淀粉有限公司污水处理站进水指标</w:t>
                  </w:r>
                </w:p>
              </w:tc>
              <w:tc>
                <w:tcPr>
                  <w:tcW w:w="933" w:type="pct"/>
                  <w:vAlign w:val="center"/>
                </w:tcPr>
                <w:p w14:paraId="05656814">
                  <w:pPr>
                    <w:adjustRightInd w:val="0"/>
                    <w:snapToGrid w:val="0"/>
                    <w:jc w:val="center"/>
                    <w:rPr>
                      <w:bCs/>
                      <w:szCs w:val="21"/>
                      <w:highlight w:val="none"/>
                    </w:rPr>
                  </w:pPr>
                  <w:r>
                    <w:rPr>
                      <w:bCs/>
                      <w:szCs w:val="21"/>
                      <w:highlight w:val="none"/>
                    </w:rPr>
                    <w:t>pH</w:t>
                  </w:r>
                </w:p>
              </w:tc>
              <w:tc>
                <w:tcPr>
                  <w:tcW w:w="711" w:type="pct"/>
                  <w:vAlign w:val="center"/>
                </w:tcPr>
                <w:p w14:paraId="1E568D40">
                  <w:pPr>
                    <w:adjustRightInd w:val="0"/>
                    <w:snapToGrid w:val="0"/>
                    <w:jc w:val="center"/>
                    <w:rPr>
                      <w:bCs/>
                      <w:szCs w:val="21"/>
                      <w:highlight w:val="none"/>
                    </w:rPr>
                  </w:pPr>
                  <w:r>
                    <w:rPr>
                      <w:bCs/>
                      <w:szCs w:val="21"/>
                      <w:highlight w:val="none"/>
                    </w:rPr>
                    <w:t>6-9</w:t>
                  </w:r>
                </w:p>
              </w:tc>
            </w:tr>
            <w:tr w14:paraId="29ADF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9" w:type="pct"/>
                  <w:vMerge w:val="continue"/>
                  <w:vAlign w:val="center"/>
                </w:tcPr>
                <w:p w14:paraId="300B5D0C">
                  <w:pPr>
                    <w:adjustRightInd w:val="0"/>
                    <w:snapToGrid w:val="0"/>
                    <w:jc w:val="center"/>
                    <w:rPr>
                      <w:bCs/>
                      <w:szCs w:val="21"/>
                      <w:highlight w:val="none"/>
                    </w:rPr>
                  </w:pPr>
                </w:p>
              </w:tc>
              <w:tc>
                <w:tcPr>
                  <w:tcW w:w="419" w:type="pct"/>
                  <w:vMerge w:val="continue"/>
                  <w:vAlign w:val="center"/>
                </w:tcPr>
                <w:p w14:paraId="3EFD7365">
                  <w:pPr>
                    <w:adjustRightInd w:val="0"/>
                    <w:snapToGrid w:val="0"/>
                    <w:jc w:val="center"/>
                    <w:rPr>
                      <w:bCs/>
                      <w:szCs w:val="21"/>
                      <w:highlight w:val="none"/>
                    </w:rPr>
                  </w:pPr>
                </w:p>
              </w:tc>
              <w:tc>
                <w:tcPr>
                  <w:tcW w:w="1209" w:type="pct"/>
                  <w:vMerge w:val="continue"/>
                  <w:vAlign w:val="center"/>
                </w:tcPr>
                <w:p w14:paraId="1C40C1F6">
                  <w:pPr>
                    <w:adjustRightInd w:val="0"/>
                    <w:snapToGrid w:val="0"/>
                    <w:jc w:val="center"/>
                    <w:rPr>
                      <w:bCs/>
                      <w:szCs w:val="21"/>
                      <w:highlight w:val="none"/>
                    </w:rPr>
                  </w:pPr>
                </w:p>
              </w:tc>
              <w:tc>
                <w:tcPr>
                  <w:tcW w:w="1376" w:type="pct"/>
                  <w:vMerge w:val="continue"/>
                  <w:vAlign w:val="center"/>
                </w:tcPr>
                <w:p w14:paraId="7B5DACCA">
                  <w:pPr>
                    <w:adjustRightInd w:val="0"/>
                    <w:snapToGrid w:val="0"/>
                    <w:jc w:val="center"/>
                    <w:rPr>
                      <w:bCs/>
                      <w:szCs w:val="21"/>
                      <w:highlight w:val="none"/>
                    </w:rPr>
                  </w:pPr>
                </w:p>
              </w:tc>
              <w:tc>
                <w:tcPr>
                  <w:tcW w:w="933" w:type="pct"/>
                  <w:vAlign w:val="center"/>
                </w:tcPr>
                <w:p w14:paraId="53BACAF3">
                  <w:pPr>
                    <w:adjustRightInd w:val="0"/>
                    <w:snapToGrid w:val="0"/>
                    <w:jc w:val="center"/>
                    <w:rPr>
                      <w:bCs/>
                      <w:szCs w:val="21"/>
                      <w:highlight w:val="none"/>
                    </w:rPr>
                  </w:pPr>
                  <w:r>
                    <w:rPr>
                      <w:bCs/>
                      <w:szCs w:val="21"/>
                      <w:highlight w:val="none"/>
                    </w:rPr>
                    <w:t>COD</w:t>
                  </w:r>
                </w:p>
              </w:tc>
              <w:tc>
                <w:tcPr>
                  <w:tcW w:w="711" w:type="pct"/>
                  <w:vAlign w:val="center"/>
                </w:tcPr>
                <w:p w14:paraId="4008B900">
                  <w:pPr>
                    <w:adjustRightInd w:val="0"/>
                    <w:snapToGrid w:val="0"/>
                    <w:jc w:val="center"/>
                    <w:rPr>
                      <w:rFonts w:hint="default" w:eastAsia="宋体"/>
                      <w:bCs/>
                      <w:szCs w:val="21"/>
                      <w:highlight w:val="none"/>
                      <w:lang w:val="en-US" w:eastAsia="zh-CN"/>
                    </w:rPr>
                  </w:pPr>
                  <w:r>
                    <w:rPr>
                      <w:rFonts w:hint="eastAsia"/>
                      <w:bCs/>
                      <w:szCs w:val="21"/>
                      <w:highlight w:val="none"/>
                      <w:lang w:val="en-US" w:eastAsia="zh-CN"/>
                    </w:rPr>
                    <w:t>20000</w:t>
                  </w:r>
                </w:p>
              </w:tc>
            </w:tr>
            <w:tr w14:paraId="01398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9" w:type="pct"/>
                  <w:vMerge w:val="continue"/>
                  <w:vAlign w:val="center"/>
                </w:tcPr>
                <w:p w14:paraId="49208921">
                  <w:pPr>
                    <w:adjustRightInd w:val="0"/>
                    <w:snapToGrid w:val="0"/>
                    <w:jc w:val="center"/>
                    <w:rPr>
                      <w:bCs/>
                      <w:szCs w:val="21"/>
                      <w:highlight w:val="none"/>
                    </w:rPr>
                  </w:pPr>
                </w:p>
              </w:tc>
              <w:tc>
                <w:tcPr>
                  <w:tcW w:w="419" w:type="pct"/>
                  <w:vMerge w:val="continue"/>
                  <w:vAlign w:val="center"/>
                </w:tcPr>
                <w:p w14:paraId="003984B1">
                  <w:pPr>
                    <w:adjustRightInd w:val="0"/>
                    <w:snapToGrid w:val="0"/>
                    <w:jc w:val="center"/>
                    <w:rPr>
                      <w:bCs/>
                      <w:szCs w:val="21"/>
                      <w:highlight w:val="none"/>
                    </w:rPr>
                  </w:pPr>
                </w:p>
              </w:tc>
              <w:tc>
                <w:tcPr>
                  <w:tcW w:w="1209" w:type="pct"/>
                  <w:vMerge w:val="continue"/>
                  <w:vAlign w:val="center"/>
                </w:tcPr>
                <w:p w14:paraId="39A43BA4">
                  <w:pPr>
                    <w:adjustRightInd w:val="0"/>
                    <w:snapToGrid w:val="0"/>
                    <w:jc w:val="center"/>
                    <w:rPr>
                      <w:bCs/>
                      <w:szCs w:val="21"/>
                      <w:highlight w:val="none"/>
                    </w:rPr>
                  </w:pPr>
                </w:p>
              </w:tc>
              <w:tc>
                <w:tcPr>
                  <w:tcW w:w="1376" w:type="pct"/>
                  <w:vMerge w:val="continue"/>
                  <w:vAlign w:val="center"/>
                </w:tcPr>
                <w:p w14:paraId="6C90C50A">
                  <w:pPr>
                    <w:adjustRightInd w:val="0"/>
                    <w:snapToGrid w:val="0"/>
                    <w:jc w:val="center"/>
                    <w:rPr>
                      <w:bCs/>
                      <w:szCs w:val="21"/>
                      <w:highlight w:val="none"/>
                    </w:rPr>
                  </w:pPr>
                </w:p>
              </w:tc>
              <w:tc>
                <w:tcPr>
                  <w:tcW w:w="933" w:type="pct"/>
                  <w:vAlign w:val="center"/>
                </w:tcPr>
                <w:p w14:paraId="08E3FD48">
                  <w:pPr>
                    <w:adjustRightInd w:val="0"/>
                    <w:snapToGrid w:val="0"/>
                    <w:jc w:val="center"/>
                    <w:rPr>
                      <w:bCs/>
                      <w:szCs w:val="21"/>
                      <w:highlight w:val="none"/>
                    </w:rPr>
                  </w:pPr>
                  <w:r>
                    <w:rPr>
                      <w:bCs/>
                      <w:szCs w:val="21"/>
                      <w:highlight w:val="none"/>
                    </w:rPr>
                    <w:t>SS</w:t>
                  </w:r>
                </w:p>
              </w:tc>
              <w:tc>
                <w:tcPr>
                  <w:tcW w:w="711" w:type="pct"/>
                  <w:vAlign w:val="center"/>
                </w:tcPr>
                <w:p w14:paraId="2D787552">
                  <w:pPr>
                    <w:adjustRightInd w:val="0"/>
                    <w:snapToGrid w:val="0"/>
                    <w:jc w:val="center"/>
                    <w:rPr>
                      <w:rFonts w:hint="default" w:eastAsia="宋体"/>
                      <w:bCs/>
                      <w:szCs w:val="21"/>
                      <w:highlight w:val="none"/>
                      <w:lang w:val="en-US" w:eastAsia="zh-CN"/>
                    </w:rPr>
                  </w:pPr>
                  <w:r>
                    <w:rPr>
                      <w:rFonts w:hint="eastAsia"/>
                      <w:bCs/>
                      <w:szCs w:val="21"/>
                      <w:highlight w:val="none"/>
                      <w:lang w:val="en-US" w:eastAsia="zh-CN"/>
                    </w:rPr>
                    <w:t>5000</w:t>
                  </w:r>
                </w:p>
              </w:tc>
            </w:tr>
          </w:tbl>
          <w:p w14:paraId="252B51EE">
            <w:pPr>
              <w:snapToGrid w:val="0"/>
              <w:spacing w:before="120" w:beforeLines="50" w:line="360" w:lineRule="auto"/>
              <w:ind w:firstLine="480" w:firstLineChars="200"/>
              <w:rPr>
                <w:sz w:val="24"/>
                <w:highlight w:val="none"/>
              </w:rPr>
            </w:pPr>
            <w:r>
              <w:rPr>
                <w:sz w:val="24"/>
                <w:highlight w:val="none"/>
              </w:rPr>
              <w:t>项目废水污染物排放信息表见下表：</w:t>
            </w:r>
          </w:p>
          <w:p w14:paraId="5BF6A2D2">
            <w:pPr>
              <w:pStyle w:val="50"/>
              <w:numPr>
                <w:ilvl w:val="0"/>
                <w:numId w:val="11"/>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项目废水污染物排放信息表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21"/>
              <w:gridCol w:w="1649"/>
              <w:gridCol w:w="1654"/>
              <w:gridCol w:w="2160"/>
              <w:gridCol w:w="1978"/>
            </w:tblGrid>
            <w:tr w14:paraId="0098B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3" w:type="pct"/>
                  <w:vAlign w:val="center"/>
                </w:tcPr>
                <w:p w14:paraId="30486185">
                  <w:pPr>
                    <w:jc w:val="center"/>
                    <w:rPr>
                      <w:b/>
                      <w:szCs w:val="21"/>
                      <w:highlight w:val="none"/>
                    </w:rPr>
                  </w:pPr>
                  <w:r>
                    <w:rPr>
                      <w:b/>
                      <w:szCs w:val="21"/>
                      <w:highlight w:val="none"/>
                    </w:rPr>
                    <w:t>序号</w:t>
                  </w:r>
                </w:p>
              </w:tc>
              <w:tc>
                <w:tcPr>
                  <w:tcW w:w="974" w:type="pct"/>
                  <w:vAlign w:val="center"/>
                </w:tcPr>
                <w:p w14:paraId="63D1F951">
                  <w:pPr>
                    <w:jc w:val="center"/>
                    <w:rPr>
                      <w:b/>
                      <w:szCs w:val="21"/>
                      <w:highlight w:val="none"/>
                    </w:rPr>
                  </w:pPr>
                  <w:r>
                    <w:rPr>
                      <w:b/>
                      <w:szCs w:val="21"/>
                      <w:highlight w:val="none"/>
                    </w:rPr>
                    <w:t>排放口编号</w:t>
                  </w:r>
                </w:p>
              </w:tc>
              <w:tc>
                <w:tcPr>
                  <w:tcW w:w="977" w:type="pct"/>
                  <w:vAlign w:val="center"/>
                </w:tcPr>
                <w:p w14:paraId="095675A4">
                  <w:pPr>
                    <w:jc w:val="center"/>
                    <w:rPr>
                      <w:b/>
                      <w:szCs w:val="21"/>
                      <w:highlight w:val="none"/>
                    </w:rPr>
                  </w:pPr>
                  <w:r>
                    <w:rPr>
                      <w:b/>
                      <w:szCs w:val="21"/>
                      <w:highlight w:val="none"/>
                    </w:rPr>
                    <w:t>污染物种类</w:t>
                  </w:r>
                </w:p>
              </w:tc>
              <w:tc>
                <w:tcPr>
                  <w:tcW w:w="1276" w:type="pct"/>
                  <w:vAlign w:val="center"/>
                </w:tcPr>
                <w:p w14:paraId="54EBC68E">
                  <w:pPr>
                    <w:jc w:val="center"/>
                    <w:rPr>
                      <w:b/>
                      <w:szCs w:val="21"/>
                      <w:highlight w:val="none"/>
                    </w:rPr>
                  </w:pPr>
                  <w:r>
                    <w:rPr>
                      <w:b/>
                      <w:szCs w:val="21"/>
                      <w:highlight w:val="none"/>
                    </w:rPr>
                    <w:t>排放浓度/（mg/L）</w:t>
                  </w:r>
                </w:p>
              </w:tc>
              <w:tc>
                <w:tcPr>
                  <w:tcW w:w="1168" w:type="pct"/>
                  <w:vAlign w:val="center"/>
                </w:tcPr>
                <w:p w14:paraId="742D1557">
                  <w:pPr>
                    <w:jc w:val="center"/>
                    <w:rPr>
                      <w:b/>
                      <w:szCs w:val="21"/>
                      <w:highlight w:val="none"/>
                    </w:rPr>
                  </w:pPr>
                  <w:r>
                    <w:rPr>
                      <w:b/>
                      <w:szCs w:val="21"/>
                      <w:highlight w:val="none"/>
                    </w:rPr>
                    <w:t>年排放量/（t/a）</w:t>
                  </w:r>
                </w:p>
              </w:tc>
            </w:tr>
            <w:tr w14:paraId="6309F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3" w:type="pct"/>
                  <w:vMerge w:val="restart"/>
                  <w:vAlign w:val="center"/>
                </w:tcPr>
                <w:p w14:paraId="7CA6CFE4">
                  <w:pPr>
                    <w:jc w:val="center"/>
                    <w:rPr>
                      <w:bCs/>
                      <w:szCs w:val="21"/>
                      <w:highlight w:val="none"/>
                    </w:rPr>
                  </w:pPr>
                  <w:r>
                    <w:rPr>
                      <w:bCs/>
                      <w:szCs w:val="21"/>
                      <w:highlight w:val="none"/>
                    </w:rPr>
                    <w:t>1</w:t>
                  </w:r>
                </w:p>
              </w:tc>
              <w:tc>
                <w:tcPr>
                  <w:tcW w:w="974" w:type="pct"/>
                  <w:vMerge w:val="restart"/>
                  <w:vAlign w:val="center"/>
                </w:tcPr>
                <w:p w14:paraId="2682509F">
                  <w:pPr>
                    <w:jc w:val="center"/>
                    <w:rPr>
                      <w:bCs/>
                      <w:szCs w:val="21"/>
                      <w:highlight w:val="none"/>
                    </w:rPr>
                  </w:pPr>
                  <w:r>
                    <w:rPr>
                      <w:szCs w:val="21"/>
                      <w:highlight w:val="none"/>
                    </w:rPr>
                    <w:t>DW001</w:t>
                  </w:r>
                </w:p>
              </w:tc>
              <w:tc>
                <w:tcPr>
                  <w:tcW w:w="977" w:type="pct"/>
                  <w:vAlign w:val="center"/>
                </w:tcPr>
                <w:p w14:paraId="705BAD44">
                  <w:pPr>
                    <w:jc w:val="center"/>
                    <w:rPr>
                      <w:bCs/>
                      <w:szCs w:val="21"/>
                      <w:highlight w:val="none"/>
                    </w:rPr>
                  </w:pPr>
                  <w:r>
                    <w:rPr>
                      <w:bCs/>
                      <w:szCs w:val="21"/>
                      <w:highlight w:val="none"/>
                    </w:rPr>
                    <w:t>COD</w:t>
                  </w:r>
                </w:p>
              </w:tc>
              <w:tc>
                <w:tcPr>
                  <w:tcW w:w="1276" w:type="pct"/>
                  <w:vAlign w:val="center"/>
                </w:tcPr>
                <w:p w14:paraId="0812EAD0">
                  <w:pPr>
                    <w:widowControl/>
                    <w:jc w:val="center"/>
                    <w:textAlignment w:val="center"/>
                    <w:rPr>
                      <w:rFonts w:hint="default" w:eastAsia="宋体"/>
                      <w:bCs/>
                      <w:szCs w:val="21"/>
                      <w:highlight w:val="none"/>
                      <w:lang w:val="en-US" w:eastAsia="zh-CN"/>
                    </w:rPr>
                  </w:pPr>
                  <w:r>
                    <w:rPr>
                      <w:rFonts w:hint="eastAsia"/>
                      <w:bCs/>
                      <w:szCs w:val="21"/>
                      <w:highlight w:val="none"/>
                      <w:lang w:val="en-US" w:eastAsia="zh-CN"/>
                    </w:rPr>
                    <w:t>50</w:t>
                  </w:r>
                </w:p>
              </w:tc>
              <w:tc>
                <w:tcPr>
                  <w:tcW w:w="1168" w:type="pct"/>
                  <w:vAlign w:val="center"/>
                </w:tcPr>
                <w:p w14:paraId="58C6F09F">
                  <w:pPr>
                    <w:widowControl/>
                    <w:jc w:val="center"/>
                    <w:textAlignment w:val="center"/>
                    <w:rPr>
                      <w:rFonts w:hint="default" w:eastAsia="宋体"/>
                      <w:bCs/>
                      <w:szCs w:val="21"/>
                      <w:highlight w:val="none"/>
                      <w:lang w:val="en-US" w:eastAsia="zh-CN"/>
                    </w:rPr>
                  </w:pPr>
                  <w:r>
                    <w:rPr>
                      <w:rFonts w:hint="eastAsia"/>
                      <w:bCs/>
                      <w:szCs w:val="21"/>
                      <w:highlight w:val="none"/>
                      <w:lang w:val="en-US" w:eastAsia="zh-CN"/>
                    </w:rPr>
                    <w:t>0.011</w:t>
                  </w:r>
                </w:p>
              </w:tc>
            </w:tr>
            <w:tr w14:paraId="752D8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4EF65188">
                  <w:pPr>
                    <w:jc w:val="center"/>
                    <w:rPr>
                      <w:bCs/>
                      <w:szCs w:val="21"/>
                      <w:highlight w:val="none"/>
                    </w:rPr>
                  </w:pPr>
                </w:p>
              </w:tc>
              <w:tc>
                <w:tcPr>
                  <w:tcW w:w="974" w:type="pct"/>
                  <w:vMerge w:val="continue"/>
                  <w:vAlign w:val="center"/>
                </w:tcPr>
                <w:p w14:paraId="5AA2B355">
                  <w:pPr>
                    <w:jc w:val="center"/>
                    <w:rPr>
                      <w:bCs/>
                      <w:szCs w:val="21"/>
                      <w:highlight w:val="none"/>
                    </w:rPr>
                  </w:pPr>
                </w:p>
              </w:tc>
              <w:tc>
                <w:tcPr>
                  <w:tcW w:w="977" w:type="pct"/>
                  <w:vAlign w:val="center"/>
                </w:tcPr>
                <w:p w14:paraId="2EC6B76B">
                  <w:pPr>
                    <w:jc w:val="center"/>
                    <w:rPr>
                      <w:bCs/>
                      <w:szCs w:val="21"/>
                      <w:highlight w:val="none"/>
                    </w:rPr>
                  </w:pPr>
                  <w:r>
                    <w:rPr>
                      <w:bCs/>
                      <w:szCs w:val="21"/>
                      <w:highlight w:val="none"/>
                    </w:rPr>
                    <w:t>SS</w:t>
                  </w:r>
                </w:p>
              </w:tc>
              <w:tc>
                <w:tcPr>
                  <w:tcW w:w="1276" w:type="pct"/>
                  <w:vAlign w:val="center"/>
                </w:tcPr>
                <w:p w14:paraId="18776129">
                  <w:pPr>
                    <w:widowControl/>
                    <w:jc w:val="center"/>
                    <w:textAlignment w:val="center"/>
                    <w:rPr>
                      <w:rFonts w:hint="default" w:eastAsia="宋体"/>
                      <w:bCs/>
                      <w:szCs w:val="21"/>
                      <w:highlight w:val="none"/>
                      <w:lang w:val="en-US" w:eastAsia="zh-CN"/>
                    </w:rPr>
                  </w:pPr>
                  <w:r>
                    <w:rPr>
                      <w:rFonts w:hint="eastAsia"/>
                      <w:bCs/>
                      <w:szCs w:val="21"/>
                      <w:highlight w:val="none"/>
                      <w:lang w:val="en-US" w:eastAsia="zh-CN"/>
                    </w:rPr>
                    <w:t>10</w:t>
                  </w:r>
                </w:p>
              </w:tc>
              <w:tc>
                <w:tcPr>
                  <w:tcW w:w="1168" w:type="pct"/>
                  <w:vAlign w:val="center"/>
                </w:tcPr>
                <w:p w14:paraId="36D71AD7">
                  <w:pPr>
                    <w:widowControl/>
                    <w:jc w:val="center"/>
                    <w:textAlignment w:val="center"/>
                    <w:rPr>
                      <w:rFonts w:hint="default" w:eastAsia="宋体"/>
                      <w:bCs/>
                      <w:szCs w:val="21"/>
                      <w:highlight w:val="none"/>
                      <w:lang w:val="en-US" w:eastAsia="zh-CN"/>
                    </w:rPr>
                  </w:pPr>
                  <w:r>
                    <w:rPr>
                      <w:rFonts w:hint="eastAsia"/>
                      <w:bCs/>
                      <w:szCs w:val="21"/>
                      <w:highlight w:val="none"/>
                      <w:lang w:val="en-US" w:eastAsia="zh-CN"/>
                    </w:rPr>
                    <w:t>0.002</w:t>
                  </w:r>
                </w:p>
              </w:tc>
            </w:tr>
            <w:tr w14:paraId="2A458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77" w:type="pct"/>
                  <w:gridSpan w:val="2"/>
                  <w:vMerge w:val="restart"/>
                  <w:vAlign w:val="center"/>
                </w:tcPr>
                <w:p w14:paraId="493DF676">
                  <w:pPr>
                    <w:jc w:val="center"/>
                    <w:rPr>
                      <w:bCs/>
                      <w:szCs w:val="21"/>
                      <w:highlight w:val="none"/>
                    </w:rPr>
                  </w:pPr>
                  <w:r>
                    <w:rPr>
                      <w:bCs/>
                      <w:szCs w:val="21"/>
                      <w:highlight w:val="none"/>
                    </w:rPr>
                    <w:t>全厂排放口合计</w:t>
                  </w:r>
                </w:p>
              </w:tc>
              <w:tc>
                <w:tcPr>
                  <w:tcW w:w="2253" w:type="pct"/>
                  <w:gridSpan w:val="2"/>
                  <w:vAlign w:val="center"/>
                </w:tcPr>
                <w:p w14:paraId="6924F78E">
                  <w:pPr>
                    <w:jc w:val="center"/>
                    <w:rPr>
                      <w:bCs/>
                      <w:szCs w:val="21"/>
                      <w:highlight w:val="none"/>
                    </w:rPr>
                  </w:pPr>
                  <w:r>
                    <w:rPr>
                      <w:bCs/>
                      <w:szCs w:val="21"/>
                      <w:highlight w:val="none"/>
                    </w:rPr>
                    <w:t>COD</w:t>
                  </w:r>
                </w:p>
              </w:tc>
              <w:tc>
                <w:tcPr>
                  <w:tcW w:w="1168" w:type="pct"/>
                  <w:shd w:val="clear" w:color="auto" w:fill="auto"/>
                  <w:vAlign w:val="center"/>
                </w:tcPr>
                <w:p w14:paraId="4A39E651">
                  <w:pPr>
                    <w:widowControl/>
                    <w:jc w:val="center"/>
                    <w:textAlignment w:val="center"/>
                    <w:rPr>
                      <w:rFonts w:hint="default" w:ascii="Times New Roman" w:hAnsi="Times New Roman" w:eastAsia="宋体" w:cs="Times New Roman"/>
                      <w:bCs/>
                      <w:kern w:val="2"/>
                      <w:sz w:val="21"/>
                      <w:szCs w:val="21"/>
                      <w:highlight w:val="none"/>
                      <w:lang w:val="en-US" w:eastAsia="zh-CN" w:bidi="ar-SA"/>
                    </w:rPr>
                  </w:pPr>
                  <w:r>
                    <w:rPr>
                      <w:rFonts w:hint="eastAsia"/>
                      <w:bCs/>
                      <w:szCs w:val="21"/>
                      <w:highlight w:val="none"/>
                      <w:lang w:val="en-US" w:eastAsia="zh-CN"/>
                    </w:rPr>
                    <w:t>0.011</w:t>
                  </w:r>
                </w:p>
              </w:tc>
            </w:tr>
            <w:tr w14:paraId="669D9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77" w:type="pct"/>
                  <w:gridSpan w:val="2"/>
                  <w:vMerge w:val="continue"/>
                  <w:vAlign w:val="center"/>
                </w:tcPr>
                <w:p w14:paraId="47A0B106">
                  <w:pPr>
                    <w:jc w:val="center"/>
                    <w:rPr>
                      <w:bCs/>
                      <w:szCs w:val="21"/>
                      <w:highlight w:val="none"/>
                    </w:rPr>
                  </w:pPr>
                </w:p>
              </w:tc>
              <w:tc>
                <w:tcPr>
                  <w:tcW w:w="2253" w:type="pct"/>
                  <w:gridSpan w:val="2"/>
                  <w:vAlign w:val="center"/>
                </w:tcPr>
                <w:p w14:paraId="7AB40C7E">
                  <w:pPr>
                    <w:jc w:val="center"/>
                    <w:rPr>
                      <w:rFonts w:hint="default" w:eastAsia="宋体"/>
                      <w:bCs/>
                      <w:szCs w:val="21"/>
                      <w:highlight w:val="none"/>
                      <w:lang w:val="en-US" w:eastAsia="zh-CN"/>
                    </w:rPr>
                  </w:pPr>
                  <w:r>
                    <w:rPr>
                      <w:rFonts w:hint="eastAsia"/>
                      <w:bCs/>
                      <w:szCs w:val="21"/>
                      <w:highlight w:val="none"/>
                      <w:lang w:val="en-US" w:eastAsia="zh-CN"/>
                    </w:rPr>
                    <w:t>SS</w:t>
                  </w:r>
                </w:p>
              </w:tc>
              <w:tc>
                <w:tcPr>
                  <w:tcW w:w="1168" w:type="pct"/>
                  <w:shd w:val="clear" w:color="auto" w:fill="auto"/>
                  <w:vAlign w:val="center"/>
                </w:tcPr>
                <w:p w14:paraId="68502B64">
                  <w:pPr>
                    <w:widowControl/>
                    <w:jc w:val="center"/>
                    <w:textAlignment w:val="center"/>
                    <w:rPr>
                      <w:rFonts w:hint="default" w:ascii="Times New Roman" w:hAnsi="Times New Roman" w:eastAsia="宋体" w:cs="Times New Roman"/>
                      <w:bCs/>
                      <w:kern w:val="2"/>
                      <w:sz w:val="21"/>
                      <w:szCs w:val="21"/>
                      <w:highlight w:val="none"/>
                      <w:lang w:val="en-US" w:eastAsia="zh-CN" w:bidi="ar-SA"/>
                    </w:rPr>
                  </w:pPr>
                  <w:r>
                    <w:rPr>
                      <w:rFonts w:hint="eastAsia"/>
                      <w:bCs/>
                      <w:szCs w:val="21"/>
                      <w:highlight w:val="none"/>
                      <w:lang w:val="en-US" w:eastAsia="zh-CN"/>
                    </w:rPr>
                    <w:t>0.002</w:t>
                  </w:r>
                </w:p>
              </w:tc>
            </w:tr>
          </w:tbl>
          <w:p w14:paraId="526E43EF">
            <w:pPr>
              <w:spacing w:before="120" w:beforeLines="50" w:line="360" w:lineRule="auto"/>
              <w:ind w:firstLine="482"/>
              <w:rPr>
                <w:b/>
                <w:sz w:val="24"/>
                <w:highlight w:val="none"/>
              </w:rPr>
            </w:pPr>
            <w:r>
              <w:rPr>
                <w:rFonts w:hint="eastAsia"/>
                <w:b/>
                <w:sz w:val="24"/>
                <w:highlight w:val="none"/>
              </w:rPr>
              <w:t>（2）废水污染治理设施的可行性</w:t>
            </w:r>
          </w:p>
          <w:p w14:paraId="5C506E86">
            <w:pPr>
              <w:spacing w:line="360" w:lineRule="auto"/>
              <w:ind w:firstLine="480"/>
              <w:rPr>
                <w:rFonts w:hint="eastAsia" w:ascii="Times New Roman" w:hAnsi="Times New Roman" w:eastAsia="宋体" w:cs="Times New Roman"/>
                <w:sz w:val="24"/>
                <w:highlight w:val="none"/>
                <w:lang w:val="en-US" w:eastAsia="zh-CN"/>
              </w:rPr>
            </w:pPr>
            <w:r>
              <w:rPr>
                <w:rFonts w:hint="eastAsia"/>
                <w:sz w:val="24"/>
                <w:highlight w:val="none"/>
              </w:rPr>
              <w:t>承德泓辉双合淀粉有限公司污水处理站</w:t>
            </w:r>
            <w:r>
              <w:rPr>
                <w:sz w:val="24"/>
                <w:highlight w:val="none"/>
              </w:rPr>
              <w:t>污水处理能力为</w:t>
            </w:r>
            <w:r>
              <w:rPr>
                <w:rFonts w:hint="eastAsia"/>
                <w:sz w:val="24"/>
                <w:highlight w:val="none"/>
                <w:lang w:val="en-US" w:eastAsia="zh-CN"/>
              </w:rPr>
              <w:t>1500</w:t>
            </w:r>
            <w:r>
              <w:rPr>
                <w:sz w:val="24"/>
                <w:highlight w:val="none"/>
              </w:rPr>
              <w:t>m</w:t>
            </w:r>
            <w:r>
              <w:rPr>
                <w:sz w:val="24"/>
                <w:highlight w:val="none"/>
                <w:vertAlign w:val="superscript"/>
              </w:rPr>
              <w:t>3</w:t>
            </w:r>
            <w:r>
              <w:rPr>
                <w:sz w:val="24"/>
                <w:highlight w:val="none"/>
              </w:rPr>
              <w:t>/d，</w:t>
            </w:r>
            <w:r>
              <w:rPr>
                <w:rFonts w:hint="eastAsia" w:ascii="Times New Roman" w:hAnsi="Times New Roman" w:eastAsia="宋体" w:cs="Times New Roman"/>
                <w:sz w:val="24"/>
                <w:highlight w:val="none"/>
                <w:lang w:val="en-US" w:eastAsia="zh-CN"/>
              </w:rPr>
              <w:t>剩余日处理能力917.23m</w:t>
            </w:r>
            <w:r>
              <w:rPr>
                <w:rFonts w:hint="eastAsia" w:ascii="Times New Roman" w:hAnsi="Times New Roman" w:eastAsia="宋体" w:cs="Times New Roman"/>
                <w:sz w:val="24"/>
                <w:highlight w:val="none"/>
                <w:vertAlign w:val="superscript"/>
                <w:lang w:val="en-US" w:eastAsia="zh-CN"/>
              </w:rPr>
              <w:t>3</w:t>
            </w:r>
            <w:r>
              <w:rPr>
                <w:rFonts w:hint="eastAsia" w:ascii="Times New Roman" w:hAnsi="Times New Roman" w:eastAsia="宋体" w:cs="Times New Roman"/>
                <w:sz w:val="24"/>
                <w:highlight w:val="none"/>
                <w:lang w:val="en-US" w:eastAsia="zh-CN"/>
              </w:rPr>
              <w:t>，本项目废水排放量为2.426m</w:t>
            </w:r>
            <w:r>
              <w:rPr>
                <w:rFonts w:hint="eastAsia" w:ascii="Times New Roman" w:hAnsi="Times New Roman" w:eastAsia="宋体" w:cs="Times New Roman"/>
                <w:sz w:val="24"/>
                <w:highlight w:val="none"/>
                <w:vertAlign w:val="superscript"/>
                <w:lang w:val="en-US" w:eastAsia="zh-CN"/>
              </w:rPr>
              <w:t>3</w:t>
            </w:r>
            <w:r>
              <w:rPr>
                <w:rFonts w:hint="eastAsia" w:ascii="Times New Roman" w:hAnsi="Times New Roman" w:eastAsia="宋体" w:cs="Times New Roman"/>
                <w:sz w:val="24"/>
                <w:highlight w:val="none"/>
                <w:lang w:val="en-US" w:eastAsia="zh-CN"/>
              </w:rPr>
              <w:t>/d，占污水处理厂的剩余处理能力的0.3%，可以满足污水排放需求。</w:t>
            </w:r>
          </w:p>
          <w:p w14:paraId="14ACF65B">
            <w:pPr>
              <w:spacing w:line="360" w:lineRule="auto"/>
              <w:ind w:firstLine="480"/>
              <w:rPr>
                <w:sz w:val="24"/>
                <w:highlight w:val="none"/>
              </w:rPr>
            </w:pPr>
            <w:r>
              <w:rPr>
                <w:rFonts w:hint="eastAsia"/>
                <w:sz w:val="24"/>
                <w:highlight w:val="none"/>
              </w:rPr>
              <w:t>承德泓辉双合淀粉有限公司污水处理站</w:t>
            </w:r>
            <w:r>
              <w:rPr>
                <w:sz w:val="24"/>
                <w:highlight w:val="none"/>
              </w:rPr>
              <w:t>污水处理工艺为</w:t>
            </w:r>
            <w:r>
              <w:rPr>
                <w:rFonts w:hint="eastAsia"/>
                <w:sz w:val="24"/>
                <w:highlight w:val="none"/>
              </w:rPr>
              <w:t>“蛋白回收+絮凝沉淀+水解酸化+PEIC厌氧反应+氨氮吹脱+AO活性污泥+芬顿氧化”</w:t>
            </w:r>
            <w:r>
              <w:rPr>
                <w:sz w:val="24"/>
                <w:highlight w:val="none"/>
              </w:rPr>
              <w:t>；处理后的水质指标可达到《城镇污水处理厂污染物排放标准》（GB18918-2002）一级A标准，最终排入</w:t>
            </w:r>
            <w:r>
              <w:rPr>
                <w:rFonts w:hint="eastAsia"/>
                <w:sz w:val="24"/>
                <w:highlight w:val="none"/>
              </w:rPr>
              <w:t>蚁蚂吐河</w:t>
            </w:r>
            <w:r>
              <w:rPr>
                <w:sz w:val="24"/>
                <w:highlight w:val="none"/>
              </w:rPr>
              <w:t>。该污水处理</w:t>
            </w:r>
            <w:r>
              <w:rPr>
                <w:rFonts w:hint="eastAsia"/>
                <w:sz w:val="24"/>
                <w:highlight w:val="none"/>
                <w:lang w:val="en-US" w:eastAsia="zh-CN"/>
              </w:rPr>
              <w:t>站</w:t>
            </w:r>
            <w:r>
              <w:rPr>
                <w:sz w:val="24"/>
                <w:highlight w:val="none"/>
              </w:rPr>
              <w:t>的进水指标为COD≤</w:t>
            </w:r>
            <w:r>
              <w:rPr>
                <w:rFonts w:hint="eastAsia"/>
                <w:sz w:val="24"/>
                <w:highlight w:val="none"/>
                <w:lang w:val="en-US" w:eastAsia="zh-CN"/>
              </w:rPr>
              <w:t>2000</w:t>
            </w:r>
            <w:r>
              <w:rPr>
                <w:sz w:val="24"/>
                <w:highlight w:val="none"/>
              </w:rPr>
              <w:t>0mg/L，SS≤</w:t>
            </w:r>
            <w:r>
              <w:rPr>
                <w:rFonts w:hint="eastAsia"/>
                <w:sz w:val="24"/>
                <w:highlight w:val="none"/>
                <w:lang w:val="en-US" w:eastAsia="zh-CN"/>
              </w:rPr>
              <w:t>500</w:t>
            </w:r>
            <w:r>
              <w:rPr>
                <w:sz w:val="24"/>
                <w:highlight w:val="none"/>
              </w:rPr>
              <w:t>0mg/L，pH为6-</w:t>
            </w:r>
            <w:r>
              <w:rPr>
                <w:rFonts w:hint="eastAsia"/>
                <w:sz w:val="24"/>
                <w:highlight w:val="none"/>
              </w:rPr>
              <w:t>9</w:t>
            </w:r>
            <w:r>
              <w:rPr>
                <w:sz w:val="24"/>
                <w:highlight w:val="none"/>
              </w:rPr>
              <w:t>。项目废水水质满足</w:t>
            </w:r>
            <w:r>
              <w:rPr>
                <w:rFonts w:hint="eastAsia"/>
                <w:sz w:val="24"/>
                <w:highlight w:val="none"/>
              </w:rPr>
              <w:t>承德泓辉双合淀粉有限公司污水处理站</w:t>
            </w:r>
            <w:r>
              <w:rPr>
                <w:sz w:val="24"/>
                <w:highlight w:val="none"/>
              </w:rPr>
              <w:t>的进水指标。</w:t>
            </w:r>
          </w:p>
          <w:p w14:paraId="4A73B535">
            <w:pPr>
              <w:spacing w:line="360" w:lineRule="auto"/>
              <w:ind w:firstLine="480"/>
              <w:rPr>
                <w:b/>
                <w:sz w:val="24"/>
                <w:highlight w:val="none"/>
              </w:rPr>
            </w:pPr>
            <w:r>
              <w:rPr>
                <w:sz w:val="24"/>
                <w:highlight w:val="none"/>
              </w:rPr>
              <w:t>综上</w:t>
            </w:r>
            <w:r>
              <w:rPr>
                <w:rFonts w:hint="eastAsia"/>
                <w:sz w:val="24"/>
                <w:highlight w:val="none"/>
              </w:rPr>
              <w:t>，</w:t>
            </w:r>
            <w:r>
              <w:rPr>
                <w:sz w:val="24"/>
                <w:highlight w:val="none"/>
              </w:rPr>
              <w:t>项目废水依托</w:t>
            </w:r>
            <w:r>
              <w:rPr>
                <w:rFonts w:hint="eastAsia"/>
                <w:sz w:val="24"/>
                <w:highlight w:val="none"/>
              </w:rPr>
              <w:t>承德泓辉双合淀粉有限公司污水处理站</w:t>
            </w:r>
            <w:r>
              <w:rPr>
                <w:sz w:val="24"/>
                <w:highlight w:val="none"/>
              </w:rPr>
              <w:t>处理可行。</w:t>
            </w:r>
          </w:p>
          <w:p w14:paraId="174A9E94">
            <w:pPr>
              <w:spacing w:line="360" w:lineRule="auto"/>
              <w:ind w:firstLine="480"/>
              <w:rPr>
                <w:b/>
                <w:sz w:val="24"/>
                <w:highlight w:val="none"/>
              </w:rPr>
            </w:pPr>
            <w:r>
              <w:rPr>
                <w:rFonts w:hint="eastAsia"/>
                <w:b/>
                <w:sz w:val="24"/>
                <w:highlight w:val="none"/>
              </w:rPr>
              <w:t>（</w:t>
            </w:r>
            <w:r>
              <w:rPr>
                <w:b/>
                <w:sz w:val="24"/>
                <w:highlight w:val="none"/>
              </w:rPr>
              <w:t>3</w:t>
            </w:r>
            <w:r>
              <w:rPr>
                <w:rFonts w:hint="eastAsia"/>
                <w:b/>
                <w:sz w:val="24"/>
                <w:highlight w:val="none"/>
              </w:rPr>
              <w:t>）地表水环境影响分析结论</w:t>
            </w:r>
          </w:p>
          <w:p w14:paraId="24B25BD9">
            <w:pPr>
              <w:adjustRightInd w:val="0"/>
              <w:spacing w:line="360" w:lineRule="auto"/>
              <w:ind w:firstLine="480" w:firstLineChars="200"/>
              <w:rPr>
                <w:sz w:val="24"/>
                <w:highlight w:val="none"/>
              </w:rPr>
            </w:pPr>
            <w:r>
              <w:rPr>
                <w:rFonts w:hint="eastAsia"/>
                <w:sz w:val="24"/>
                <w:highlight w:val="none"/>
              </w:rPr>
              <w:t>综上，项</w:t>
            </w:r>
            <w:r>
              <w:rPr>
                <w:sz w:val="24"/>
                <w:highlight w:val="none"/>
              </w:rPr>
              <w:t>目产生的废水</w:t>
            </w:r>
            <w:r>
              <w:rPr>
                <w:rFonts w:hint="eastAsia"/>
                <w:sz w:val="24"/>
                <w:highlight w:val="none"/>
              </w:rPr>
              <w:t>间接排放</w:t>
            </w:r>
            <w:r>
              <w:rPr>
                <w:sz w:val="24"/>
                <w:highlight w:val="none"/>
              </w:rPr>
              <w:t>，项目拟采取的水污染控制措施</w:t>
            </w:r>
            <w:r>
              <w:rPr>
                <w:rFonts w:hint="eastAsia"/>
                <w:sz w:val="24"/>
                <w:highlight w:val="none"/>
              </w:rPr>
              <w:t>具有可行性，</w:t>
            </w:r>
            <w:r>
              <w:rPr>
                <w:sz w:val="24"/>
                <w:highlight w:val="none"/>
              </w:rPr>
              <w:t>项目产生的地表水环境影响可接受。</w:t>
            </w:r>
          </w:p>
          <w:p w14:paraId="697A63A1">
            <w:pPr>
              <w:spacing w:line="360" w:lineRule="auto"/>
              <w:ind w:firstLine="482"/>
              <w:rPr>
                <w:b/>
                <w:sz w:val="24"/>
                <w:highlight w:val="none"/>
              </w:rPr>
            </w:pPr>
            <w:r>
              <w:rPr>
                <w:b/>
                <w:sz w:val="24"/>
                <w:highlight w:val="none"/>
              </w:rPr>
              <w:t>3．</w:t>
            </w:r>
            <w:r>
              <w:rPr>
                <w:rFonts w:hint="eastAsia"/>
                <w:b/>
                <w:sz w:val="24"/>
                <w:highlight w:val="none"/>
              </w:rPr>
              <w:t>声环境影响和保护措施</w:t>
            </w:r>
          </w:p>
          <w:p w14:paraId="00653793">
            <w:pPr>
              <w:spacing w:line="360" w:lineRule="auto"/>
              <w:ind w:firstLine="480"/>
              <w:rPr>
                <w:b/>
                <w:sz w:val="24"/>
                <w:highlight w:val="none"/>
              </w:rPr>
            </w:pPr>
            <w:r>
              <w:rPr>
                <w:rFonts w:hint="eastAsia"/>
                <w:b/>
                <w:sz w:val="24"/>
                <w:highlight w:val="none"/>
              </w:rPr>
              <w:t>（</w:t>
            </w:r>
            <w:r>
              <w:rPr>
                <w:b/>
                <w:sz w:val="24"/>
                <w:highlight w:val="none"/>
              </w:rPr>
              <w:t>1</w:t>
            </w:r>
            <w:r>
              <w:rPr>
                <w:rFonts w:hint="eastAsia"/>
                <w:b/>
                <w:sz w:val="24"/>
                <w:highlight w:val="none"/>
              </w:rPr>
              <w:t>）噪声源强分析</w:t>
            </w:r>
          </w:p>
          <w:p w14:paraId="3B6B0240">
            <w:pPr>
              <w:spacing w:line="360" w:lineRule="auto"/>
              <w:ind w:firstLine="480" w:firstLineChars="200"/>
              <w:rPr>
                <w:sz w:val="24"/>
                <w:highlight w:val="none"/>
              </w:rPr>
            </w:pPr>
            <w:r>
              <w:rPr>
                <w:rFonts w:hint="eastAsia"/>
                <w:sz w:val="24"/>
                <w:highlight w:val="none"/>
              </w:rPr>
              <w:t>项目</w:t>
            </w:r>
            <w:r>
              <w:rPr>
                <w:sz w:val="24"/>
                <w:highlight w:val="none"/>
              </w:rPr>
              <w:t>运营期主要噪声为生产设备噪声，生产设备噪声源主要为</w:t>
            </w:r>
            <w:r>
              <w:rPr>
                <w:rFonts w:hint="eastAsia"/>
                <w:sz w:val="24"/>
                <w:highlight w:val="none"/>
                <w:lang w:val="en-US" w:eastAsia="zh-CN"/>
              </w:rPr>
              <w:t>沼气锅炉、风机、泵类</w:t>
            </w:r>
            <w:r>
              <w:rPr>
                <w:kern w:val="44"/>
                <w:sz w:val="24"/>
                <w:highlight w:val="none"/>
              </w:rPr>
              <w:t>等设备运行过程中产生的机械噪声，</w:t>
            </w:r>
            <w:r>
              <w:rPr>
                <w:sz w:val="24"/>
                <w:highlight w:val="none"/>
              </w:rPr>
              <w:t>噪声源强为</w:t>
            </w:r>
            <w:r>
              <w:rPr>
                <w:rFonts w:hint="eastAsia"/>
                <w:sz w:val="24"/>
                <w:highlight w:val="none"/>
                <w:lang w:val="en-US" w:eastAsia="zh-CN"/>
              </w:rPr>
              <w:t>80-85</w:t>
            </w:r>
            <w:r>
              <w:rPr>
                <w:sz w:val="24"/>
                <w:highlight w:val="none"/>
              </w:rPr>
              <w:t>dB</w:t>
            </w:r>
            <w:r>
              <w:rPr>
                <w:kern w:val="44"/>
                <w:sz w:val="24"/>
                <w:highlight w:val="none"/>
              </w:rPr>
              <w:t>。</w:t>
            </w:r>
            <w:r>
              <w:rPr>
                <w:sz w:val="24"/>
                <w:highlight w:val="none"/>
              </w:rPr>
              <w:t>噪声源强见下表。</w:t>
            </w:r>
          </w:p>
          <w:p w14:paraId="32B750AD">
            <w:pPr>
              <w:pStyle w:val="50"/>
              <w:numPr>
                <w:ilvl w:val="0"/>
                <w:numId w:val="11"/>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项目主要噪声源一览表</w:t>
            </w:r>
          </w:p>
          <w:tbl>
            <w:tblPr>
              <w:tblStyle w:val="23"/>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3"/>
              <w:gridCol w:w="900"/>
              <w:gridCol w:w="1029"/>
              <w:gridCol w:w="799"/>
              <w:gridCol w:w="1047"/>
              <w:gridCol w:w="1357"/>
              <w:gridCol w:w="1047"/>
              <w:gridCol w:w="1643"/>
            </w:tblGrid>
            <w:tr w14:paraId="6591C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74" w:type="pct"/>
                  <w:vAlign w:val="center"/>
                </w:tcPr>
                <w:p w14:paraId="7BF8153D">
                  <w:pPr>
                    <w:pStyle w:val="74"/>
                    <w:keepNext w:val="0"/>
                    <w:keepLines w:val="0"/>
                    <w:widowControl/>
                    <w:suppressLineNumbers w:val="0"/>
                    <w:spacing w:before="0" w:beforeAutospacing="0" w:after="0" w:afterAutospacing="0"/>
                    <w:ind w:left="0" w:right="0"/>
                    <w:rPr>
                      <w:rFonts w:hint="default"/>
                      <w:b/>
                      <w:bCs/>
                      <w:color w:val="auto"/>
                      <w:highlight w:val="none"/>
                    </w:rPr>
                  </w:pPr>
                  <w:r>
                    <w:rPr>
                      <w:b/>
                      <w:bCs/>
                      <w:color w:val="auto"/>
                      <w:highlight w:val="none"/>
                    </w:rPr>
                    <w:t>序号</w:t>
                  </w:r>
                </w:p>
              </w:tc>
              <w:tc>
                <w:tcPr>
                  <w:tcW w:w="532" w:type="pct"/>
                  <w:vAlign w:val="center"/>
                </w:tcPr>
                <w:p w14:paraId="51E2B4F6">
                  <w:pPr>
                    <w:pStyle w:val="74"/>
                    <w:keepNext w:val="0"/>
                    <w:keepLines w:val="0"/>
                    <w:widowControl/>
                    <w:suppressLineNumbers w:val="0"/>
                    <w:spacing w:before="0" w:beforeAutospacing="0" w:after="0" w:afterAutospacing="0"/>
                    <w:ind w:left="0" w:right="0"/>
                    <w:rPr>
                      <w:rFonts w:hint="default"/>
                      <w:b/>
                      <w:bCs/>
                      <w:color w:val="auto"/>
                      <w:highlight w:val="none"/>
                    </w:rPr>
                  </w:pPr>
                  <w:r>
                    <w:rPr>
                      <w:b/>
                      <w:bCs/>
                      <w:color w:val="auto"/>
                      <w:highlight w:val="none"/>
                    </w:rPr>
                    <w:t>位置</w:t>
                  </w:r>
                </w:p>
              </w:tc>
              <w:tc>
                <w:tcPr>
                  <w:tcW w:w="608" w:type="pct"/>
                  <w:vAlign w:val="center"/>
                </w:tcPr>
                <w:p w14:paraId="200ABC4E">
                  <w:pPr>
                    <w:pStyle w:val="74"/>
                    <w:keepNext w:val="0"/>
                    <w:keepLines w:val="0"/>
                    <w:widowControl/>
                    <w:suppressLineNumbers w:val="0"/>
                    <w:spacing w:before="0" w:beforeAutospacing="0" w:after="0" w:afterAutospacing="0"/>
                    <w:ind w:left="0" w:right="0"/>
                    <w:rPr>
                      <w:rFonts w:hint="default"/>
                      <w:b/>
                      <w:bCs/>
                      <w:color w:val="auto"/>
                      <w:highlight w:val="none"/>
                    </w:rPr>
                  </w:pPr>
                  <w:r>
                    <w:rPr>
                      <w:b/>
                      <w:bCs/>
                      <w:color w:val="auto"/>
                      <w:highlight w:val="none"/>
                    </w:rPr>
                    <w:t>污染源</w:t>
                  </w:r>
                </w:p>
              </w:tc>
              <w:tc>
                <w:tcPr>
                  <w:tcW w:w="472" w:type="pct"/>
                  <w:vAlign w:val="center"/>
                </w:tcPr>
                <w:p w14:paraId="2C17BC40">
                  <w:pPr>
                    <w:pStyle w:val="74"/>
                    <w:keepNext w:val="0"/>
                    <w:keepLines w:val="0"/>
                    <w:widowControl/>
                    <w:suppressLineNumbers w:val="0"/>
                    <w:spacing w:before="0" w:beforeAutospacing="0" w:after="0" w:afterAutospacing="0"/>
                    <w:ind w:left="0" w:right="0"/>
                    <w:rPr>
                      <w:rFonts w:hint="default"/>
                      <w:b/>
                      <w:bCs/>
                      <w:color w:val="auto"/>
                      <w:highlight w:val="none"/>
                    </w:rPr>
                  </w:pPr>
                  <w:r>
                    <w:rPr>
                      <w:b/>
                      <w:bCs/>
                      <w:color w:val="auto"/>
                      <w:highlight w:val="none"/>
                    </w:rPr>
                    <w:t>数量</w:t>
                  </w:r>
                </w:p>
              </w:tc>
              <w:tc>
                <w:tcPr>
                  <w:tcW w:w="619" w:type="pct"/>
                  <w:vAlign w:val="center"/>
                </w:tcPr>
                <w:p w14:paraId="797770EB">
                  <w:pPr>
                    <w:pStyle w:val="74"/>
                    <w:keepNext w:val="0"/>
                    <w:keepLines w:val="0"/>
                    <w:widowControl/>
                    <w:suppressLineNumbers w:val="0"/>
                    <w:spacing w:before="0" w:beforeAutospacing="0" w:after="0" w:afterAutospacing="0"/>
                    <w:ind w:left="0" w:right="0"/>
                    <w:rPr>
                      <w:rFonts w:hint="default"/>
                      <w:b/>
                      <w:bCs/>
                      <w:color w:val="auto"/>
                      <w:highlight w:val="none"/>
                    </w:rPr>
                  </w:pPr>
                  <w:r>
                    <w:rPr>
                      <w:b/>
                      <w:bCs/>
                      <w:color w:val="auto"/>
                      <w:highlight w:val="none"/>
                    </w:rPr>
                    <w:t>源强（dB（A））</w:t>
                  </w:r>
                </w:p>
              </w:tc>
              <w:tc>
                <w:tcPr>
                  <w:tcW w:w="802" w:type="pct"/>
                  <w:vAlign w:val="center"/>
                </w:tcPr>
                <w:p w14:paraId="7450C762">
                  <w:pPr>
                    <w:pStyle w:val="74"/>
                    <w:keepNext w:val="0"/>
                    <w:keepLines w:val="0"/>
                    <w:widowControl/>
                    <w:suppressLineNumbers w:val="0"/>
                    <w:spacing w:before="0" w:beforeAutospacing="0" w:after="0" w:afterAutospacing="0"/>
                    <w:ind w:left="0" w:right="0"/>
                    <w:rPr>
                      <w:rFonts w:hint="default"/>
                      <w:b/>
                      <w:bCs/>
                      <w:color w:val="auto"/>
                      <w:highlight w:val="none"/>
                    </w:rPr>
                  </w:pPr>
                  <w:r>
                    <w:rPr>
                      <w:b/>
                      <w:bCs/>
                      <w:color w:val="auto"/>
                      <w:highlight w:val="none"/>
                    </w:rPr>
                    <w:t>降噪措施</w:t>
                  </w:r>
                </w:p>
              </w:tc>
              <w:tc>
                <w:tcPr>
                  <w:tcW w:w="619" w:type="pct"/>
                  <w:vAlign w:val="center"/>
                </w:tcPr>
                <w:p w14:paraId="2423B0EF">
                  <w:pPr>
                    <w:pStyle w:val="74"/>
                    <w:keepNext w:val="0"/>
                    <w:keepLines w:val="0"/>
                    <w:widowControl/>
                    <w:suppressLineNumbers w:val="0"/>
                    <w:spacing w:before="0" w:beforeAutospacing="0" w:after="0" w:afterAutospacing="0"/>
                    <w:ind w:left="0" w:right="0"/>
                    <w:rPr>
                      <w:rFonts w:hint="default"/>
                      <w:b/>
                      <w:bCs/>
                      <w:color w:val="auto"/>
                      <w:highlight w:val="none"/>
                    </w:rPr>
                  </w:pPr>
                  <w:r>
                    <w:rPr>
                      <w:b/>
                      <w:bCs/>
                      <w:color w:val="auto"/>
                      <w:highlight w:val="none"/>
                    </w:rPr>
                    <w:t>排放强度（dB（A））</w:t>
                  </w:r>
                </w:p>
              </w:tc>
              <w:tc>
                <w:tcPr>
                  <w:tcW w:w="971" w:type="pct"/>
                  <w:vAlign w:val="center"/>
                </w:tcPr>
                <w:p w14:paraId="58004D02">
                  <w:pPr>
                    <w:pStyle w:val="74"/>
                    <w:keepNext w:val="0"/>
                    <w:keepLines w:val="0"/>
                    <w:widowControl/>
                    <w:suppressLineNumbers w:val="0"/>
                    <w:spacing w:before="0" w:beforeAutospacing="0" w:after="0" w:afterAutospacing="0"/>
                    <w:ind w:left="0" w:right="0"/>
                    <w:rPr>
                      <w:rFonts w:hint="default"/>
                      <w:b/>
                      <w:bCs/>
                      <w:color w:val="auto"/>
                      <w:highlight w:val="none"/>
                    </w:rPr>
                  </w:pPr>
                  <w:r>
                    <w:rPr>
                      <w:b/>
                      <w:bCs/>
                      <w:color w:val="auto"/>
                      <w:highlight w:val="none"/>
                    </w:rPr>
                    <w:t>持续时间</w:t>
                  </w:r>
                </w:p>
              </w:tc>
            </w:tr>
            <w:tr w14:paraId="58741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74" w:type="pct"/>
                  <w:vAlign w:val="center"/>
                </w:tcPr>
                <w:p w14:paraId="2E029F94">
                  <w:pPr>
                    <w:pStyle w:val="74"/>
                    <w:keepNext w:val="0"/>
                    <w:keepLines w:val="0"/>
                    <w:widowControl/>
                    <w:suppressLineNumbers w:val="0"/>
                    <w:spacing w:before="0" w:beforeAutospacing="0" w:after="0" w:afterAutospacing="0"/>
                    <w:ind w:left="0" w:right="0"/>
                    <w:rPr>
                      <w:rFonts w:hint="default"/>
                      <w:color w:val="auto"/>
                      <w:highlight w:val="none"/>
                    </w:rPr>
                  </w:pPr>
                  <w:r>
                    <w:rPr>
                      <w:color w:val="auto"/>
                      <w:highlight w:val="none"/>
                    </w:rPr>
                    <w:t>1</w:t>
                  </w:r>
                </w:p>
              </w:tc>
              <w:tc>
                <w:tcPr>
                  <w:tcW w:w="532" w:type="pct"/>
                  <w:vMerge w:val="restart"/>
                  <w:vAlign w:val="center"/>
                </w:tcPr>
                <w:p w14:paraId="413C90F2">
                  <w:pPr>
                    <w:pStyle w:val="74"/>
                    <w:keepNext w:val="0"/>
                    <w:keepLines w:val="0"/>
                    <w:widowControl/>
                    <w:suppressLineNumbers w:val="0"/>
                    <w:spacing w:before="0" w:beforeAutospacing="0" w:after="0" w:afterAutospacing="0"/>
                    <w:ind w:left="0" w:right="0"/>
                    <w:rPr>
                      <w:rFonts w:hint="default"/>
                      <w:color w:val="auto"/>
                      <w:highlight w:val="none"/>
                    </w:rPr>
                  </w:pPr>
                  <w:r>
                    <w:rPr>
                      <w:color w:val="auto"/>
                      <w:highlight w:val="none"/>
                    </w:rPr>
                    <w:t>生产车间</w:t>
                  </w:r>
                </w:p>
              </w:tc>
              <w:tc>
                <w:tcPr>
                  <w:tcW w:w="608" w:type="pct"/>
                  <w:vAlign w:val="center"/>
                </w:tcPr>
                <w:p w14:paraId="75A947B2">
                  <w:pPr>
                    <w:pStyle w:val="74"/>
                    <w:keepNext w:val="0"/>
                    <w:keepLines w:val="0"/>
                    <w:widowControl/>
                    <w:suppressLineNumbers w:val="0"/>
                    <w:spacing w:before="0" w:beforeAutospacing="0" w:after="0" w:afterAutospacing="0"/>
                    <w:ind w:left="0" w:right="0"/>
                    <w:rPr>
                      <w:rFonts w:hint="default"/>
                      <w:color w:val="auto"/>
                      <w:highlight w:val="none"/>
                    </w:rPr>
                  </w:pPr>
                  <w:r>
                    <w:rPr>
                      <w:rFonts w:hint="eastAsia"/>
                      <w:color w:val="auto"/>
                      <w:highlight w:val="none"/>
                      <w:lang w:val="en-US" w:eastAsia="zh-CN"/>
                    </w:rPr>
                    <w:t>沼气</w:t>
                  </w:r>
                  <w:r>
                    <w:rPr>
                      <w:color w:val="auto"/>
                      <w:highlight w:val="none"/>
                    </w:rPr>
                    <w:t>锅炉</w:t>
                  </w:r>
                </w:p>
              </w:tc>
              <w:tc>
                <w:tcPr>
                  <w:tcW w:w="472" w:type="pct"/>
                  <w:vAlign w:val="center"/>
                </w:tcPr>
                <w:p w14:paraId="4D12A6FC">
                  <w:pPr>
                    <w:pStyle w:val="74"/>
                    <w:keepNext w:val="0"/>
                    <w:keepLines w:val="0"/>
                    <w:widowControl/>
                    <w:suppressLineNumbers w:val="0"/>
                    <w:spacing w:before="0" w:beforeAutospacing="0" w:after="0" w:afterAutospacing="0"/>
                    <w:ind w:left="0" w:right="0"/>
                    <w:rPr>
                      <w:rFonts w:hint="default"/>
                      <w:color w:val="auto"/>
                      <w:highlight w:val="none"/>
                    </w:rPr>
                  </w:pPr>
                  <w:r>
                    <w:rPr>
                      <w:color w:val="auto"/>
                      <w:highlight w:val="none"/>
                    </w:rPr>
                    <w:t>1台</w:t>
                  </w:r>
                </w:p>
              </w:tc>
              <w:tc>
                <w:tcPr>
                  <w:tcW w:w="619" w:type="pct"/>
                  <w:vAlign w:val="center"/>
                </w:tcPr>
                <w:p w14:paraId="63616CF8">
                  <w:pPr>
                    <w:pStyle w:val="74"/>
                    <w:keepNext w:val="0"/>
                    <w:keepLines w:val="0"/>
                    <w:widowControl/>
                    <w:suppressLineNumbers w:val="0"/>
                    <w:spacing w:before="0" w:beforeAutospacing="0" w:after="0" w:afterAutospacing="0"/>
                    <w:ind w:left="0" w:right="0"/>
                    <w:rPr>
                      <w:rFonts w:hint="default" w:eastAsia="宋体"/>
                      <w:color w:val="auto"/>
                      <w:highlight w:val="none"/>
                      <w:lang w:val="en-US" w:eastAsia="zh-CN"/>
                    </w:rPr>
                  </w:pPr>
                  <w:r>
                    <w:rPr>
                      <w:rFonts w:hint="eastAsia"/>
                      <w:color w:val="auto"/>
                      <w:highlight w:val="none"/>
                      <w:lang w:val="en-US" w:eastAsia="zh-CN"/>
                    </w:rPr>
                    <w:t>80</w:t>
                  </w:r>
                </w:p>
              </w:tc>
              <w:tc>
                <w:tcPr>
                  <w:tcW w:w="802" w:type="pct"/>
                  <w:vMerge w:val="restart"/>
                  <w:vAlign w:val="center"/>
                </w:tcPr>
                <w:p w14:paraId="6B3BD1BE">
                  <w:pPr>
                    <w:pStyle w:val="74"/>
                    <w:keepNext w:val="0"/>
                    <w:keepLines w:val="0"/>
                    <w:widowControl/>
                    <w:suppressLineNumbers w:val="0"/>
                    <w:spacing w:before="0" w:beforeAutospacing="0" w:after="0" w:afterAutospacing="0"/>
                    <w:ind w:left="0" w:right="0"/>
                    <w:rPr>
                      <w:rFonts w:hint="default"/>
                      <w:color w:val="auto"/>
                      <w:highlight w:val="none"/>
                    </w:rPr>
                  </w:pPr>
                  <w:r>
                    <w:rPr>
                      <w:color w:val="auto"/>
                      <w:highlight w:val="none"/>
                    </w:rPr>
                    <w:t>生产车间封闭、采用低噪声设备、设备基础减振，预计噪声可降低20dB（A）</w:t>
                  </w:r>
                </w:p>
              </w:tc>
              <w:tc>
                <w:tcPr>
                  <w:tcW w:w="619" w:type="pct"/>
                  <w:vAlign w:val="center"/>
                </w:tcPr>
                <w:p w14:paraId="03DEB90F">
                  <w:pPr>
                    <w:pStyle w:val="74"/>
                    <w:keepNext w:val="0"/>
                    <w:keepLines w:val="0"/>
                    <w:widowControl/>
                    <w:suppressLineNumbers w:val="0"/>
                    <w:spacing w:before="0" w:beforeAutospacing="0" w:after="0" w:afterAutospacing="0"/>
                    <w:ind w:left="0" w:right="0"/>
                    <w:rPr>
                      <w:rFonts w:hint="default"/>
                      <w:color w:val="auto"/>
                      <w:highlight w:val="none"/>
                    </w:rPr>
                  </w:pPr>
                  <w:r>
                    <w:rPr>
                      <w:color w:val="auto"/>
                      <w:highlight w:val="none"/>
                    </w:rPr>
                    <w:t>70</w:t>
                  </w:r>
                </w:p>
              </w:tc>
              <w:tc>
                <w:tcPr>
                  <w:tcW w:w="971" w:type="pct"/>
                  <w:vMerge w:val="restart"/>
                  <w:vAlign w:val="center"/>
                </w:tcPr>
                <w:p w14:paraId="7D8120CB">
                  <w:pPr>
                    <w:pStyle w:val="74"/>
                    <w:keepNext w:val="0"/>
                    <w:keepLines w:val="0"/>
                    <w:widowControl/>
                    <w:suppressLineNumbers w:val="0"/>
                    <w:spacing w:before="0" w:beforeAutospacing="0" w:after="0" w:afterAutospacing="0"/>
                    <w:ind w:left="0" w:right="0"/>
                    <w:rPr>
                      <w:rFonts w:hint="default"/>
                      <w:color w:val="auto"/>
                      <w:highlight w:val="none"/>
                    </w:rPr>
                  </w:pPr>
                  <w:r>
                    <w:rPr>
                      <w:color w:val="auto"/>
                      <w:highlight w:val="none"/>
                    </w:rPr>
                    <w:t>年运行</w:t>
                  </w:r>
                  <w:r>
                    <w:rPr>
                      <w:rFonts w:hint="eastAsia"/>
                      <w:color w:val="auto"/>
                      <w:highlight w:val="none"/>
                      <w:lang w:val="en-US" w:eastAsia="zh-CN"/>
                    </w:rPr>
                    <w:t>9</w:t>
                  </w:r>
                  <w:r>
                    <w:rPr>
                      <w:color w:val="auto"/>
                      <w:highlight w:val="none"/>
                    </w:rPr>
                    <w:t>0d，每天运行</w:t>
                  </w:r>
                  <w:r>
                    <w:rPr>
                      <w:rFonts w:hint="eastAsia"/>
                      <w:color w:val="auto"/>
                      <w:highlight w:val="none"/>
                      <w:lang w:val="en-US" w:eastAsia="zh-CN"/>
                    </w:rPr>
                    <w:t>24</w:t>
                  </w:r>
                  <w:r>
                    <w:rPr>
                      <w:color w:val="auto"/>
                      <w:highlight w:val="none"/>
                    </w:rPr>
                    <w:t>h</w:t>
                  </w:r>
                </w:p>
              </w:tc>
            </w:tr>
            <w:tr w14:paraId="6B88F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74" w:type="pct"/>
                  <w:vAlign w:val="center"/>
                </w:tcPr>
                <w:p w14:paraId="7A89031C">
                  <w:pPr>
                    <w:pStyle w:val="74"/>
                    <w:keepNext w:val="0"/>
                    <w:keepLines w:val="0"/>
                    <w:widowControl/>
                    <w:suppressLineNumbers w:val="0"/>
                    <w:spacing w:before="0" w:beforeAutospacing="0" w:after="0" w:afterAutospacing="0"/>
                    <w:ind w:left="0" w:right="0"/>
                    <w:rPr>
                      <w:rFonts w:hint="default"/>
                      <w:color w:val="auto"/>
                      <w:highlight w:val="none"/>
                    </w:rPr>
                  </w:pPr>
                  <w:r>
                    <w:rPr>
                      <w:color w:val="auto"/>
                      <w:highlight w:val="none"/>
                    </w:rPr>
                    <w:t>2</w:t>
                  </w:r>
                </w:p>
              </w:tc>
              <w:tc>
                <w:tcPr>
                  <w:tcW w:w="532" w:type="pct"/>
                  <w:vMerge w:val="continue"/>
                  <w:vAlign w:val="center"/>
                </w:tcPr>
                <w:p w14:paraId="56428D7C">
                  <w:pPr>
                    <w:pStyle w:val="74"/>
                    <w:keepNext w:val="0"/>
                    <w:keepLines w:val="0"/>
                    <w:widowControl/>
                    <w:suppressLineNumbers w:val="0"/>
                    <w:spacing w:before="0" w:beforeAutospacing="0" w:after="0" w:afterAutospacing="0"/>
                    <w:ind w:left="0" w:right="0"/>
                    <w:rPr>
                      <w:rFonts w:hint="default"/>
                      <w:color w:val="auto"/>
                      <w:highlight w:val="none"/>
                    </w:rPr>
                  </w:pPr>
                </w:p>
              </w:tc>
              <w:tc>
                <w:tcPr>
                  <w:tcW w:w="608" w:type="pct"/>
                  <w:vAlign w:val="center"/>
                </w:tcPr>
                <w:p w14:paraId="1157A1BF">
                  <w:pPr>
                    <w:pStyle w:val="74"/>
                    <w:keepNext w:val="0"/>
                    <w:keepLines w:val="0"/>
                    <w:widowControl/>
                    <w:suppressLineNumbers w:val="0"/>
                    <w:spacing w:before="0" w:beforeAutospacing="0" w:after="0" w:afterAutospacing="0"/>
                    <w:ind w:left="0" w:right="0"/>
                    <w:rPr>
                      <w:rFonts w:hint="eastAsia" w:eastAsia="宋体"/>
                      <w:color w:val="auto"/>
                      <w:highlight w:val="none"/>
                      <w:lang w:eastAsia="zh-CN"/>
                    </w:rPr>
                  </w:pPr>
                  <w:r>
                    <w:rPr>
                      <w:rFonts w:hint="eastAsia"/>
                      <w:color w:val="auto"/>
                      <w:highlight w:val="none"/>
                      <w:lang w:val="en-US" w:eastAsia="zh-CN"/>
                    </w:rPr>
                    <w:t>鼓风机</w:t>
                  </w:r>
                </w:p>
              </w:tc>
              <w:tc>
                <w:tcPr>
                  <w:tcW w:w="472" w:type="pct"/>
                  <w:vAlign w:val="center"/>
                </w:tcPr>
                <w:p w14:paraId="5EE78214">
                  <w:pPr>
                    <w:pStyle w:val="74"/>
                    <w:keepNext w:val="0"/>
                    <w:keepLines w:val="0"/>
                    <w:widowControl/>
                    <w:suppressLineNumbers w:val="0"/>
                    <w:spacing w:before="0" w:beforeAutospacing="0" w:after="0" w:afterAutospacing="0"/>
                    <w:ind w:left="0" w:right="0"/>
                    <w:rPr>
                      <w:rFonts w:hint="default"/>
                      <w:color w:val="auto"/>
                      <w:highlight w:val="none"/>
                    </w:rPr>
                  </w:pPr>
                  <w:r>
                    <w:rPr>
                      <w:rFonts w:hint="eastAsia"/>
                      <w:color w:val="auto"/>
                      <w:highlight w:val="none"/>
                      <w:lang w:val="en-US" w:eastAsia="zh-CN"/>
                    </w:rPr>
                    <w:t>1</w:t>
                  </w:r>
                  <w:r>
                    <w:rPr>
                      <w:color w:val="auto"/>
                      <w:highlight w:val="none"/>
                    </w:rPr>
                    <w:t>台</w:t>
                  </w:r>
                </w:p>
              </w:tc>
              <w:tc>
                <w:tcPr>
                  <w:tcW w:w="619" w:type="pct"/>
                  <w:vAlign w:val="center"/>
                </w:tcPr>
                <w:p w14:paraId="3C20982C">
                  <w:pPr>
                    <w:pStyle w:val="74"/>
                    <w:keepNext w:val="0"/>
                    <w:keepLines w:val="0"/>
                    <w:widowControl/>
                    <w:suppressLineNumbers w:val="0"/>
                    <w:spacing w:before="0" w:beforeAutospacing="0" w:after="0" w:afterAutospacing="0"/>
                    <w:ind w:left="0" w:right="0"/>
                    <w:rPr>
                      <w:rFonts w:hint="default"/>
                      <w:color w:val="auto"/>
                      <w:highlight w:val="none"/>
                    </w:rPr>
                  </w:pPr>
                  <w:r>
                    <w:rPr>
                      <w:color w:val="auto"/>
                      <w:highlight w:val="none"/>
                    </w:rPr>
                    <w:t>85</w:t>
                  </w:r>
                </w:p>
              </w:tc>
              <w:tc>
                <w:tcPr>
                  <w:tcW w:w="802" w:type="pct"/>
                  <w:vMerge w:val="continue"/>
                  <w:vAlign w:val="center"/>
                </w:tcPr>
                <w:p w14:paraId="2FC341F6">
                  <w:pPr>
                    <w:pStyle w:val="74"/>
                    <w:keepNext w:val="0"/>
                    <w:keepLines w:val="0"/>
                    <w:widowControl/>
                    <w:suppressLineNumbers w:val="0"/>
                    <w:spacing w:before="0" w:beforeAutospacing="0" w:after="0" w:afterAutospacing="0"/>
                    <w:ind w:left="0" w:right="0"/>
                    <w:rPr>
                      <w:rFonts w:hint="default"/>
                      <w:color w:val="auto"/>
                      <w:highlight w:val="none"/>
                    </w:rPr>
                  </w:pPr>
                </w:p>
              </w:tc>
              <w:tc>
                <w:tcPr>
                  <w:tcW w:w="619" w:type="pct"/>
                  <w:vAlign w:val="center"/>
                </w:tcPr>
                <w:p w14:paraId="441AE140">
                  <w:pPr>
                    <w:pStyle w:val="74"/>
                    <w:keepNext w:val="0"/>
                    <w:keepLines w:val="0"/>
                    <w:widowControl/>
                    <w:suppressLineNumbers w:val="0"/>
                    <w:spacing w:before="0" w:beforeAutospacing="0" w:after="0" w:afterAutospacing="0"/>
                    <w:ind w:left="0" w:right="0"/>
                    <w:rPr>
                      <w:rFonts w:hint="default"/>
                      <w:color w:val="auto"/>
                      <w:highlight w:val="none"/>
                    </w:rPr>
                  </w:pPr>
                  <w:r>
                    <w:rPr>
                      <w:color w:val="auto"/>
                      <w:highlight w:val="none"/>
                    </w:rPr>
                    <w:t>65</w:t>
                  </w:r>
                </w:p>
              </w:tc>
              <w:tc>
                <w:tcPr>
                  <w:tcW w:w="971" w:type="pct"/>
                  <w:vMerge w:val="continue"/>
                  <w:vAlign w:val="center"/>
                </w:tcPr>
                <w:p w14:paraId="7BEDE4B4">
                  <w:pPr>
                    <w:pStyle w:val="74"/>
                    <w:keepNext w:val="0"/>
                    <w:keepLines w:val="0"/>
                    <w:widowControl/>
                    <w:suppressLineNumbers w:val="0"/>
                    <w:spacing w:before="0" w:beforeAutospacing="0" w:after="0" w:afterAutospacing="0"/>
                    <w:ind w:left="0" w:right="0"/>
                    <w:rPr>
                      <w:rFonts w:hint="default"/>
                      <w:color w:val="auto"/>
                      <w:highlight w:val="none"/>
                    </w:rPr>
                  </w:pPr>
                </w:p>
              </w:tc>
            </w:tr>
            <w:tr w14:paraId="499F0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74" w:type="pct"/>
                  <w:vAlign w:val="center"/>
                </w:tcPr>
                <w:p w14:paraId="2D8BBA7B">
                  <w:pPr>
                    <w:pStyle w:val="74"/>
                    <w:keepNext w:val="0"/>
                    <w:keepLines w:val="0"/>
                    <w:widowControl/>
                    <w:suppressLineNumbers w:val="0"/>
                    <w:spacing w:before="0" w:beforeAutospacing="0" w:after="0" w:afterAutospacing="0"/>
                    <w:ind w:left="0" w:right="0"/>
                    <w:rPr>
                      <w:rFonts w:hint="default"/>
                      <w:color w:val="auto"/>
                      <w:highlight w:val="none"/>
                    </w:rPr>
                  </w:pPr>
                  <w:r>
                    <w:rPr>
                      <w:color w:val="auto"/>
                      <w:highlight w:val="none"/>
                    </w:rPr>
                    <w:t>3</w:t>
                  </w:r>
                </w:p>
              </w:tc>
              <w:tc>
                <w:tcPr>
                  <w:tcW w:w="532" w:type="pct"/>
                  <w:vMerge w:val="continue"/>
                  <w:vAlign w:val="center"/>
                </w:tcPr>
                <w:p w14:paraId="7595D95A">
                  <w:pPr>
                    <w:pStyle w:val="74"/>
                    <w:keepNext w:val="0"/>
                    <w:keepLines w:val="0"/>
                    <w:widowControl/>
                    <w:suppressLineNumbers w:val="0"/>
                    <w:spacing w:before="0" w:beforeAutospacing="0" w:after="0" w:afterAutospacing="0"/>
                    <w:ind w:left="0" w:right="0"/>
                    <w:rPr>
                      <w:rFonts w:hint="default"/>
                      <w:color w:val="auto"/>
                      <w:highlight w:val="none"/>
                    </w:rPr>
                  </w:pPr>
                </w:p>
              </w:tc>
              <w:tc>
                <w:tcPr>
                  <w:tcW w:w="608" w:type="pct"/>
                  <w:vAlign w:val="center"/>
                </w:tcPr>
                <w:p w14:paraId="4E79B408">
                  <w:pPr>
                    <w:pStyle w:val="74"/>
                    <w:keepNext w:val="0"/>
                    <w:keepLines w:val="0"/>
                    <w:widowControl/>
                    <w:suppressLineNumbers w:val="0"/>
                    <w:spacing w:before="0" w:beforeAutospacing="0" w:after="0" w:afterAutospacing="0"/>
                    <w:ind w:left="0" w:right="0"/>
                    <w:rPr>
                      <w:rFonts w:hint="default"/>
                      <w:color w:val="auto"/>
                      <w:highlight w:val="none"/>
                    </w:rPr>
                  </w:pPr>
                  <w:r>
                    <w:rPr>
                      <w:color w:val="auto"/>
                      <w:highlight w:val="none"/>
                    </w:rPr>
                    <w:t>泵</w:t>
                  </w:r>
                </w:p>
              </w:tc>
              <w:tc>
                <w:tcPr>
                  <w:tcW w:w="472" w:type="pct"/>
                  <w:vAlign w:val="center"/>
                </w:tcPr>
                <w:p w14:paraId="3261FD6F">
                  <w:pPr>
                    <w:pStyle w:val="74"/>
                    <w:keepNext w:val="0"/>
                    <w:keepLines w:val="0"/>
                    <w:widowControl/>
                    <w:suppressLineNumbers w:val="0"/>
                    <w:spacing w:before="0" w:beforeAutospacing="0" w:after="0" w:afterAutospacing="0"/>
                    <w:ind w:left="0" w:right="0"/>
                    <w:rPr>
                      <w:rFonts w:hint="default"/>
                      <w:color w:val="auto"/>
                      <w:highlight w:val="none"/>
                    </w:rPr>
                  </w:pPr>
                  <w:r>
                    <w:rPr>
                      <w:rFonts w:hint="eastAsia"/>
                      <w:color w:val="auto"/>
                      <w:highlight w:val="none"/>
                      <w:lang w:val="en-US" w:eastAsia="zh-CN"/>
                    </w:rPr>
                    <w:t>1</w:t>
                  </w:r>
                  <w:r>
                    <w:rPr>
                      <w:color w:val="auto"/>
                      <w:highlight w:val="none"/>
                    </w:rPr>
                    <w:t>台</w:t>
                  </w:r>
                </w:p>
              </w:tc>
              <w:tc>
                <w:tcPr>
                  <w:tcW w:w="619" w:type="pct"/>
                  <w:vAlign w:val="center"/>
                </w:tcPr>
                <w:p w14:paraId="3EE2B0D4">
                  <w:pPr>
                    <w:pStyle w:val="74"/>
                    <w:keepNext w:val="0"/>
                    <w:keepLines w:val="0"/>
                    <w:widowControl/>
                    <w:suppressLineNumbers w:val="0"/>
                    <w:spacing w:before="0" w:beforeAutospacing="0" w:after="0" w:afterAutospacing="0"/>
                    <w:ind w:left="0" w:right="0"/>
                    <w:rPr>
                      <w:rFonts w:hint="default"/>
                      <w:color w:val="auto"/>
                      <w:highlight w:val="none"/>
                    </w:rPr>
                  </w:pPr>
                  <w:r>
                    <w:rPr>
                      <w:color w:val="auto"/>
                      <w:highlight w:val="none"/>
                    </w:rPr>
                    <w:t>80</w:t>
                  </w:r>
                </w:p>
              </w:tc>
              <w:tc>
                <w:tcPr>
                  <w:tcW w:w="802" w:type="pct"/>
                  <w:vMerge w:val="continue"/>
                  <w:vAlign w:val="center"/>
                </w:tcPr>
                <w:p w14:paraId="683FB354">
                  <w:pPr>
                    <w:pStyle w:val="74"/>
                    <w:keepNext w:val="0"/>
                    <w:keepLines w:val="0"/>
                    <w:widowControl/>
                    <w:suppressLineNumbers w:val="0"/>
                    <w:spacing w:before="0" w:beforeAutospacing="0" w:after="0" w:afterAutospacing="0"/>
                    <w:ind w:left="0" w:right="0"/>
                    <w:rPr>
                      <w:rFonts w:hint="default"/>
                      <w:color w:val="auto"/>
                      <w:highlight w:val="none"/>
                    </w:rPr>
                  </w:pPr>
                </w:p>
              </w:tc>
              <w:tc>
                <w:tcPr>
                  <w:tcW w:w="619" w:type="pct"/>
                  <w:vAlign w:val="center"/>
                </w:tcPr>
                <w:p w14:paraId="160A335D">
                  <w:pPr>
                    <w:pStyle w:val="74"/>
                    <w:keepNext w:val="0"/>
                    <w:keepLines w:val="0"/>
                    <w:widowControl/>
                    <w:suppressLineNumbers w:val="0"/>
                    <w:spacing w:before="0" w:beforeAutospacing="0" w:after="0" w:afterAutospacing="0"/>
                    <w:ind w:left="0" w:right="0"/>
                    <w:rPr>
                      <w:rFonts w:hint="default"/>
                      <w:color w:val="auto"/>
                      <w:highlight w:val="none"/>
                    </w:rPr>
                  </w:pPr>
                  <w:r>
                    <w:rPr>
                      <w:color w:val="auto"/>
                      <w:highlight w:val="none"/>
                    </w:rPr>
                    <w:t>60</w:t>
                  </w:r>
                </w:p>
              </w:tc>
              <w:tc>
                <w:tcPr>
                  <w:tcW w:w="971" w:type="pct"/>
                  <w:vMerge w:val="continue"/>
                  <w:vAlign w:val="center"/>
                </w:tcPr>
                <w:p w14:paraId="0676E56C">
                  <w:pPr>
                    <w:pStyle w:val="74"/>
                    <w:keepNext w:val="0"/>
                    <w:keepLines w:val="0"/>
                    <w:widowControl/>
                    <w:suppressLineNumbers w:val="0"/>
                    <w:spacing w:before="0" w:beforeAutospacing="0" w:after="0" w:afterAutospacing="0"/>
                    <w:ind w:left="0" w:right="0"/>
                    <w:rPr>
                      <w:rFonts w:hint="default"/>
                      <w:color w:val="auto"/>
                      <w:highlight w:val="none"/>
                    </w:rPr>
                  </w:pPr>
                </w:p>
              </w:tc>
            </w:tr>
          </w:tbl>
          <w:p w14:paraId="1BF9F39E">
            <w:pPr>
              <w:spacing w:before="120" w:beforeLines="50" w:line="360" w:lineRule="auto"/>
              <w:ind w:firstLine="482"/>
              <w:rPr>
                <w:b/>
                <w:sz w:val="24"/>
                <w:highlight w:val="none"/>
              </w:rPr>
            </w:pPr>
            <w:r>
              <w:rPr>
                <w:rFonts w:hint="eastAsia"/>
                <w:b/>
                <w:sz w:val="24"/>
                <w:highlight w:val="none"/>
              </w:rPr>
              <w:t>（</w:t>
            </w:r>
            <w:r>
              <w:rPr>
                <w:b/>
                <w:sz w:val="24"/>
                <w:highlight w:val="none"/>
              </w:rPr>
              <w:t>2</w:t>
            </w:r>
            <w:r>
              <w:rPr>
                <w:rFonts w:hint="eastAsia"/>
                <w:b/>
                <w:sz w:val="24"/>
                <w:highlight w:val="none"/>
              </w:rPr>
              <w:t>）达标情况分析</w:t>
            </w:r>
          </w:p>
          <w:p w14:paraId="5C4AAB3E">
            <w:pPr>
              <w:spacing w:line="360" w:lineRule="auto"/>
              <w:ind w:firstLine="480"/>
              <w:rPr>
                <w:color w:val="000000" w:themeColor="text1"/>
                <w:sz w:val="24"/>
                <w:highlight w:val="none"/>
                <w14:textFill>
                  <w14:solidFill>
                    <w14:schemeClr w14:val="tx1"/>
                  </w14:solidFill>
                </w14:textFill>
              </w:rPr>
            </w:pPr>
            <w:r>
              <w:rPr>
                <w:sz w:val="24"/>
                <w:highlight w:val="none"/>
              </w:rPr>
              <w:t>项目进行噪声预测，预测过程中，各噪声设备在一定的距离处可以被视作点源，设备所处位置、与墙壁的距离、房间常数、与预测点的距离、隔墙厚度等均按实际布设确定，同时考虑了地形因素的影响。</w:t>
            </w:r>
            <w:r>
              <w:rPr>
                <w:rFonts w:hint="eastAsia"/>
                <w:sz w:val="24"/>
                <w:highlight w:val="none"/>
              </w:rPr>
              <w:t>项目厂界外5</w:t>
            </w:r>
            <w:r>
              <w:rPr>
                <w:sz w:val="24"/>
                <w:highlight w:val="none"/>
              </w:rPr>
              <w:t>0</w:t>
            </w:r>
            <w:r>
              <w:rPr>
                <w:rFonts w:hint="eastAsia"/>
                <w:sz w:val="24"/>
                <w:highlight w:val="none"/>
              </w:rPr>
              <w:t>m范围内无声环境保护目标。</w:t>
            </w:r>
            <w:r>
              <w:rPr>
                <w:sz w:val="24"/>
                <w:highlight w:val="none"/>
              </w:rPr>
              <w:t>项目噪声预测结果</w:t>
            </w:r>
            <w:r>
              <w:rPr>
                <w:rFonts w:hint="eastAsia"/>
                <w:sz w:val="24"/>
                <w:highlight w:val="none"/>
              </w:rPr>
              <w:t>分析如下。</w:t>
            </w:r>
          </w:p>
          <w:p w14:paraId="701FD4F1">
            <w:pPr>
              <w:spacing w:line="360" w:lineRule="auto"/>
              <w:ind w:firstLine="480"/>
              <w:rPr>
                <w:sz w:val="24"/>
                <w:highlight w:val="none"/>
              </w:rPr>
            </w:pPr>
            <w:r>
              <w:rPr>
                <w:sz w:val="24"/>
                <w:highlight w:val="none"/>
              </w:rPr>
              <w:t>项目四厂界</w:t>
            </w:r>
            <w:r>
              <w:rPr>
                <w:rFonts w:hint="eastAsia"/>
                <w:sz w:val="24"/>
                <w:highlight w:val="none"/>
              </w:rPr>
              <w:t>的</w:t>
            </w:r>
            <w:r>
              <w:rPr>
                <w:sz w:val="24"/>
                <w:highlight w:val="none"/>
              </w:rPr>
              <w:t>噪声预测结果如下表所示：</w:t>
            </w:r>
          </w:p>
          <w:p w14:paraId="1039280D">
            <w:pPr>
              <w:pStyle w:val="50"/>
              <w:numPr>
                <w:ilvl w:val="0"/>
                <w:numId w:val="11"/>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项目噪声预测结果一览表（单位：</w:t>
            </w:r>
            <w:r>
              <w:rPr>
                <w:rFonts w:ascii="Times New Roman" w:hAnsi="Times New Roman" w:eastAsia="宋体"/>
                <w:b/>
                <w:bCs/>
                <w:sz w:val="21"/>
                <w:highlight w:val="none"/>
              </w:rPr>
              <w:t>dB（A）</w:t>
            </w:r>
            <w:r>
              <w:rPr>
                <w:rFonts w:hint="eastAsia" w:ascii="Times New Roman" w:hAnsi="Times New Roman" w:eastAsia="宋体"/>
                <w:b/>
                <w:sz w:val="21"/>
                <w:highlight w:val="none"/>
              </w:rPr>
              <w:t>）</w:t>
            </w:r>
          </w:p>
          <w:tbl>
            <w:tblPr>
              <w:tblStyle w:val="23"/>
              <w:tblW w:w="80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autofit"/>
              <w:tblCellMar>
                <w:top w:w="0" w:type="dxa"/>
                <w:left w:w="108" w:type="dxa"/>
                <w:bottom w:w="0" w:type="dxa"/>
                <w:right w:w="108" w:type="dxa"/>
              </w:tblCellMar>
            </w:tblPr>
            <w:tblGrid>
              <w:gridCol w:w="1097"/>
              <w:gridCol w:w="802"/>
              <w:gridCol w:w="801"/>
              <w:gridCol w:w="667"/>
              <w:gridCol w:w="668"/>
              <w:gridCol w:w="801"/>
              <w:gridCol w:w="802"/>
              <w:gridCol w:w="802"/>
              <w:gridCol w:w="802"/>
              <w:gridCol w:w="802"/>
            </w:tblGrid>
            <w:tr w14:paraId="4305ADAC">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270" w:hRule="atLeast"/>
                <w:jc w:val="center"/>
              </w:trPr>
              <w:tc>
                <w:tcPr>
                  <w:tcW w:w="1097" w:type="dxa"/>
                  <w:vMerge w:val="restart"/>
                  <w:vAlign w:val="center"/>
                </w:tcPr>
                <w:p w14:paraId="7BC22FFE">
                  <w:pPr>
                    <w:spacing w:line="0" w:lineRule="atLeast"/>
                    <w:jc w:val="center"/>
                    <w:rPr>
                      <w:b/>
                      <w:color w:val="000000"/>
                      <w:szCs w:val="21"/>
                      <w:highlight w:val="none"/>
                    </w:rPr>
                  </w:pPr>
                  <w:r>
                    <w:rPr>
                      <w:b/>
                      <w:color w:val="000000"/>
                      <w:szCs w:val="21"/>
                      <w:highlight w:val="none"/>
                    </w:rPr>
                    <w:t>点位</w:t>
                  </w:r>
                </w:p>
              </w:tc>
              <w:tc>
                <w:tcPr>
                  <w:tcW w:w="1603" w:type="dxa"/>
                  <w:gridSpan w:val="2"/>
                  <w:vAlign w:val="center"/>
                </w:tcPr>
                <w:p w14:paraId="63B82918">
                  <w:pPr>
                    <w:spacing w:line="0" w:lineRule="atLeast"/>
                    <w:jc w:val="center"/>
                    <w:rPr>
                      <w:b/>
                      <w:color w:val="000000"/>
                      <w:szCs w:val="21"/>
                      <w:highlight w:val="none"/>
                    </w:rPr>
                  </w:pPr>
                  <w:r>
                    <w:rPr>
                      <w:b/>
                      <w:color w:val="000000"/>
                      <w:szCs w:val="21"/>
                      <w:highlight w:val="none"/>
                    </w:rPr>
                    <w:t>贡献值</w:t>
                  </w:r>
                </w:p>
              </w:tc>
              <w:tc>
                <w:tcPr>
                  <w:tcW w:w="1335" w:type="dxa"/>
                  <w:gridSpan w:val="2"/>
                  <w:vAlign w:val="center"/>
                </w:tcPr>
                <w:p w14:paraId="2B0D6772">
                  <w:pPr>
                    <w:spacing w:line="0" w:lineRule="atLeast"/>
                    <w:jc w:val="center"/>
                    <w:rPr>
                      <w:b/>
                      <w:color w:val="000000"/>
                      <w:szCs w:val="21"/>
                      <w:highlight w:val="none"/>
                    </w:rPr>
                  </w:pPr>
                  <w:r>
                    <w:rPr>
                      <w:rFonts w:hint="eastAsia"/>
                      <w:b/>
                      <w:color w:val="000000"/>
                      <w:szCs w:val="21"/>
                      <w:highlight w:val="none"/>
                    </w:rPr>
                    <w:t>现状值</w:t>
                  </w:r>
                </w:p>
              </w:tc>
              <w:tc>
                <w:tcPr>
                  <w:tcW w:w="1603" w:type="dxa"/>
                  <w:gridSpan w:val="2"/>
                  <w:vAlign w:val="center"/>
                </w:tcPr>
                <w:p w14:paraId="3C463F34">
                  <w:pPr>
                    <w:spacing w:line="0" w:lineRule="atLeast"/>
                    <w:jc w:val="center"/>
                    <w:rPr>
                      <w:b/>
                      <w:color w:val="000000"/>
                      <w:szCs w:val="21"/>
                      <w:highlight w:val="none"/>
                    </w:rPr>
                  </w:pPr>
                  <w:r>
                    <w:rPr>
                      <w:rFonts w:hint="eastAsia"/>
                      <w:b/>
                      <w:color w:val="000000"/>
                      <w:szCs w:val="21"/>
                      <w:highlight w:val="none"/>
                    </w:rPr>
                    <w:t>预测值</w:t>
                  </w:r>
                </w:p>
              </w:tc>
              <w:tc>
                <w:tcPr>
                  <w:tcW w:w="1604" w:type="dxa"/>
                  <w:gridSpan w:val="2"/>
                  <w:vAlign w:val="center"/>
                </w:tcPr>
                <w:p w14:paraId="6DF38FF8">
                  <w:pPr>
                    <w:spacing w:line="0" w:lineRule="atLeast"/>
                    <w:jc w:val="center"/>
                    <w:rPr>
                      <w:b/>
                      <w:color w:val="000000"/>
                      <w:szCs w:val="21"/>
                      <w:highlight w:val="none"/>
                    </w:rPr>
                  </w:pPr>
                  <w:r>
                    <w:rPr>
                      <w:rFonts w:hint="eastAsia"/>
                      <w:b/>
                      <w:color w:val="000000"/>
                      <w:szCs w:val="21"/>
                      <w:highlight w:val="none"/>
                    </w:rPr>
                    <w:t>标准值</w:t>
                  </w:r>
                </w:p>
              </w:tc>
              <w:tc>
                <w:tcPr>
                  <w:tcW w:w="802" w:type="dxa"/>
                  <w:vMerge w:val="restart"/>
                  <w:vAlign w:val="center"/>
                </w:tcPr>
                <w:p w14:paraId="33E71461">
                  <w:pPr>
                    <w:spacing w:line="0" w:lineRule="atLeast"/>
                    <w:jc w:val="center"/>
                    <w:rPr>
                      <w:b/>
                      <w:color w:val="000000"/>
                      <w:szCs w:val="21"/>
                      <w:highlight w:val="none"/>
                    </w:rPr>
                  </w:pPr>
                  <w:r>
                    <w:rPr>
                      <w:rFonts w:hint="eastAsia"/>
                      <w:b/>
                      <w:color w:val="000000"/>
                      <w:szCs w:val="21"/>
                      <w:highlight w:val="none"/>
                    </w:rPr>
                    <w:t>达标情况</w:t>
                  </w:r>
                </w:p>
              </w:tc>
            </w:tr>
            <w:tr w14:paraId="50532929">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362" w:hRule="atLeast"/>
                <w:jc w:val="center"/>
              </w:trPr>
              <w:tc>
                <w:tcPr>
                  <w:tcW w:w="1097" w:type="dxa"/>
                  <w:vMerge w:val="continue"/>
                  <w:vAlign w:val="center"/>
                </w:tcPr>
                <w:p w14:paraId="4BE4708E">
                  <w:pPr>
                    <w:widowControl/>
                    <w:jc w:val="left"/>
                    <w:rPr>
                      <w:b/>
                      <w:color w:val="000000"/>
                      <w:szCs w:val="21"/>
                      <w:highlight w:val="none"/>
                    </w:rPr>
                  </w:pPr>
                </w:p>
              </w:tc>
              <w:tc>
                <w:tcPr>
                  <w:tcW w:w="802" w:type="dxa"/>
                  <w:vAlign w:val="center"/>
                </w:tcPr>
                <w:p w14:paraId="15BEE5F5">
                  <w:pPr>
                    <w:widowControl/>
                    <w:jc w:val="center"/>
                    <w:rPr>
                      <w:b/>
                      <w:color w:val="000000"/>
                      <w:szCs w:val="21"/>
                      <w:highlight w:val="none"/>
                    </w:rPr>
                  </w:pPr>
                  <w:r>
                    <w:rPr>
                      <w:rFonts w:hint="eastAsia"/>
                      <w:b/>
                      <w:color w:val="000000"/>
                      <w:szCs w:val="21"/>
                      <w:highlight w:val="none"/>
                    </w:rPr>
                    <w:t>昼间</w:t>
                  </w:r>
                </w:p>
              </w:tc>
              <w:tc>
                <w:tcPr>
                  <w:tcW w:w="801" w:type="dxa"/>
                  <w:vAlign w:val="center"/>
                </w:tcPr>
                <w:p w14:paraId="5788B0D5">
                  <w:pPr>
                    <w:widowControl/>
                    <w:jc w:val="center"/>
                    <w:rPr>
                      <w:b/>
                      <w:color w:val="000000"/>
                      <w:szCs w:val="21"/>
                      <w:highlight w:val="none"/>
                    </w:rPr>
                  </w:pPr>
                  <w:r>
                    <w:rPr>
                      <w:rFonts w:hint="eastAsia"/>
                      <w:b/>
                      <w:color w:val="000000"/>
                      <w:szCs w:val="21"/>
                      <w:highlight w:val="none"/>
                    </w:rPr>
                    <w:t>夜间</w:t>
                  </w:r>
                </w:p>
              </w:tc>
              <w:tc>
                <w:tcPr>
                  <w:tcW w:w="667" w:type="dxa"/>
                  <w:vAlign w:val="center"/>
                </w:tcPr>
                <w:p w14:paraId="31F4CA80">
                  <w:pPr>
                    <w:widowControl/>
                    <w:jc w:val="center"/>
                    <w:rPr>
                      <w:b/>
                      <w:color w:val="000000"/>
                      <w:szCs w:val="21"/>
                      <w:highlight w:val="none"/>
                    </w:rPr>
                  </w:pPr>
                  <w:r>
                    <w:rPr>
                      <w:rFonts w:hint="eastAsia"/>
                      <w:b/>
                      <w:color w:val="000000"/>
                      <w:szCs w:val="21"/>
                      <w:highlight w:val="none"/>
                    </w:rPr>
                    <w:t>昼间</w:t>
                  </w:r>
                </w:p>
              </w:tc>
              <w:tc>
                <w:tcPr>
                  <w:tcW w:w="668" w:type="dxa"/>
                  <w:vAlign w:val="center"/>
                </w:tcPr>
                <w:p w14:paraId="1709524A">
                  <w:pPr>
                    <w:widowControl/>
                    <w:jc w:val="center"/>
                    <w:rPr>
                      <w:b/>
                      <w:color w:val="000000"/>
                      <w:szCs w:val="21"/>
                      <w:highlight w:val="none"/>
                    </w:rPr>
                  </w:pPr>
                  <w:r>
                    <w:rPr>
                      <w:rFonts w:hint="eastAsia"/>
                      <w:b/>
                      <w:color w:val="000000"/>
                      <w:szCs w:val="21"/>
                      <w:highlight w:val="none"/>
                    </w:rPr>
                    <w:t>夜间</w:t>
                  </w:r>
                </w:p>
              </w:tc>
              <w:tc>
                <w:tcPr>
                  <w:tcW w:w="801" w:type="dxa"/>
                  <w:vAlign w:val="center"/>
                </w:tcPr>
                <w:p w14:paraId="5BA6A6CA">
                  <w:pPr>
                    <w:widowControl/>
                    <w:jc w:val="center"/>
                    <w:rPr>
                      <w:b/>
                      <w:color w:val="000000"/>
                      <w:szCs w:val="21"/>
                      <w:highlight w:val="none"/>
                    </w:rPr>
                  </w:pPr>
                  <w:r>
                    <w:rPr>
                      <w:rFonts w:hint="eastAsia"/>
                      <w:b/>
                      <w:color w:val="000000"/>
                      <w:szCs w:val="21"/>
                      <w:highlight w:val="none"/>
                    </w:rPr>
                    <w:t>昼间</w:t>
                  </w:r>
                </w:p>
              </w:tc>
              <w:tc>
                <w:tcPr>
                  <w:tcW w:w="802" w:type="dxa"/>
                  <w:vAlign w:val="center"/>
                </w:tcPr>
                <w:p w14:paraId="23597F48">
                  <w:pPr>
                    <w:widowControl/>
                    <w:jc w:val="center"/>
                    <w:rPr>
                      <w:b/>
                      <w:color w:val="000000"/>
                      <w:szCs w:val="21"/>
                      <w:highlight w:val="none"/>
                    </w:rPr>
                  </w:pPr>
                  <w:r>
                    <w:rPr>
                      <w:rFonts w:hint="eastAsia"/>
                      <w:b/>
                      <w:color w:val="000000"/>
                      <w:szCs w:val="21"/>
                      <w:highlight w:val="none"/>
                    </w:rPr>
                    <w:t>夜间</w:t>
                  </w:r>
                </w:p>
              </w:tc>
              <w:tc>
                <w:tcPr>
                  <w:tcW w:w="802" w:type="dxa"/>
                  <w:vAlign w:val="center"/>
                </w:tcPr>
                <w:p w14:paraId="3B74B636">
                  <w:pPr>
                    <w:spacing w:line="0" w:lineRule="atLeast"/>
                    <w:jc w:val="center"/>
                    <w:rPr>
                      <w:b/>
                      <w:color w:val="000000"/>
                      <w:szCs w:val="21"/>
                      <w:highlight w:val="none"/>
                    </w:rPr>
                  </w:pPr>
                  <w:r>
                    <w:rPr>
                      <w:rFonts w:hint="eastAsia"/>
                      <w:b/>
                      <w:color w:val="000000"/>
                      <w:szCs w:val="21"/>
                      <w:highlight w:val="none"/>
                    </w:rPr>
                    <w:t>昼间</w:t>
                  </w:r>
                </w:p>
              </w:tc>
              <w:tc>
                <w:tcPr>
                  <w:tcW w:w="802" w:type="dxa"/>
                  <w:vAlign w:val="center"/>
                </w:tcPr>
                <w:p w14:paraId="077F1348">
                  <w:pPr>
                    <w:spacing w:line="0" w:lineRule="atLeast"/>
                    <w:jc w:val="center"/>
                    <w:rPr>
                      <w:b/>
                      <w:color w:val="000000"/>
                      <w:szCs w:val="21"/>
                      <w:highlight w:val="none"/>
                    </w:rPr>
                  </w:pPr>
                  <w:r>
                    <w:rPr>
                      <w:rFonts w:hint="eastAsia"/>
                      <w:b/>
                      <w:color w:val="000000"/>
                      <w:szCs w:val="21"/>
                      <w:highlight w:val="none"/>
                    </w:rPr>
                    <w:t>夜间</w:t>
                  </w:r>
                </w:p>
              </w:tc>
              <w:tc>
                <w:tcPr>
                  <w:tcW w:w="802" w:type="dxa"/>
                  <w:vMerge w:val="continue"/>
                  <w:vAlign w:val="center"/>
                </w:tcPr>
                <w:p w14:paraId="31136695">
                  <w:pPr>
                    <w:spacing w:line="0" w:lineRule="atLeast"/>
                    <w:jc w:val="center"/>
                    <w:rPr>
                      <w:b/>
                      <w:color w:val="000000"/>
                      <w:szCs w:val="21"/>
                      <w:highlight w:val="none"/>
                    </w:rPr>
                  </w:pPr>
                </w:p>
              </w:tc>
            </w:tr>
            <w:tr w14:paraId="52CF2E8A">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328" w:hRule="atLeast"/>
                <w:jc w:val="center"/>
              </w:trPr>
              <w:tc>
                <w:tcPr>
                  <w:tcW w:w="1097" w:type="dxa"/>
                  <w:vAlign w:val="center"/>
                </w:tcPr>
                <w:p w14:paraId="215EEB3B">
                  <w:pPr>
                    <w:spacing w:line="0" w:lineRule="atLeast"/>
                    <w:jc w:val="center"/>
                    <w:rPr>
                      <w:color w:val="000000"/>
                      <w:kern w:val="0"/>
                      <w:szCs w:val="21"/>
                      <w:highlight w:val="none"/>
                    </w:rPr>
                  </w:pPr>
                  <w:r>
                    <w:rPr>
                      <w:szCs w:val="21"/>
                      <w:highlight w:val="none"/>
                    </w:rPr>
                    <w:t>北侧厂界</w:t>
                  </w:r>
                </w:p>
              </w:tc>
              <w:tc>
                <w:tcPr>
                  <w:tcW w:w="802" w:type="dxa"/>
                  <w:vAlign w:val="center"/>
                </w:tcPr>
                <w:p w14:paraId="5172E809">
                  <w:pPr>
                    <w:spacing w:line="0" w:lineRule="atLeast"/>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27.67</w:t>
                  </w:r>
                </w:p>
              </w:tc>
              <w:tc>
                <w:tcPr>
                  <w:tcW w:w="801" w:type="dxa"/>
                  <w:vAlign w:val="center"/>
                </w:tcPr>
                <w:p w14:paraId="403C848D">
                  <w:pPr>
                    <w:spacing w:line="0" w:lineRule="atLeast"/>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27.67</w:t>
                  </w:r>
                </w:p>
              </w:tc>
              <w:tc>
                <w:tcPr>
                  <w:tcW w:w="667" w:type="dxa"/>
                  <w:vAlign w:val="center"/>
                </w:tcPr>
                <w:p w14:paraId="6CB5E28C">
                  <w:pPr>
                    <w:widowControl/>
                    <w:jc w:val="center"/>
                    <w:rPr>
                      <w:rFonts w:hint="default" w:eastAsia="宋体"/>
                      <w:color w:val="000000"/>
                      <w:szCs w:val="21"/>
                      <w:highlight w:val="none"/>
                      <w:lang w:val="en-US" w:eastAsia="zh-CN"/>
                    </w:rPr>
                  </w:pPr>
                  <w:r>
                    <w:rPr>
                      <w:rFonts w:hint="eastAsia"/>
                      <w:color w:val="000000"/>
                      <w:szCs w:val="21"/>
                      <w:highlight w:val="none"/>
                      <w:lang w:val="en-US" w:eastAsia="zh-CN"/>
                    </w:rPr>
                    <w:t>51</w:t>
                  </w:r>
                </w:p>
              </w:tc>
              <w:tc>
                <w:tcPr>
                  <w:tcW w:w="668" w:type="dxa"/>
                  <w:vAlign w:val="center"/>
                </w:tcPr>
                <w:p w14:paraId="18C10016">
                  <w:pPr>
                    <w:widowControl/>
                    <w:jc w:val="center"/>
                    <w:rPr>
                      <w:color w:val="000000"/>
                      <w:szCs w:val="21"/>
                      <w:highlight w:val="none"/>
                    </w:rPr>
                  </w:pPr>
                  <w:r>
                    <w:rPr>
                      <w:rFonts w:hint="eastAsia"/>
                      <w:color w:val="000000"/>
                      <w:szCs w:val="21"/>
                      <w:highlight w:val="none"/>
                    </w:rPr>
                    <w:t>/</w:t>
                  </w:r>
                </w:p>
              </w:tc>
              <w:tc>
                <w:tcPr>
                  <w:tcW w:w="801" w:type="dxa"/>
                  <w:shd w:val="clear" w:color="auto" w:fill="auto"/>
                  <w:vAlign w:val="center"/>
                </w:tcPr>
                <w:p w14:paraId="3F2CFCC5">
                  <w:pPr>
                    <w:spacing w:line="0" w:lineRule="atLeast"/>
                    <w:jc w:val="center"/>
                    <w:rPr>
                      <w:rFonts w:hint="default" w:ascii="Times New Roman" w:hAnsi="Times New Roman" w:eastAsia="宋体" w:cs="Times New Roman"/>
                      <w:color w:val="000000"/>
                      <w:kern w:val="0"/>
                      <w:sz w:val="21"/>
                      <w:szCs w:val="21"/>
                      <w:highlight w:val="none"/>
                      <w:lang w:val="en-US" w:eastAsia="zh-CN" w:bidi="ar-SA"/>
                    </w:rPr>
                  </w:pPr>
                  <w:r>
                    <w:rPr>
                      <w:rFonts w:hint="eastAsia"/>
                      <w:color w:val="000000"/>
                      <w:kern w:val="0"/>
                      <w:szCs w:val="21"/>
                      <w:highlight w:val="none"/>
                      <w:lang w:val="en-US" w:eastAsia="zh-CN"/>
                    </w:rPr>
                    <w:t>51.02</w:t>
                  </w:r>
                </w:p>
              </w:tc>
              <w:tc>
                <w:tcPr>
                  <w:tcW w:w="802" w:type="dxa"/>
                  <w:shd w:val="clear" w:color="auto" w:fill="auto"/>
                  <w:vAlign w:val="center"/>
                </w:tcPr>
                <w:p w14:paraId="3BE9F4EC">
                  <w:pPr>
                    <w:spacing w:line="0" w:lineRule="atLeast"/>
                    <w:jc w:val="center"/>
                    <w:rPr>
                      <w:rFonts w:hint="default" w:ascii="Times New Roman" w:hAnsi="Times New Roman" w:eastAsia="宋体" w:cs="Times New Roman"/>
                      <w:color w:val="000000"/>
                      <w:kern w:val="0"/>
                      <w:sz w:val="21"/>
                      <w:szCs w:val="21"/>
                      <w:highlight w:val="none"/>
                      <w:lang w:val="en-US" w:eastAsia="zh-CN" w:bidi="ar-SA"/>
                    </w:rPr>
                  </w:pPr>
                  <w:r>
                    <w:rPr>
                      <w:rFonts w:hint="eastAsia"/>
                      <w:color w:val="000000"/>
                      <w:kern w:val="0"/>
                      <w:szCs w:val="21"/>
                      <w:highlight w:val="none"/>
                      <w:lang w:val="en-US" w:eastAsia="zh-CN"/>
                    </w:rPr>
                    <w:t>27.67</w:t>
                  </w:r>
                </w:p>
              </w:tc>
              <w:tc>
                <w:tcPr>
                  <w:tcW w:w="802" w:type="dxa"/>
                  <w:vAlign w:val="center"/>
                </w:tcPr>
                <w:p w14:paraId="1965D608">
                  <w:pPr>
                    <w:spacing w:line="0" w:lineRule="atLeast"/>
                    <w:jc w:val="center"/>
                    <w:rPr>
                      <w:color w:val="000000"/>
                      <w:szCs w:val="21"/>
                      <w:highlight w:val="none"/>
                    </w:rPr>
                  </w:pPr>
                  <w:r>
                    <w:rPr>
                      <w:rFonts w:hint="eastAsia"/>
                      <w:color w:val="000000"/>
                      <w:szCs w:val="21"/>
                      <w:highlight w:val="none"/>
                    </w:rPr>
                    <w:t>6</w:t>
                  </w:r>
                  <w:r>
                    <w:rPr>
                      <w:color w:val="000000"/>
                      <w:szCs w:val="21"/>
                      <w:highlight w:val="none"/>
                    </w:rPr>
                    <w:t>0</w:t>
                  </w:r>
                </w:p>
              </w:tc>
              <w:tc>
                <w:tcPr>
                  <w:tcW w:w="802" w:type="dxa"/>
                  <w:vAlign w:val="center"/>
                </w:tcPr>
                <w:p w14:paraId="72D0B1A4">
                  <w:pPr>
                    <w:spacing w:line="0" w:lineRule="atLeast"/>
                    <w:jc w:val="center"/>
                    <w:rPr>
                      <w:color w:val="000000"/>
                      <w:szCs w:val="21"/>
                      <w:highlight w:val="none"/>
                    </w:rPr>
                  </w:pPr>
                  <w:r>
                    <w:rPr>
                      <w:rFonts w:hint="eastAsia"/>
                      <w:color w:val="000000"/>
                      <w:szCs w:val="21"/>
                      <w:highlight w:val="none"/>
                    </w:rPr>
                    <w:t>5</w:t>
                  </w:r>
                  <w:r>
                    <w:rPr>
                      <w:color w:val="000000"/>
                      <w:szCs w:val="21"/>
                      <w:highlight w:val="none"/>
                    </w:rPr>
                    <w:t>0</w:t>
                  </w:r>
                </w:p>
              </w:tc>
              <w:tc>
                <w:tcPr>
                  <w:tcW w:w="802" w:type="dxa"/>
                  <w:vAlign w:val="center"/>
                </w:tcPr>
                <w:p w14:paraId="4B3BDE62">
                  <w:pPr>
                    <w:spacing w:line="0" w:lineRule="atLeast"/>
                    <w:jc w:val="center"/>
                    <w:rPr>
                      <w:color w:val="000000"/>
                      <w:szCs w:val="21"/>
                      <w:highlight w:val="none"/>
                    </w:rPr>
                  </w:pPr>
                  <w:r>
                    <w:rPr>
                      <w:rFonts w:hint="eastAsia"/>
                      <w:color w:val="000000"/>
                      <w:szCs w:val="21"/>
                      <w:highlight w:val="none"/>
                    </w:rPr>
                    <w:t>达标</w:t>
                  </w:r>
                </w:p>
              </w:tc>
            </w:tr>
            <w:tr w14:paraId="258717AD">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328" w:hRule="atLeast"/>
                <w:jc w:val="center"/>
              </w:trPr>
              <w:tc>
                <w:tcPr>
                  <w:tcW w:w="1097" w:type="dxa"/>
                  <w:vAlign w:val="center"/>
                </w:tcPr>
                <w:p w14:paraId="71395546">
                  <w:pPr>
                    <w:spacing w:line="0" w:lineRule="atLeast"/>
                    <w:jc w:val="center"/>
                    <w:rPr>
                      <w:color w:val="000000"/>
                      <w:kern w:val="0"/>
                      <w:szCs w:val="21"/>
                      <w:highlight w:val="none"/>
                    </w:rPr>
                  </w:pPr>
                  <w:r>
                    <w:rPr>
                      <w:szCs w:val="21"/>
                      <w:highlight w:val="none"/>
                    </w:rPr>
                    <w:t>东侧厂界</w:t>
                  </w:r>
                </w:p>
              </w:tc>
              <w:tc>
                <w:tcPr>
                  <w:tcW w:w="802" w:type="dxa"/>
                  <w:vAlign w:val="center"/>
                </w:tcPr>
                <w:p w14:paraId="3F8942E9">
                  <w:pPr>
                    <w:spacing w:line="0" w:lineRule="atLeast"/>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33.84</w:t>
                  </w:r>
                </w:p>
              </w:tc>
              <w:tc>
                <w:tcPr>
                  <w:tcW w:w="801" w:type="dxa"/>
                  <w:vAlign w:val="center"/>
                </w:tcPr>
                <w:p w14:paraId="0FD8AE74">
                  <w:pPr>
                    <w:spacing w:line="0" w:lineRule="atLeast"/>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33.84</w:t>
                  </w:r>
                </w:p>
              </w:tc>
              <w:tc>
                <w:tcPr>
                  <w:tcW w:w="667" w:type="dxa"/>
                  <w:vAlign w:val="center"/>
                </w:tcPr>
                <w:p w14:paraId="06A94866">
                  <w:pPr>
                    <w:widowControl/>
                    <w:jc w:val="center"/>
                    <w:rPr>
                      <w:rFonts w:hint="default" w:eastAsia="宋体"/>
                      <w:color w:val="000000"/>
                      <w:szCs w:val="21"/>
                      <w:highlight w:val="none"/>
                      <w:lang w:val="en-US" w:eastAsia="zh-CN"/>
                    </w:rPr>
                  </w:pPr>
                  <w:r>
                    <w:rPr>
                      <w:rFonts w:hint="eastAsia"/>
                      <w:color w:val="000000"/>
                      <w:szCs w:val="21"/>
                      <w:highlight w:val="none"/>
                      <w:lang w:val="en-US" w:eastAsia="zh-CN"/>
                    </w:rPr>
                    <w:t>54</w:t>
                  </w:r>
                </w:p>
              </w:tc>
              <w:tc>
                <w:tcPr>
                  <w:tcW w:w="668" w:type="dxa"/>
                  <w:vAlign w:val="center"/>
                </w:tcPr>
                <w:p w14:paraId="274B23A2">
                  <w:pPr>
                    <w:widowControl/>
                    <w:jc w:val="center"/>
                    <w:rPr>
                      <w:color w:val="000000"/>
                      <w:szCs w:val="21"/>
                      <w:highlight w:val="none"/>
                    </w:rPr>
                  </w:pPr>
                  <w:r>
                    <w:rPr>
                      <w:rFonts w:hint="eastAsia"/>
                      <w:color w:val="000000"/>
                      <w:szCs w:val="21"/>
                      <w:highlight w:val="none"/>
                    </w:rPr>
                    <w:t>/</w:t>
                  </w:r>
                </w:p>
              </w:tc>
              <w:tc>
                <w:tcPr>
                  <w:tcW w:w="801" w:type="dxa"/>
                  <w:shd w:val="clear" w:color="auto" w:fill="auto"/>
                  <w:vAlign w:val="center"/>
                </w:tcPr>
                <w:p w14:paraId="08A2C8A2">
                  <w:pPr>
                    <w:spacing w:line="0" w:lineRule="atLeast"/>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bidi="ar-SA"/>
                    </w:rPr>
                    <w:t>54.04</w:t>
                  </w:r>
                </w:p>
              </w:tc>
              <w:tc>
                <w:tcPr>
                  <w:tcW w:w="802" w:type="dxa"/>
                  <w:shd w:val="clear" w:color="auto" w:fill="auto"/>
                  <w:vAlign w:val="center"/>
                </w:tcPr>
                <w:p w14:paraId="67F7ACF7">
                  <w:pPr>
                    <w:spacing w:line="0" w:lineRule="atLeast"/>
                    <w:jc w:val="center"/>
                    <w:rPr>
                      <w:rFonts w:hint="default" w:ascii="Times New Roman" w:hAnsi="Times New Roman" w:eastAsia="宋体" w:cs="Times New Roman"/>
                      <w:color w:val="000000"/>
                      <w:kern w:val="0"/>
                      <w:sz w:val="21"/>
                      <w:szCs w:val="21"/>
                      <w:highlight w:val="none"/>
                      <w:lang w:val="en-US" w:eastAsia="zh-CN" w:bidi="ar-SA"/>
                    </w:rPr>
                  </w:pPr>
                  <w:r>
                    <w:rPr>
                      <w:rFonts w:hint="eastAsia"/>
                      <w:color w:val="000000"/>
                      <w:kern w:val="0"/>
                      <w:szCs w:val="21"/>
                      <w:highlight w:val="none"/>
                      <w:lang w:val="en-US" w:eastAsia="zh-CN"/>
                    </w:rPr>
                    <w:t>33.84</w:t>
                  </w:r>
                </w:p>
              </w:tc>
              <w:tc>
                <w:tcPr>
                  <w:tcW w:w="802" w:type="dxa"/>
                  <w:vAlign w:val="center"/>
                </w:tcPr>
                <w:p w14:paraId="23B36FD3">
                  <w:pPr>
                    <w:spacing w:line="0" w:lineRule="atLeast"/>
                    <w:jc w:val="center"/>
                    <w:rPr>
                      <w:color w:val="000000"/>
                      <w:szCs w:val="21"/>
                      <w:highlight w:val="none"/>
                    </w:rPr>
                  </w:pPr>
                  <w:r>
                    <w:rPr>
                      <w:rFonts w:hint="eastAsia"/>
                      <w:color w:val="000000"/>
                      <w:szCs w:val="21"/>
                      <w:highlight w:val="none"/>
                    </w:rPr>
                    <w:t>6</w:t>
                  </w:r>
                  <w:r>
                    <w:rPr>
                      <w:color w:val="000000"/>
                      <w:szCs w:val="21"/>
                      <w:highlight w:val="none"/>
                    </w:rPr>
                    <w:t>0</w:t>
                  </w:r>
                </w:p>
              </w:tc>
              <w:tc>
                <w:tcPr>
                  <w:tcW w:w="802" w:type="dxa"/>
                  <w:vAlign w:val="center"/>
                </w:tcPr>
                <w:p w14:paraId="35D5C14D">
                  <w:pPr>
                    <w:spacing w:line="0" w:lineRule="atLeast"/>
                    <w:jc w:val="center"/>
                    <w:rPr>
                      <w:color w:val="000000"/>
                      <w:szCs w:val="21"/>
                      <w:highlight w:val="none"/>
                    </w:rPr>
                  </w:pPr>
                  <w:r>
                    <w:rPr>
                      <w:rFonts w:hint="eastAsia"/>
                      <w:color w:val="000000"/>
                      <w:szCs w:val="21"/>
                      <w:highlight w:val="none"/>
                    </w:rPr>
                    <w:t>5</w:t>
                  </w:r>
                  <w:r>
                    <w:rPr>
                      <w:color w:val="000000"/>
                      <w:szCs w:val="21"/>
                      <w:highlight w:val="none"/>
                    </w:rPr>
                    <w:t>0</w:t>
                  </w:r>
                </w:p>
              </w:tc>
              <w:tc>
                <w:tcPr>
                  <w:tcW w:w="802" w:type="dxa"/>
                  <w:vAlign w:val="center"/>
                </w:tcPr>
                <w:p w14:paraId="64658408">
                  <w:pPr>
                    <w:spacing w:line="0" w:lineRule="atLeast"/>
                    <w:jc w:val="center"/>
                    <w:rPr>
                      <w:color w:val="000000"/>
                      <w:szCs w:val="21"/>
                      <w:highlight w:val="none"/>
                    </w:rPr>
                  </w:pPr>
                  <w:r>
                    <w:rPr>
                      <w:rFonts w:hint="eastAsia"/>
                      <w:color w:val="000000"/>
                      <w:szCs w:val="21"/>
                      <w:highlight w:val="none"/>
                    </w:rPr>
                    <w:t>达标</w:t>
                  </w:r>
                </w:p>
              </w:tc>
            </w:tr>
            <w:tr w14:paraId="20A5DF0B">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PrEx>
              <w:trPr>
                <w:trHeight w:val="328" w:hRule="atLeast"/>
                <w:jc w:val="center"/>
              </w:trPr>
              <w:tc>
                <w:tcPr>
                  <w:tcW w:w="1097" w:type="dxa"/>
                  <w:vAlign w:val="center"/>
                </w:tcPr>
                <w:p w14:paraId="4AA4097C">
                  <w:pPr>
                    <w:spacing w:line="0" w:lineRule="atLeast"/>
                    <w:jc w:val="center"/>
                    <w:rPr>
                      <w:color w:val="000000"/>
                      <w:kern w:val="0"/>
                      <w:szCs w:val="21"/>
                      <w:highlight w:val="none"/>
                    </w:rPr>
                  </w:pPr>
                  <w:r>
                    <w:rPr>
                      <w:szCs w:val="21"/>
                      <w:highlight w:val="none"/>
                    </w:rPr>
                    <w:t>南侧厂界</w:t>
                  </w:r>
                </w:p>
              </w:tc>
              <w:tc>
                <w:tcPr>
                  <w:tcW w:w="802" w:type="dxa"/>
                  <w:vAlign w:val="center"/>
                </w:tcPr>
                <w:p w14:paraId="120CB862">
                  <w:pPr>
                    <w:spacing w:line="0" w:lineRule="atLeast"/>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1.12</w:t>
                  </w:r>
                </w:p>
              </w:tc>
              <w:tc>
                <w:tcPr>
                  <w:tcW w:w="801" w:type="dxa"/>
                  <w:vAlign w:val="center"/>
                </w:tcPr>
                <w:p w14:paraId="0D0A5561">
                  <w:pPr>
                    <w:spacing w:line="0" w:lineRule="atLeast"/>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1.12</w:t>
                  </w:r>
                </w:p>
              </w:tc>
              <w:tc>
                <w:tcPr>
                  <w:tcW w:w="667" w:type="dxa"/>
                  <w:vAlign w:val="center"/>
                </w:tcPr>
                <w:p w14:paraId="607A328B">
                  <w:pPr>
                    <w:widowControl/>
                    <w:jc w:val="center"/>
                    <w:rPr>
                      <w:rFonts w:hint="default" w:eastAsia="宋体"/>
                      <w:color w:val="000000"/>
                      <w:szCs w:val="21"/>
                      <w:highlight w:val="none"/>
                      <w:lang w:val="en-US" w:eastAsia="zh-CN"/>
                    </w:rPr>
                  </w:pPr>
                  <w:r>
                    <w:rPr>
                      <w:rFonts w:hint="eastAsia"/>
                      <w:color w:val="000000"/>
                      <w:szCs w:val="21"/>
                      <w:highlight w:val="none"/>
                      <w:lang w:val="en-US" w:eastAsia="zh-CN"/>
                    </w:rPr>
                    <w:t>56</w:t>
                  </w:r>
                </w:p>
              </w:tc>
              <w:tc>
                <w:tcPr>
                  <w:tcW w:w="668" w:type="dxa"/>
                  <w:vAlign w:val="center"/>
                </w:tcPr>
                <w:p w14:paraId="4AF1E333">
                  <w:pPr>
                    <w:widowControl/>
                    <w:jc w:val="center"/>
                    <w:rPr>
                      <w:color w:val="000000"/>
                      <w:szCs w:val="21"/>
                      <w:highlight w:val="none"/>
                    </w:rPr>
                  </w:pPr>
                  <w:r>
                    <w:rPr>
                      <w:rFonts w:hint="eastAsia"/>
                      <w:color w:val="000000"/>
                      <w:szCs w:val="21"/>
                      <w:highlight w:val="none"/>
                    </w:rPr>
                    <w:t>/</w:t>
                  </w:r>
                </w:p>
              </w:tc>
              <w:tc>
                <w:tcPr>
                  <w:tcW w:w="801" w:type="dxa"/>
                  <w:shd w:val="clear" w:color="auto" w:fill="auto"/>
                  <w:vAlign w:val="center"/>
                </w:tcPr>
                <w:p w14:paraId="3CA5FA2A">
                  <w:pPr>
                    <w:spacing w:line="0" w:lineRule="atLeast"/>
                    <w:jc w:val="center"/>
                    <w:rPr>
                      <w:rFonts w:hint="default" w:ascii="Times New Roman" w:hAnsi="Times New Roman" w:eastAsia="宋体" w:cs="Times New Roman"/>
                      <w:color w:val="000000"/>
                      <w:kern w:val="0"/>
                      <w:sz w:val="21"/>
                      <w:szCs w:val="21"/>
                      <w:highlight w:val="none"/>
                      <w:lang w:val="en-US" w:eastAsia="zh-CN" w:bidi="ar-SA"/>
                    </w:rPr>
                  </w:pPr>
                  <w:r>
                    <w:rPr>
                      <w:rFonts w:hint="eastAsia"/>
                      <w:color w:val="000000"/>
                      <w:kern w:val="0"/>
                      <w:szCs w:val="21"/>
                      <w:highlight w:val="none"/>
                      <w:lang w:val="en-US" w:eastAsia="zh-CN"/>
                    </w:rPr>
                    <w:t>56</w:t>
                  </w:r>
                </w:p>
              </w:tc>
              <w:tc>
                <w:tcPr>
                  <w:tcW w:w="802" w:type="dxa"/>
                  <w:shd w:val="clear" w:color="auto" w:fill="auto"/>
                  <w:vAlign w:val="center"/>
                </w:tcPr>
                <w:p w14:paraId="467AE08B">
                  <w:pPr>
                    <w:spacing w:line="0" w:lineRule="atLeast"/>
                    <w:jc w:val="center"/>
                    <w:rPr>
                      <w:rFonts w:hint="default" w:ascii="Times New Roman" w:hAnsi="Times New Roman" w:eastAsia="宋体" w:cs="Times New Roman"/>
                      <w:color w:val="000000"/>
                      <w:kern w:val="0"/>
                      <w:sz w:val="21"/>
                      <w:szCs w:val="21"/>
                      <w:highlight w:val="none"/>
                      <w:lang w:val="en-US" w:eastAsia="zh-CN" w:bidi="ar-SA"/>
                    </w:rPr>
                  </w:pPr>
                  <w:r>
                    <w:rPr>
                      <w:rFonts w:hint="eastAsia"/>
                      <w:color w:val="000000"/>
                      <w:kern w:val="0"/>
                      <w:szCs w:val="21"/>
                      <w:highlight w:val="none"/>
                      <w:lang w:val="en-US" w:eastAsia="zh-CN"/>
                    </w:rPr>
                    <w:t>1.12</w:t>
                  </w:r>
                </w:p>
              </w:tc>
              <w:tc>
                <w:tcPr>
                  <w:tcW w:w="802" w:type="dxa"/>
                  <w:vAlign w:val="center"/>
                </w:tcPr>
                <w:p w14:paraId="730512AE">
                  <w:pPr>
                    <w:spacing w:line="0" w:lineRule="atLeast"/>
                    <w:jc w:val="center"/>
                    <w:rPr>
                      <w:color w:val="000000"/>
                      <w:szCs w:val="21"/>
                      <w:highlight w:val="none"/>
                    </w:rPr>
                  </w:pPr>
                  <w:r>
                    <w:rPr>
                      <w:rFonts w:hint="eastAsia"/>
                      <w:color w:val="000000"/>
                      <w:szCs w:val="21"/>
                      <w:highlight w:val="none"/>
                    </w:rPr>
                    <w:t>6</w:t>
                  </w:r>
                  <w:r>
                    <w:rPr>
                      <w:color w:val="000000"/>
                      <w:szCs w:val="21"/>
                      <w:highlight w:val="none"/>
                    </w:rPr>
                    <w:t>0</w:t>
                  </w:r>
                </w:p>
              </w:tc>
              <w:tc>
                <w:tcPr>
                  <w:tcW w:w="802" w:type="dxa"/>
                  <w:vAlign w:val="center"/>
                </w:tcPr>
                <w:p w14:paraId="24AA836A">
                  <w:pPr>
                    <w:spacing w:line="0" w:lineRule="atLeast"/>
                    <w:jc w:val="center"/>
                    <w:rPr>
                      <w:color w:val="000000"/>
                      <w:szCs w:val="21"/>
                      <w:highlight w:val="none"/>
                    </w:rPr>
                  </w:pPr>
                  <w:r>
                    <w:rPr>
                      <w:rFonts w:hint="eastAsia"/>
                      <w:color w:val="000000"/>
                      <w:szCs w:val="21"/>
                      <w:highlight w:val="none"/>
                    </w:rPr>
                    <w:t>5</w:t>
                  </w:r>
                  <w:r>
                    <w:rPr>
                      <w:color w:val="000000"/>
                      <w:szCs w:val="21"/>
                      <w:highlight w:val="none"/>
                    </w:rPr>
                    <w:t>0</w:t>
                  </w:r>
                </w:p>
              </w:tc>
              <w:tc>
                <w:tcPr>
                  <w:tcW w:w="802" w:type="dxa"/>
                  <w:vAlign w:val="center"/>
                </w:tcPr>
                <w:p w14:paraId="3C804A0E">
                  <w:pPr>
                    <w:spacing w:line="0" w:lineRule="atLeast"/>
                    <w:jc w:val="center"/>
                    <w:rPr>
                      <w:color w:val="000000"/>
                      <w:szCs w:val="21"/>
                      <w:highlight w:val="none"/>
                    </w:rPr>
                  </w:pPr>
                  <w:r>
                    <w:rPr>
                      <w:rFonts w:hint="eastAsia"/>
                      <w:color w:val="000000"/>
                      <w:szCs w:val="21"/>
                      <w:highlight w:val="none"/>
                    </w:rPr>
                    <w:t>达标</w:t>
                  </w:r>
                </w:p>
              </w:tc>
            </w:tr>
            <w:tr w14:paraId="1FE51262">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328" w:hRule="atLeast"/>
                <w:jc w:val="center"/>
              </w:trPr>
              <w:tc>
                <w:tcPr>
                  <w:tcW w:w="1097" w:type="dxa"/>
                  <w:vAlign w:val="center"/>
                </w:tcPr>
                <w:p w14:paraId="166A6850">
                  <w:pPr>
                    <w:spacing w:line="0" w:lineRule="atLeast"/>
                    <w:jc w:val="center"/>
                    <w:rPr>
                      <w:color w:val="000000"/>
                      <w:kern w:val="0"/>
                      <w:szCs w:val="21"/>
                      <w:highlight w:val="none"/>
                    </w:rPr>
                  </w:pPr>
                  <w:r>
                    <w:rPr>
                      <w:szCs w:val="21"/>
                      <w:highlight w:val="none"/>
                    </w:rPr>
                    <w:t>西侧厂界</w:t>
                  </w:r>
                </w:p>
              </w:tc>
              <w:tc>
                <w:tcPr>
                  <w:tcW w:w="802" w:type="dxa"/>
                  <w:vAlign w:val="center"/>
                </w:tcPr>
                <w:p w14:paraId="0B308B33">
                  <w:pPr>
                    <w:spacing w:line="0" w:lineRule="atLeast"/>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0.39</w:t>
                  </w:r>
                </w:p>
              </w:tc>
              <w:tc>
                <w:tcPr>
                  <w:tcW w:w="801" w:type="dxa"/>
                  <w:vAlign w:val="center"/>
                </w:tcPr>
                <w:p w14:paraId="6058D79A">
                  <w:pPr>
                    <w:spacing w:line="0" w:lineRule="atLeast"/>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0.39</w:t>
                  </w:r>
                </w:p>
              </w:tc>
              <w:tc>
                <w:tcPr>
                  <w:tcW w:w="667" w:type="dxa"/>
                  <w:vAlign w:val="center"/>
                </w:tcPr>
                <w:p w14:paraId="4B541200">
                  <w:pPr>
                    <w:widowControl/>
                    <w:jc w:val="center"/>
                    <w:rPr>
                      <w:color w:val="000000"/>
                      <w:szCs w:val="21"/>
                      <w:highlight w:val="none"/>
                    </w:rPr>
                  </w:pPr>
                  <w:r>
                    <w:rPr>
                      <w:rFonts w:hint="eastAsia"/>
                      <w:color w:val="000000"/>
                      <w:szCs w:val="21"/>
                      <w:highlight w:val="none"/>
                    </w:rPr>
                    <w:t>/</w:t>
                  </w:r>
                </w:p>
              </w:tc>
              <w:tc>
                <w:tcPr>
                  <w:tcW w:w="668" w:type="dxa"/>
                  <w:vAlign w:val="center"/>
                </w:tcPr>
                <w:p w14:paraId="734368C8">
                  <w:pPr>
                    <w:widowControl/>
                    <w:jc w:val="center"/>
                    <w:rPr>
                      <w:color w:val="000000"/>
                      <w:szCs w:val="21"/>
                      <w:highlight w:val="none"/>
                    </w:rPr>
                  </w:pPr>
                  <w:r>
                    <w:rPr>
                      <w:rFonts w:hint="eastAsia"/>
                      <w:color w:val="000000"/>
                      <w:szCs w:val="21"/>
                      <w:highlight w:val="none"/>
                    </w:rPr>
                    <w:t>/</w:t>
                  </w:r>
                </w:p>
              </w:tc>
              <w:tc>
                <w:tcPr>
                  <w:tcW w:w="801" w:type="dxa"/>
                  <w:shd w:val="clear" w:color="auto" w:fill="auto"/>
                  <w:vAlign w:val="center"/>
                </w:tcPr>
                <w:p w14:paraId="7C17B83D">
                  <w:pPr>
                    <w:spacing w:line="0" w:lineRule="atLeast"/>
                    <w:jc w:val="center"/>
                    <w:rPr>
                      <w:rFonts w:hint="default" w:ascii="Times New Roman" w:hAnsi="Times New Roman" w:eastAsia="宋体" w:cs="Times New Roman"/>
                      <w:color w:val="000000"/>
                      <w:kern w:val="0"/>
                      <w:sz w:val="21"/>
                      <w:szCs w:val="21"/>
                      <w:highlight w:val="none"/>
                      <w:lang w:val="en-US" w:eastAsia="zh-CN" w:bidi="ar-SA"/>
                    </w:rPr>
                  </w:pPr>
                  <w:r>
                    <w:rPr>
                      <w:rFonts w:hint="eastAsia"/>
                      <w:color w:val="000000"/>
                      <w:kern w:val="0"/>
                      <w:szCs w:val="21"/>
                      <w:highlight w:val="none"/>
                      <w:lang w:val="en-US" w:eastAsia="zh-CN"/>
                    </w:rPr>
                    <w:t>0.39</w:t>
                  </w:r>
                </w:p>
              </w:tc>
              <w:tc>
                <w:tcPr>
                  <w:tcW w:w="802" w:type="dxa"/>
                  <w:shd w:val="clear" w:color="auto" w:fill="auto"/>
                  <w:vAlign w:val="center"/>
                </w:tcPr>
                <w:p w14:paraId="3503F878">
                  <w:pPr>
                    <w:spacing w:line="0" w:lineRule="atLeast"/>
                    <w:jc w:val="center"/>
                    <w:rPr>
                      <w:rFonts w:hint="default" w:ascii="Times New Roman" w:hAnsi="Times New Roman" w:eastAsia="宋体" w:cs="Times New Roman"/>
                      <w:color w:val="000000"/>
                      <w:kern w:val="0"/>
                      <w:sz w:val="21"/>
                      <w:szCs w:val="21"/>
                      <w:highlight w:val="none"/>
                      <w:lang w:val="en-US" w:eastAsia="zh-CN" w:bidi="ar-SA"/>
                    </w:rPr>
                  </w:pPr>
                  <w:r>
                    <w:rPr>
                      <w:rFonts w:hint="eastAsia"/>
                      <w:color w:val="000000"/>
                      <w:kern w:val="0"/>
                      <w:szCs w:val="21"/>
                      <w:highlight w:val="none"/>
                      <w:lang w:val="en-US" w:eastAsia="zh-CN"/>
                    </w:rPr>
                    <w:t>0.39</w:t>
                  </w:r>
                </w:p>
              </w:tc>
              <w:tc>
                <w:tcPr>
                  <w:tcW w:w="802" w:type="dxa"/>
                  <w:vAlign w:val="center"/>
                </w:tcPr>
                <w:p w14:paraId="745FD441">
                  <w:pPr>
                    <w:spacing w:line="0" w:lineRule="atLeast"/>
                    <w:jc w:val="center"/>
                    <w:rPr>
                      <w:color w:val="000000"/>
                      <w:szCs w:val="21"/>
                      <w:highlight w:val="none"/>
                    </w:rPr>
                  </w:pPr>
                  <w:r>
                    <w:rPr>
                      <w:rFonts w:hint="eastAsia"/>
                      <w:color w:val="000000"/>
                      <w:szCs w:val="21"/>
                      <w:highlight w:val="none"/>
                    </w:rPr>
                    <w:t>6</w:t>
                  </w:r>
                  <w:r>
                    <w:rPr>
                      <w:color w:val="000000"/>
                      <w:szCs w:val="21"/>
                      <w:highlight w:val="none"/>
                    </w:rPr>
                    <w:t>0</w:t>
                  </w:r>
                </w:p>
              </w:tc>
              <w:tc>
                <w:tcPr>
                  <w:tcW w:w="802" w:type="dxa"/>
                  <w:vAlign w:val="center"/>
                </w:tcPr>
                <w:p w14:paraId="1B5EB874">
                  <w:pPr>
                    <w:spacing w:line="0" w:lineRule="atLeast"/>
                    <w:jc w:val="center"/>
                    <w:rPr>
                      <w:color w:val="000000"/>
                      <w:szCs w:val="21"/>
                      <w:highlight w:val="none"/>
                    </w:rPr>
                  </w:pPr>
                  <w:r>
                    <w:rPr>
                      <w:rFonts w:hint="eastAsia"/>
                      <w:color w:val="000000"/>
                      <w:szCs w:val="21"/>
                      <w:highlight w:val="none"/>
                    </w:rPr>
                    <w:t>5</w:t>
                  </w:r>
                  <w:r>
                    <w:rPr>
                      <w:color w:val="000000"/>
                      <w:szCs w:val="21"/>
                      <w:highlight w:val="none"/>
                    </w:rPr>
                    <w:t>0</w:t>
                  </w:r>
                </w:p>
              </w:tc>
              <w:tc>
                <w:tcPr>
                  <w:tcW w:w="802" w:type="dxa"/>
                  <w:vAlign w:val="center"/>
                </w:tcPr>
                <w:p w14:paraId="1BD6F0EA">
                  <w:pPr>
                    <w:spacing w:line="0" w:lineRule="atLeast"/>
                    <w:jc w:val="center"/>
                    <w:rPr>
                      <w:color w:val="000000"/>
                      <w:szCs w:val="21"/>
                      <w:highlight w:val="none"/>
                    </w:rPr>
                  </w:pPr>
                  <w:r>
                    <w:rPr>
                      <w:rFonts w:hint="eastAsia"/>
                      <w:color w:val="000000"/>
                      <w:szCs w:val="21"/>
                      <w:highlight w:val="none"/>
                    </w:rPr>
                    <w:t>达标</w:t>
                  </w:r>
                </w:p>
              </w:tc>
            </w:tr>
          </w:tbl>
          <w:p w14:paraId="062708AF">
            <w:pPr>
              <w:spacing w:before="120" w:beforeLines="50"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绘制项目噪声预测等声级线图如下图所示。</w:t>
            </w:r>
          </w:p>
          <w:p w14:paraId="2284D80D">
            <w:pPr>
              <w:spacing w:line="360" w:lineRule="auto"/>
              <w:jc w:val="center"/>
              <w:rPr>
                <w:sz w:val="24"/>
                <w:highlight w:val="none"/>
              </w:rPr>
            </w:pPr>
            <w:r>
              <w:rPr>
                <w:highlight w:val="none"/>
              </w:rPr>
              <w:drawing>
                <wp:inline distT="0" distB="0" distL="114300" distR="114300">
                  <wp:extent cx="5433060" cy="4836795"/>
                  <wp:effectExtent l="0" t="0" r="15240" b="1905"/>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19"/>
                          <a:stretch>
                            <a:fillRect/>
                          </a:stretch>
                        </pic:blipFill>
                        <pic:spPr>
                          <a:xfrm>
                            <a:off x="0" y="0"/>
                            <a:ext cx="5433060" cy="4836795"/>
                          </a:xfrm>
                          <a:prstGeom prst="rect">
                            <a:avLst/>
                          </a:prstGeom>
                          <a:noFill/>
                          <a:ln>
                            <a:noFill/>
                          </a:ln>
                        </pic:spPr>
                      </pic:pic>
                    </a:graphicData>
                  </a:graphic>
                </wp:inline>
              </w:drawing>
            </w:r>
          </w:p>
          <w:p w14:paraId="5D612038">
            <w:pPr>
              <w:pStyle w:val="50"/>
              <w:numPr>
                <w:ilvl w:val="0"/>
                <w:numId w:val="12"/>
              </w:numPr>
              <w:spacing w:line="360" w:lineRule="auto"/>
              <w:ind w:firstLineChars="0"/>
              <w:jc w:val="center"/>
              <w:rPr>
                <w:highlight w:val="none"/>
              </w:rPr>
            </w:pPr>
            <w:r>
              <w:rPr>
                <w:rFonts w:eastAsia="宋体"/>
                <w:b/>
                <w:bCs/>
                <w:color w:val="000000"/>
                <w:sz w:val="21"/>
                <w:highlight w:val="none"/>
              </w:rPr>
              <w:t>项目</w:t>
            </w:r>
            <w:r>
              <w:rPr>
                <w:rFonts w:hint="eastAsia" w:eastAsia="宋体"/>
                <w:b/>
                <w:bCs/>
                <w:color w:val="000000"/>
                <w:sz w:val="21"/>
                <w:highlight w:val="none"/>
              </w:rPr>
              <w:t>工程</w:t>
            </w:r>
            <w:r>
              <w:rPr>
                <w:rFonts w:eastAsia="宋体"/>
                <w:b/>
                <w:bCs/>
                <w:color w:val="000000"/>
                <w:sz w:val="21"/>
                <w:highlight w:val="none"/>
              </w:rPr>
              <w:t>噪声贡献值等值线图</w:t>
            </w:r>
          </w:p>
          <w:p w14:paraId="70BF5BF1">
            <w:pPr>
              <w:spacing w:before="120" w:beforeLines="50" w:line="360" w:lineRule="auto"/>
              <w:ind w:firstLine="482"/>
              <w:rPr>
                <w:color w:val="000000" w:themeColor="text1"/>
                <w:sz w:val="24"/>
                <w:highlight w:val="none"/>
                <w14:textFill>
                  <w14:solidFill>
                    <w14:schemeClr w14:val="tx1"/>
                  </w14:solidFill>
                </w14:textFill>
              </w:rPr>
            </w:pPr>
            <w:r>
              <w:rPr>
                <w:sz w:val="24"/>
                <w:highlight w:val="none"/>
              </w:rPr>
              <w:t>根据上表</w:t>
            </w:r>
            <w:r>
              <w:rPr>
                <w:rFonts w:hint="eastAsia"/>
                <w:sz w:val="24"/>
                <w:highlight w:val="none"/>
              </w:rPr>
              <w:t>、图</w:t>
            </w:r>
            <w:r>
              <w:rPr>
                <w:sz w:val="24"/>
                <w:highlight w:val="none"/>
              </w:rPr>
              <w:t>预测结果可知，项目四</w:t>
            </w:r>
            <w:r>
              <w:rPr>
                <w:rFonts w:hint="eastAsia"/>
                <w:sz w:val="24"/>
                <w:highlight w:val="none"/>
              </w:rPr>
              <w:t>侧</w:t>
            </w:r>
            <w:r>
              <w:rPr>
                <w:sz w:val="24"/>
                <w:highlight w:val="none"/>
              </w:rPr>
              <w:t>厂界</w:t>
            </w:r>
            <w:r>
              <w:rPr>
                <w:rFonts w:hint="eastAsia"/>
                <w:sz w:val="24"/>
                <w:highlight w:val="none"/>
              </w:rPr>
              <w:t>昼</w:t>
            </w:r>
            <w:r>
              <w:rPr>
                <w:rFonts w:hint="eastAsia"/>
                <w:sz w:val="24"/>
                <w:highlight w:val="none"/>
                <w:lang w:val="en-US" w:eastAsia="zh-CN"/>
              </w:rPr>
              <w:t>间、夜</w:t>
            </w:r>
            <w:r>
              <w:rPr>
                <w:rFonts w:hint="eastAsia"/>
                <w:sz w:val="24"/>
                <w:highlight w:val="none"/>
              </w:rPr>
              <w:t>间</w:t>
            </w:r>
            <w:r>
              <w:rPr>
                <w:sz w:val="24"/>
                <w:highlight w:val="none"/>
              </w:rPr>
              <w:t>噪声贡献值</w:t>
            </w:r>
            <w:r>
              <w:rPr>
                <w:rFonts w:hint="eastAsia"/>
                <w:sz w:val="24"/>
                <w:highlight w:val="none"/>
              </w:rPr>
              <w:t>均</w:t>
            </w:r>
            <w:r>
              <w:rPr>
                <w:sz w:val="24"/>
                <w:highlight w:val="none"/>
              </w:rPr>
              <w:t>符合《工业企业厂界环境噪声排放标准》（GB12348-2008）中</w:t>
            </w:r>
            <w:r>
              <w:rPr>
                <w:rFonts w:hint="eastAsia"/>
                <w:sz w:val="24"/>
                <w:highlight w:val="none"/>
              </w:rPr>
              <w:t>2</w:t>
            </w:r>
            <w:r>
              <w:rPr>
                <w:sz w:val="24"/>
                <w:highlight w:val="none"/>
              </w:rPr>
              <w:t>类标准要求</w:t>
            </w:r>
            <w:r>
              <w:rPr>
                <w:rFonts w:hint="eastAsia"/>
                <w:sz w:val="24"/>
                <w:highlight w:val="none"/>
              </w:rPr>
              <w:t>，项目厂界噪声为达标排放</w:t>
            </w:r>
            <w:r>
              <w:rPr>
                <w:sz w:val="24"/>
                <w:highlight w:val="none"/>
              </w:rPr>
              <w:t>。</w:t>
            </w:r>
            <w:r>
              <w:rPr>
                <w:rFonts w:hint="eastAsia"/>
                <w:sz w:val="24"/>
                <w:highlight w:val="none"/>
              </w:rPr>
              <w:t>项目厂界外5</w:t>
            </w:r>
            <w:r>
              <w:rPr>
                <w:sz w:val="24"/>
                <w:highlight w:val="none"/>
              </w:rPr>
              <w:t>0</w:t>
            </w:r>
            <w:r>
              <w:rPr>
                <w:rFonts w:hint="eastAsia"/>
                <w:sz w:val="24"/>
                <w:highlight w:val="none"/>
              </w:rPr>
              <w:t>m范围内无声环境保护目标，</w:t>
            </w:r>
            <w:r>
              <w:rPr>
                <w:rFonts w:hint="eastAsia"/>
                <w:color w:val="000000" w:themeColor="text1"/>
                <w:sz w:val="24"/>
                <w:highlight w:val="none"/>
                <w14:textFill>
                  <w14:solidFill>
                    <w14:schemeClr w14:val="tx1"/>
                  </w14:solidFill>
                </w14:textFill>
              </w:rPr>
              <w:t>项目的运行对区域声环境质量的影响较小。</w:t>
            </w:r>
          </w:p>
          <w:p w14:paraId="78FA32B1">
            <w:pPr>
              <w:spacing w:line="360" w:lineRule="auto"/>
              <w:ind w:firstLine="480"/>
              <w:rPr>
                <w:b/>
                <w:sz w:val="24"/>
                <w:highlight w:val="none"/>
              </w:rPr>
            </w:pPr>
            <w:r>
              <w:rPr>
                <w:rFonts w:hint="eastAsia"/>
                <w:b/>
                <w:sz w:val="24"/>
                <w:highlight w:val="none"/>
              </w:rPr>
              <w:t>（</w:t>
            </w:r>
            <w:r>
              <w:rPr>
                <w:b/>
                <w:sz w:val="24"/>
                <w:highlight w:val="none"/>
              </w:rPr>
              <w:t>3</w:t>
            </w:r>
            <w:r>
              <w:rPr>
                <w:rFonts w:hint="eastAsia"/>
                <w:b/>
                <w:sz w:val="24"/>
                <w:highlight w:val="none"/>
              </w:rPr>
              <w:t>）监测要求</w:t>
            </w:r>
          </w:p>
          <w:p w14:paraId="325F58ED">
            <w:pPr>
              <w:adjustRightInd w:val="0"/>
              <w:snapToGrid w:val="0"/>
              <w:spacing w:line="360" w:lineRule="auto"/>
              <w:ind w:firstLine="480"/>
              <w:rPr>
                <w:sz w:val="24"/>
                <w:highlight w:val="none"/>
              </w:rPr>
            </w:pPr>
            <w:r>
              <w:rPr>
                <w:sz w:val="24"/>
                <w:highlight w:val="none"/>
              </w:rPr>
              <w:t>根据</w:t>
            </w:r>
            <w:r>
              <w:rPr>
                <w:rFonts w:hint="eastAsia"/>
                <w:sz w:val="24"/>
                <w:highlight w:val="none"/>
              </w:rPr>
              <w:t>《排污单位自行监测技术指南 火力发电及锅炉》（HJ 820-2017）</w:t>
            </w:r>
            <w:r>
              <w:rPr>
                <w:sz w:val="24"/>
                <w:highlight w:val="none"/>
              </w:rPr>
              <w:t>，项目噪声源监测要求详见下表：</w:t>
            </w:r>
          </w:p>
          <w:p w14:paraId="58958CC8">
            <w:pPr>
              <w:pStyle w:val="50"/>
              <w:numPr>
                <w:ilvl w:val="0"/>
                <w:numId w:val="11"/>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项目噪声监测要求一览表</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9"/>
              <w:gridCol w:w="1371"/>
              <w:gridCol w:w="1149"/>
              <w:gridCol w:w="1163"/>
              <w:gridCol w:w="3657"/>
            </w:tblGrid>
            <w:tr w14:paraId="08C1D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2" w:type="dxa"/>
                  <w:tcBorders>
                    <w:top w:val="single" w:color="auto" w:sz="4" w:space="0"/>
                    <w:left w:val="single" w:color="auto" w:sz="4" w:space="0"/>
                    <w:bottom w:val="single" w:color="auto" w:sz="4" w:space="0"/>
                    <w:right w:val="single" w:color="auto" w:sz="4" w:space="0"/>
                  </w:tcBorders>
                  <w:vAlign w:val="center"/>
                </w:tcPr>
                <w:p w14:paraId="7C46AEB7">
                  <w:pPr>
                    <w:jc w:val="center"/>
                    <w:rPr>
                      <w:b/>
                      <w:color w:val="000000"/>
                      <w:szCs w:val="21"/>
                      <w:highlight w:val="none"/>
                    </w:rPr>
                  </w:pPr>
                  <w:r>
                    <w:rPr>
                      <w:b/>
                      <w:color w:val="000000"/>
                      <w:szCs w:val="21"/>
                      <w:highlight w:val="none"/>
                    </w:rPr>
                    <w:t>环境要素</w:t>
                  </w:r>
                </w:p>
              </w:tc>
              <w:tc>
                <w:tcPr>
                  <w:tcW w:w="1350" w:type="dxa"/>
                  <w:tcBorders>
                    <w:top w:val="single" w:color="auto" w:sz="4" w:space="0"/>
                    <w:left w:val="nil"/>
                    <w:bottom w:val="single" w:color="auto" w:sz="4" w:space="0"/>
                    <w:right w:val="single" w:color="auto" w:sz="4" w:space="0"/>
                  </w:tcBorders>
                  <w:vAlign w:val="center"/>
                </w:tcPr>
                <w:p w14:paraId="3EA9AF6C">
                  <w:pPr>
                    <w:jc w:val="center"/>
                    <w:rPr>
                      <w:b/>
                      <w:color w:val="000000"/>
                      <w:szCs w:val="21"/>
                      <w:highlight w:val="none"/>
                    </w:rPr>
                  </w:pPr>
                  <w:r>
                    <w:rPr>
                      <w:b/>
                      <w:color w:val="000000"/>
                      <w:szCs w:val="21"/>
                      <w:highlight w:val="none"/>
                    </w:rPr>
                    <w:t>监测位置</w:t>
                  </w:r>
                </w:p>
              </w:tc>
              <w:tc>
                <w:tcPr>
                  <w:tcW w:w="1132" w:type="dxa"/>
                  <w:tcBorders>
                    <w:top w:val="single" w:color="auto" w:sz="4" w:space="0"/>
                    <w:left w:val="nil"/>
                    <w:bottom w:val="single" w:color="auto" w:sz="4" w:space="0"/>
                    <w:right w:val="single" w:color="auto" w:sz="4" w:space="0"/>
                  </w:tcBorders>
                  <w:vAlign w:val="center"/>
                </w:tcPr>
                <w:p w14:paraId="0EBB8F57">
                  <w:pPr>
                    <w:jc w:val="center"/>
                    <w:rPr>
                      <w:b/>
                      <w:color w:val="000000"/>
                      <w:szCs w:val="21"/>
                      <w:highlight w:val="none"/>
                    </w:rPr>
                  </w:pPr>
                  <w:r>
                    <w:rPr>
                      <w:b/>
                      <w:color w:val="000000"/>
                      <w:szCs w:val="21"/>
                      <w:highlight w:val="none"/>
                    </w:rPr>
                    <w:t>监测项目</w:t>
                  </w:r>
                </w:p>
              </w:tc>
              <w:tc>
                <w:tcPr>
                  <w:tcW w:w="1145" w:type="dxa"/>
                  <w:tcBorders>
                    <w:top w:val="single" w:color="auto" w:sz="4" w:space="0"/>
                    <w:left w:val="nil"/>
                    <w:bottom w:val="single" w:color="auto" w:sz="4" w:space="0"/>
                    <w:right w:val="single" w:color="auto" w:sz="4" w:space="0"/>
                  </w:tcBorders>
                  <w:vAlign w:val="center"/>
                </w:tcPr>
                <w:p w14:paraId="4C76AC8F">
                  <w:pPr>
                    <w:jc w:val="center"/>
                    <w:rPr>
                      <w:b/>
                      <w:color w:val="000000"/>
                      <w:szCs w:val="21"/>
                      <w:highlight w:val="none"/>
                    </w:rPr>
                  </w:pPr>
                  <w:r>
                    <w:rPr>
                      <w:b/>
                      <w:color w:val="000000"/>
                      <w:szCs w:val="21"/>
                      <w:highlight w:val="none"/>
                    </w:rPr>
                    <w:t>频次</w:t>
                  </w:r>
                </w:p>
              </w:tc>
              <w:tc>
                <w:tcPr>
                  <w:tcW w:w="3602" w:type="dxa"/>
                  <w:tcBorders>
                    <w:top w:val="single" w:color="auto" w:sz="4" w:space="0"/>
                    <w:left w:val="nil"/>
                    <w:bottom w:val="single" w:color="auto" w:sz="4" w:space="0"/>
                    <w:right w:val="single" w:color="auto" w:sz="4" w:space="0"/>
                  </w:tcBorders>
                  <w:vAlign w:val="center"/>
                </w:tcPr>
                <w:p w14:paraId="7FC6CD60">
                  <w:pPr>
                    <w:jc w:val="center"/>
                    <w:rPr>
                      <w:b/>
                      <w:color w:val="000000"/>
                      <w:szCs w:val="21"/>
                      <w:highlight w:val="none"/>
                    </w:rPr>
                  </w:pPr>
                  <w:r>
                    <w:rPr>
                      <w:b/>
                      <w:color w:val="000000"/>
                      <w:szCs w:val="21"/>
                      <w:highlight w:val="none"/>
                    </w:rPr>
                    <w:t>执行标准</w:t>
                  </w:r>
                </w:p>
              </w:tc>
            </w:tr>
            <w:tr w14:paraId="2B14B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102" w:type="dxa"/>
                  <w:tcBorders>
                    <w:top w:val="single" w:color="auto" w:sz="4" w:space="0"/>
                    <w:left w:val="single" w:color="auto" w:sz="4" w:space="0"/>
                    <w:bottom w:val="single" w:color="auto" w:sz="4" w:space="0"/>
                    <w:right w:val="single" w:color="auto" w:sz="4" w:space="0"/>
                  </w:tcBorders>
                  <w:vAlign w:val="center"/>
                </w:tcPr>
                <w:p w14:paraId="105B5AA2">
                  <w:pPr>
                    <w:jc w:val="center"/>
                    <w:rPr>
                      <w:color w:val="000000"/>
                      <w:szCs w:val="21"/>
                      <w:highlight w:val="none"/>
                    </w:rPr>
                  </w:pPr>
                  <w:r>
                    <w:rPr>
                      <w:color w:val="000000"/>
                      <w:szCs w:val="21"/>
                      <w:highlight w:val="none"/>
                    </w:rPr>
                    <w:t>噪声</w:t>
                  </w:r>
                </w:p>
              </w:tc>
              <w:tc>
                <w:tcPr>
                  <w:tcW w:w="1350" w:type="dxa"/>
                  <w:tcBorders>
                    <w:top w:val="single" w:color="auto" w:sz="4" w:space="0"/>
                    <w:left w:val="nil"/>
                    <w:bottom w:val="single" w:color="auto" w:sz="4" w:space="0"/>
                    <w:right w:val="single" w:color="auto" w:sz="4" w:space="0"/>
                  </w:tcBorders>
                  <w:vAlign w:val="center"/>
                </w:tcPr>
                <w:p w14:paraId="1BB0B83E">
                  <w:pPr>
                    <w:jc w:val="center"/>
                    <w:rPr>
                      <w:color w:val="000000"/>
                      <w:szCs w:val="21"/>
                      <w:highlight w:val="none"/>
                    </w:rPr>
                  </w:pPr>
                  <w:r>
                    <w:rPr>
                      <w:color w:val="000000"/>
                      <w:szCs w:val="21"/>
                      <w:highlight w:val="none"/>
                    </w:rPr>
                    <w:t>四厂界外1m处</w:t>
                  </w:r>
                </w:p>
              </w:tc>
              <w:tc>
                <w:tcPr>
                  <w:tcW w:w="1132" w:type="dxa"/>
                  <w:tcBorders>
                    <w:top w:val="single" w:color="auto" w:sz="4" w:space="0"/>
                    <w:left w:val="nil"/>
                    <w:bottom w:val="single" w:color="auto" w:sz="4" w:space="0"/>
                    <w:right w:val="single" w:color="auto" w:sz="4" w:space="0"/>
                  </w:tcBorders>
                  <w:vAlign w:val="center"/>
                </w:tcPr>
                <w:p w14:paraId="6598EF9F">
                  <w:pPr>
                    <w:jc w:val="center"/>
                    <w:rPr>
                      <w:color w:val="000000"/>
                      <w:szCs w:val="21"/>
                      <w:highlight w:val="none"/>
                    </w:rPr>
                  </w:pPr>
                  <w:r>
                    <w:rPr>
                      <w:color w:val="000000"/>
                      <w:szCs w:val="21"/>
                      <w:highlight w:val="none"/>
                    </w:rPr>
                    <w:t>Leq</w:t>
                  </w:r>
                </w:p>
              </w:tc>
              <w:tc>
                <w:tcPr>
                  <w:tcW w:w="1145" w:type="dxa"/>
                  <w:tcBorders>
                    <w:top w:val="single" w:color="auto" w:sz="4" w:space="0"/>
                    <w:left w:val="nil"/>
                    <w:bottom w:val="single" w:color="auto" w:sz="4" w:space="0"/>
                    <w:right w:val="single" w:color="auto" w:sz="4" w:space="0"/>
                  </w:tcBorders>
                  <w:vAlign w:val="center"/>
                </w:tcPr>
                <w:p w14:paraId="372DA371">
                  <w:pPr>
                    <w:jc w:val="center"/>
                    <w:rPr>
                      <w:color w:val="000000"/>
                      <w:szCs w:val="21"/>
                      <w:highlight w:val="none"/>
                    </w:rPr>
                  </w:pPr>
                  <w:r>
                    <w:rPr>
                      <w:color w:val="000000"/>
                      <w:szCs w:val="21"/>
                      <w:highlight w:val="none"/>
                    </w:rPr>
                    <w:t>每季度</w:t>
                  </w:r>
                </w:p>
                <w:p w14:paraId="6CE4097A">
                  <w:pPr>
                    <w:jc w:val="center"/>
                    <w:rPr>
                      <w:color w:val="000000"/>
                      <w:szCs w:val="21"/>
                      <w:highlight w:val="none"/>
                    </w:rPr>
                  </w:pPr>
                  <w:r>
                    <w:rPr>
                      <w:color w:val="000000"/>
                      <w:szCs w:val="21"/>
                      <w:highlight w:val="none"/>
                    </w:rPr>
                    <w:t>一次</w:t>
                  </w:r>
                </w:p>
              </w:tc>
              <w:tc>
                <w:tcPr>
                  <w:tcW w:w="3602" w:type="dxa"/>
                  <w:tcBorders>
                    <w:top w:val="single" w:color="auto" w:sz="4" w:space="0"/>
                    <w:left w:val="nil"/>
                    <w:bottom w:val="single" w:color="auto" w:sz="4" w:space="0"/>
                    <w:right w:val="single" w:color="auto" w:sz="4" w:space="0"/>
                  </w:tcBorders>
                  <w:vAlign w:val="center"/>
                </w:tcPr>
                <w:p w14:paraId="034C8EF3">
                  <w:pPr>
                    <w:jc w:val="center"/>
                    <w:rPr>
                      <w:color w:val="000000"/>
                      <w:szCs w:val="21"/>
                      <w:highlight w:val="none"/>
                    </w:rPr>
                  </w:pPr>
                  <w:r>
                    <w:rPr>
                      <w:color w:val="000000"/>
                      <w:szCs w:val="21"/>
                      <w:highlight w:val="none"/>
                    </w:rPr>
                    <w:t>《工业企业厂界环境噪声排放标准》（GB12348-2008）中2类标准要求</w:t>
                  </w:r>
                </w:p>
              </w:tc>
            </w:tr>
          </w:tbl>
          <w:p w14:paraId="55A534C0">
            <w:pPr>
              <w:spacing w:before="120" w:beforeLines="50" w:line="360" w:lineRule="auto"/>
              <w:ind w:firstLine="482"/>
              <w:rPr>
                <w:b/>
                <w:sz w:val="24"/>
                <w:highlight w:val="none"/>
              </w:rPr>
            </w:pPr>
            <w:r>
              <w:rPr>
                <w:b/>
                <w:sz w:val="24"/>
                <w:highlight w:val="none"/>
              </w:rPr>
              <w:t>4．</w:t>
            </w:r>
            <w:r>
              <w:rPr>
                <w:rFonts w:hint="eastAsia"/>
                <w:b/>
                <w:sz w:val="24"/>
                <w:highlight w:val="none"/>
              </w:rPr>
              <w:t>固体废物环境影响和处置措施</w:t>
            </w:r>
          </w:p>
          <w:p w14:paraId="08E00A9A">
            <w:pPr>
              <w:autoSpaceDE w:val="0"/>
              <w:autoSpaceDN w:val="0"/>
              <w:snapToGrid w:val="0"/>
              <w:spacing w:line="360" w:lineRule="auto"/>
              <w:ind w:firstLine="480" w:firstLineChars="200"/>
              <w:rPr>
                <w:kern w:val="0"/>
                <w:sz w:val="24"/>
                <w:highlight w:val="none"/>
              </w:rPr>
            </w:pPr>
            <w:r>
              <w:rPr>
                <w:kern w:val="0"/>
                <w:sz w:val="24"/>
                <w:highlight w:val="none"/>
              </w:rPr>
              <w:t>项目</w:t>
            </w:r>
            <w:r>
              <w:rPr>
                <w:rFonts w:hint="eastAsia"/>
                <w:kern w:val="0"/>
                <w:sz w:val="24"/>
                <w:highlight w:val="none"/>
              </w:rPr>
              <w:t>运营期</w:t>
            </w:r>
            <w:r>
              <w:rPr>
                <w:kern w:val="0"/>
                <w:sz w:val="24"/>
                <w:highlight w:val="none"/>
              </w:rPr>
              <w:t>产生的固体废物包括</w:t>
            </w:r>
            <w:r>
              <w:rPr>
                <w:rFonts w:hint="eastAsia"/>
                <w:kern w:val="0"/>
                <w:sz w:val="24"/>
                <w:highlight w:val="none"/>
              </w:rPr>
              <w:t>：</w:t>
            </w:r>
            <w:r>
              <w:rPr>
                <w:rFonts w:hint="eastAsia"/>
                <w:kern w:val="0"/>
                <w:sz w:val="24"/>
                <w:highlight w:val="none"/>
                <w:lang w:val="en-US" w:eastAsia="zh-CN"/>
              </w:rPr>
              <w:t>废离子交换树脂、废润滑油、废润滑油桶</w:t>
            </w:r>
            <w:r>
              <w:rPr>
                <w:rFonts w:hint="eastAsia"/>
                <w:kern w:val="0"/>
                <w:sz w:val="24"/>
                <w:highlight w:val="none"/>
              </w:rPr>
              <w:t>。</w:t>
            </w:r>
          </w:p>
          <w:p w14:paraId="2A7FD7D0">
            <w:pPr>
              <w:spacing w:line="360" w:lineRule="auto"/>
              <w:ind w:firstLine="480"/>
              <w:rPr>
                <w:b/>
                <w:sz w:val="24"/>
                <w:highlight w:val="none"/>
              </w:rPr>
            </w:pPr>
            <w:r>
              <w:rPr>
                <w:rFonts w:hint="eastAsia"/>
                <w:b/>
                <w:sz w:val="24"/>
                <w:highlight w:val="none"/>
              </w:rPr>
              <w:t>（1）固体废物处置措施</w:t>
            </w:r>
          </w:p>
          <w:p w14:paraId="2B6C46BE">
            <w:pPr>
              <w:spacing w:line="360" w:lineRule="auto"/>
              <w:ind w:firstLine="480"/>
              <w:rPr>
                <w:rFonts w:hint="eastAsia" w:eastAsia="宋体"/>
                <w:kern w:val="0"/>
                <w:sz w:val="24"/>
                <w:highlight w:val="none"/>
                <w:lang w:eastAsia="zh-CN"/>
              </w:rPr>
            </w:pPr>
            <w:r>
              <w:rPr>
                <w:rFonts w:hint="default" w:ascii="Times New Roman" w:hAnsi="Times New Roman" w:eastAsia="宋体" w:cs="Times New Roman"/>
                <w:sz w:val="24"/>
                <w:highlight w:val="none"/>
              </w:rPr>
              <w:t>项目软水系统采用离子交换</w:t>
            </w:r>
            <w:r>
              <w:rPr>
                <w:rFonts w:hint="eastAsia" w:ascii="Times New Roman" w:hAnsi="Times New Roman" w:eastAsia="宋体" w:cs="Times New Roman"/>
                <w:sz w:val="24"/>
                <w:highlight w:val="none"/>
              </w:rPr>
              <w:t>树脂设备进行</w:t>
            </w:r>
            <w:r>
              <w:rPr>
                <w:rFonts w:hint="default" w:ascii="Times New Roman" w:hAnsi="Times New Roman" w:eastAsia="宋体" w:cs="Times New Roman"/>
                <w:sz w:val="24"/>
                <w:highlight w:val="none"/>
              </w:rPr>
              <w:t>软化，离子交换树脂定期反洗再生，树脂在长期使用及再生过程中产生部分失活，废</w:t>
            </w:r>
            <w:r>
              <w:rPr>
                <w:rFonts w:hint="eastAsia" w:cs="Times New Roman"/>
                <w:sz w:val="24"/>
                <w:highlight w:val="none"/>
                <w:lang w:val="en-US" w:eastAsia="zh-CN"/>
              </w:rPr>
              <w:t>离子交换</w:t>
            </w:r>
            <w:r>
              <w:rPr>
                <w:rFonts w:hint="default" w:ascii="Times New Roman" w:hAnsi="Times New Roman" w:eastAsia="宋体" w:cs="Times New Roman"/>
                <w:sz w:val="24"/>
                <w:highlight w:val="none"/>
              </w:rPr>
              <w:t>树脂产生量很小，约0.01t/a。本项目企业在运营过程中不自行收集和更换树脂，由软水设备厂家定期更换</w:t>
            </w:r>
            <w:r>
              <w:rPr>
                <w:rFonts w:hint="eastAsia" w:cs="Times New Roman"/>
                <w:sz w:val="24"/>
                <w:highlight w:val="none"/>
                <w:lang w:val="en-US" w:eastAsia="zh-CN"/>
              </w:rPr>
              <w:t>与收集</w:t>
            </w:r>
            <w:r>
              <w:rPr>
                <w:rFonts w:hint="eastAsia" w:ascii="Times New Roman" w:hAnsi="Times New Roman" w:eastAsia="宋体" w:cs="Times New Roman"/>
                <w:sz w:val="24"/>
                <w:highlight w:val="none"/>
              </w:rPr>
              <w:t>。</w:t>
            </w:r>
            <w:r>
              <w:rPr>
                <w:rFonts w:hint="eastAsia"/>
                <w:sz w:val="24"/>
                <w:highlight w:val="none"/>
              </w:rPr>
              <w:t>废润滑油、废润滑油桶产生量分别为0.</w:t>
            </w:r>
            <w:r>
              <w:rPr>
                <w:rFonts w:hint="eastAsia"/>
                <w:sz w:val="24"/>
                <w:highlight w:val="none"/>
                <w:lang w:val="en-US" w:eastAsia="zh-CN"/>
              </w:rPr>
              <w:t>01</w:t>
            </w:r>
            <w:r>
              <w:rPr>
                <w:rFonts w:hint="eastAsia"/>
                <w:sz w:val="24"/>
                <w:highlight w:val="none"/>
              </w:rPr>
              <w:t>t/a、0.1t/a，暂存于危险废物贮存间内，委托承德双然环保科技有限公司定期进行转运和处置</w:t>
            </w:r>
            <w:r>
              <w:rPr>
                <w:rFonts w:hint="eastAsia"/>
                <w:sz w:val="24"/>
                <w:highlight w:val="none"/>
                <w:lang w:eastAsia="zh-CN"/>
              </w:rPr>
              <w:t>。</w:t>
            </w:r>
          </w:p>
          <w:p w14:paraId="6D5B868C">
            <w:pPr>
              <w:spacing w:before="120" w:beforeLines="50" w:line="360" w:lineRule="auto"/>
              <w:ind w:firstLine="482"/>
              <w:rPr>
                <w:rFonts w:hint="eastAsia"/>
                <w:b/>
                <w:sz w:val="24"/>
                <w:highlight w:val="none"/>
              </w:rPr>
            </w:pPr>
            <w:r>
              <w:rPr>
                <w:sz w:val="24"/>
                <w:highlight w:val="none"/>
              </w:rPr>
              <w:t>项目危险废物汇总情况见下表：</w:t>
            </w:r>
          </w:p>
          <w:p w14:paraId="33B431BE">
            <w:pPr>
              <w:pStyle w:val="50"/>
              <w:numPr>
                <w:ilvl w:val="0"/>
                <w:numId w:val="11"/>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危险废物情况一览表</w:t>
            </w:r>
          </w:p>
          <w:tbl>
            <w:tblPr>
              <w:tblStyle w:val="24"/>
              <w:tblW w:w="8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7"/>
              <w:gridCol w:w="1168"/>
              <w:gridCol w:w="1196"/>
              <w:gridCol w:w="794"/>
              <w:gridCol w:w="621"/>
              <w:gridCol w:w="652"/>
              <w:gridCol w:w="620"/>
              <w:gridCol w:w="621"/>
              <w:gridCol w:w="755"/>
              <w:gridCol w:w="1086"/>
            </w:tblGrid>
            <w:tr w14:paraId="3BAEA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577" w:type="dxa"/>
                  <w:vAlign w:val="center"/>
                </w:tcPr>
                <w:p w14:paraId="5CE8C17C">
                  <w:pPr>
                    <w:widowControl/>
                    <w:jc w:val="center"/>
                    <w:rPr>
                      <w:b/>
                      <w:szCs w:val="21"/>
                      <w:highlight w:val="none"/>
                    </w:rPr>
                  </w:pPr>
                  <w:r>
                    <w:rPr>
                      <w:b/>
                      <w:kern w:val="0"/>
                      <w:szCs w:val="21"/>
                      <w:highlight w:val="none"/>
                      <w:lang w:bidi="ar"/>
                    </w:rPr>
                    <w:t>废物名称</w:t>
                  </w:r>
                </w:p>
              </w:tc>
              <w:tc>
                <w:tcPr>
                  <w:tcW w:w="1168" w:type="dxa"/>
                  <w:vAlign w:val="center"/>
                </w:tcPr>
                <w:p w14:paraId="68539D91">
                  <w:pPr>
                    <w:widowControl/>
                    <w:jc w:val="center"/>
                    <w:rPr>
                      <w:b/>
                      <w:szCs w:val="21"/>
                      <w:highlight w:val="none"/>
                    </w:rPr>
                  </w:pPr>
                  <w:r>
                    <w:rPr>
                      <w:b/>
                      <w:kern w:val="0"/>
                      <w:szCs w:val="21"/>
                      <w:highlight w:val="none"/>
                      <w:lang w:bidi="ar"/>
                    </w:rPr>
                    <w:t>危险废物类别</w:t>
                  </w:r>
                </w:p>
              </w:tc>
              <w:tc>
                <w:tcPr>
                  <w:tcW w:w="1196" w:type="dxa"/>
                  <w:vAlign w:val="center"/>
                </w:tcPr>
                <w:p w14:paraId="6AD0B69D">
                  <w:pPr>
                    <w:widowControl/>
                    <w:jc w:val="center"/>
                    <w:rPr>
                      <w:b/>
                      <w:szCs w:val="21"/>
                      <w:highlight w:val="none"/>
                    </w:rPr>
                  </w:pPr>
                  <w:r>
                    <w:rPr>
                      <w:b/>
                      <w:kern w:val="0"/>
                      <w:szCs w:val="21"/>
                      <w:highlight w:val="none"/>
                      <w:lang w:bidi="ar"/>
                    </w:rPr>
                    <w:t>危险废物代码</w:t>
                  </w:r>
                </w:p>
              </w:tc>
              <w:tc>
                <w:tcPr>
                  <w:tcW w:w="794" w:type="dxa"/>
                  <w:vAlign w:val="center"/>
                </w:tcPr>
                <w:p w14:paraId="63FA974D">
                  <w:pPr>
                    <w:widowControl/>
                    <w:jc w:val="center"/>
                    <w:rPr>
                      <w:b/>
                      <w:szCs w:val="21"/>
                      <w:highlight w:val="none"/>
                    </w:rPr>
                  </w:pPr>
                  <w:r>
                    <w:rPr>
                      <w:b/>
                      <w:kern w:val="0"/>
                      <w:szCs w:val="21"/>
                      <w:highlight w:val="none"/>
                      <w:lang w:bidi="ar"/>
                    </w:rPr>
                    <w:t>产生量</w:t>
                  </w:r>
                </w:p>
              </w:tc>
              <w:tc>
                <w:tcPr>
                  <w:tcW w:w="621" w:type="dxa"/>
                  <w:vAlign w:val="center"/>
                </w:tcPr>
                <w:p w14:paraId="1F8B3EF7">
                  <w:pPr>
                    <w:widowControl/>
                    <w:jc w:val="center"/>
                    <w:rPr>
                      <w:b/>
                      <w:szCs w:val="21"/>
                      <w:highlight w:val="none"/>
                    </w:rPr>
                  </w:pPr>
                  <w:r>
                    <w:rPr>
                      <w:b/>
                      <w:kern w:val="0"/>
                      <w:szCs w:val="21"/>
                      <w:highlight w:val="none"/>
                      <w:lang w:bidi="ar"/>
                    </w:rPr>
                    <w:t>形态</w:t>
                  </w:r>
                </w:p>
              </w:tc>
              <w:tc>
                <w:tcPr>
                  <w:tcW w:w="652" w:type="dxa"/>
                  <w:vAlign w:val="center"/>
                </w:tcPr>
                <w:p w14:paraId="3BFB42FA">
                  <w:pPr>
                    <w:widowControl/>
                    <w:jc w:val="center"/>
                    <w:rPr>
                      <w:b/>
                      <w:szCs w:val="21"/>
                      <w:highlight w:val="none"/>
                    </w:rPr>
                  </w:pPr>
                  <w:r>
                    <w:rPr>
                      <w:b/>
                      <w:kern w:val="0"/>
                      <w:szCs w:val="21"/>
                      <w:highlight w:val="none"/>
                      <w:lang w:bidi="ar"/>
                    </w:rPr>
                    <w:t>主要成分</w:t>
                  </w:r>
                </w:p>
              </w:tc>
              <w:tc>
                <w:tcPr>
                  <w:tcW w:w="620" w:type="dxa"/>
                  <w:vAlign w:val="center"/>
                </w:tcPr>
                <w:p w14:paraId="314541F8">
                  <w:pPr>
                    <w:widowControl/>
                    <w:jc w:val="center"/>
                    <w:rPr>
                      <w:b/>
                      <w:szCs w:val="21"/>
                      <w:highlight w:val="none"/>
                    </w:rPr>
                  </w:pPr>
                  <w:r>
                    <w:rPr>
                      <w:b/>
                      <w:kern w:val="0"/>
                      <w:szCs w:val="21"/>
                      <w:highlight w:val="none"/>
                      <w:lang w:bidi="ar"/>
                    </w:rPr>
                    <w:t>有害成分</w:t>
                  </w:r>
                </w:p>
              </w:tc>
              <w:tc>
                <w:tcPr>
                  <w:tcW w:w="621" w:type="dxa"/>
                  <w:vAlign w:val="center"/>
                </w:tcPr>
                <w:p w14:paraId="49009611">
                  <w:pPr>
                    <w:widowControl/>
                    <w:jc w:val="center"/>
                    <w:rPr>
                      <w:b/>
                      <w:szCs w:val="21"/>
                      <w:highlight w:val="none"/>
                    </w:rPr>
                  </w:pPr>
                  <w:r>
                    <w:rPr>
                      <w:b/>
                      <w:szCs w:val="21"/>
                      <w:highlight w:val="none"/>
                    </w:rPr>
                    <w:t>产废周期</w:t>
                  </w:r>
                </w:p>
              </w:tc>
              <w:tc>
                <w:tcPr>
                  <w:tcW w:w="755" w:type="dxa"/>
                  <w:vAlign w:val="center"/>
                </w:tcPr>
                <w:p w14:paraId="3689F540">
                  <w:pPr>
                    <w:widowControl/>
                    <w:jc w:val="center"/>
                    <w:rPr>
                      <w:b/>
                      <w:szCs w:val="21"/>
                      <w:highlight w:val="none"/>
                    </w:rPr>
                  </w:pPr>
                  <w:r>
                    <w:rPr>
                      <w:b/>
                      <w:szCs w:val="21"/>
                      <w:highlight w:val="none"/>
                    </w:rPr>
                    <w:t>危险特性</w:t>
                  </w:r>
                </w:p>
              </w:tc>
              <w:tc>
                <w:tcPr>
                  <w:tcW w:w="1086" w:type="dxa"/>
                  <w:vAlign w:val="center"/>
                </w:tcPr>
                <w:p w14:paraId="65926161">
                  <w:pPr>
                    <w:jc w:val="center"/>
                    <w:rPr>
                      <w:b/>
                      <w:color w:val="000000"/>
                      <w:szCs w:val="21"/>
                      <w:highlight w:val="none"/>
                    </w:rPr>
                  </w:pPr>
                  <w:r>
                    <w:rPr>
                      <w:b/>
                      <w:color w:val="000000"/>
                      <w:szCs w:val="21"/>
                      <w:highlight w:val="none"/>
                    </w:rPr>
                    <w:t>污染防治措施</w:t>
                  </w:r>
                </w:p>
              </w:tc>
            </w:tr>
            <w:tr w14:paraId="34C2C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577" w:type="dxa"/>
                  <w:vAlign w:val="center"/>
                </w:tcPr>
                <w:p w14:paraId="36DDDE51">
                  <w:pPr>
                    <w:widowControl/>
                    <w:jc w:val="center"/>
                    <w:rPr>
                      <w:kern w:val="0"/>
                      <w:szCs w:val="21"/>
                      <w:highlight w:val="none"/>
                      <w:lang w:bidi="ar"/>
                    </w:rPr>
                  </w:pPr>
                  <w:r>
                    <w:rPr>
                      <w:kern w:val="0"/>
                      <w:szCs w:val="21"/>
                      <w:highlight w:val="none"/>
                      <w:lang w:bidi="ar"/>
                    </w:rPr>
                    <w:t>废</w:t>
                  </w:r>
                  <w:r>
                    <w:rPr>
                      <w:rFonts w:hint="eastAsia"/>
                      <w:kern w:val="0"/>
                      <w:szCs w:val="21"/>
                      <w:highlight w:val="none"/>
                      <w:lang w:bidi="ar"/>
                    </w:rPr>
                    <w:t>润滑油</w:t>
                  </w:r>
                </w:p>
              </w:tc>
              <w:tc>
                <w:tcPr>
                  <w:tcW w:w="1168" w:type="dxa"/>
                  <w:vAlign w:val="center"/>
                </w:tcPr>
                <w:p w14:paraId="78A690D4">
                  <w:pPr>
                    <w:widowControl/>
                    <w:jc w:val="center"/>
                    <w:rPr>
                      <w:kern w:val="0"/>
                      <w:szCs w:val="21"/>
                      <w:highlight w:val="none"/>
                      <w:lang w:bidi="ar"/>
                    </w:rPr>
                  </w:pPr>
                  <w:r>
                    <w:rPr>
                      <w:kern w:val="0"/>
                      <w:szCs w:val="21"/>
                      <w:highlight w:val="none"/>
                      <w:lang w:bidi="ar"/>
                    </w:rPr>
                    <w:t>HW08</w:t>
                  </w:r>
                  <w:r>
                    <w:rPr>
                      <w:kern w:val="0"/>
                      <w:szCs w:val="21"/>
                      <w:highlight w:val="none"/>
                    </w:rPr>
                    <w:t>废矿物油与含矿物油废物</w:t>
                  </w:r>
                </w:p>
              </w:tc>
              <w:tc>
                <w:tcPr>
                  <w:tcW w:w="1196" w:type="dxa"/>
                  <w:vAlign w:val="center"/>
                </w:tcPr>
                <w:p w14:paraId="290F1931">
                  <w:pPr>
                    <w:widowControl/>
                    <w:jc w:val="center"/>
                    <w:rPr>
                      <w:kern w:val="0"/>
                      <w:szCs w:val="21"/>
                      <w:highlight w:val="none"/>
                      <w:lang w:bidi="ar"/>
                    </w:rPr>
                  </w:pPr>
                  <w:r>
                    <w:rPr>
                      <w:kern w:val="0"/>
                      <w:szCs w:val="21"/>
                      <w:highlight w:val="none"/>
                      <w:lang w:bidi="ar"/>
                    </w:rPr>
                    <w:t>900-217-08</w:t>
                  </w:r>
                </w:p>
              </w:tc>
              <w:tc>
                <w:tcPr>
                  <w:tcW w:w="794" w:type="dxa"/>
                  <w:vAlign w:val="center"/>
                </w:tcPr>
                <w:p w14:paraId="43463029">
                  <w:pPr>
                    <w:widowControl/>
                    <w:jc w:val="center"/>
                    <w:rPr>
                      <w:kern w:val="0"/>
                      <w:szCs w:val="21"/>
                      <w:highlight w:val="none"/>
                      <w:lang w:bidi="ar"/>
                    </w:rPr>
                  </w:pPr>
                  <w:r>
                    <w:rPr>
                      <w:color w:val="000000"/>
                      <w:szCs w:val="21"/>
                      <w:highlight w:val="none"/>
                    </w:rPr>
                    <w:t>0.</w:t>
                  </w:r>
                  <w:r>
                    <w:rPr>
                      <w:rFonts w:hint="eastAsia"/>
                      <w:color w:val="000000"/>
                      <w:szCs w:val="21"/>
                      <w:highlight w:val="none"/>
                      <w:lang w:val="en-US" w:eastAsia="zh-CN"/>
                    </w:rPr>
                    <w:t>01</w:t>
                  </w:r>
                  <w:r>
                    <w:rPr>
                      <w:color w:val="000000"/>
                      <w:szCs w:val="21"/>
                      <w:highlight w:val="none"/>
                    </w:rPr>
                    <w:t>t/a</w:t>
                  </w:r>
                </w:p>
              </w:tc>
              <w:tc>
                <w:tcPr>
                  <w:tcW w:w="621" w:type="dxa"/>
                  <w:vAlign w:val="center"/>
                </w:tcPr>
                <w:p w14:paraId="76B27A0B">
                  <w:pPr>
                    <w:widowControl/>
                    <w:jc w:val="center"/>
                    <w:rPr>
                      <w:kern w:val="0"/>
                      <w:szCs w:val="21"/>
                      <w:highlight w:val="none"/>
                      <w:lang w:bidi="ar"/>
                    </w:rPr>
                  </w:pPr>
                  <w:r>
                    <w:rPr>
                      <w:rFonts w:hint="eastAsia"/>
                      <w:color w:val="000000"/>
                      <w:szCs w:val="21"/>
                      <w:highlight w:val="none"/>
                    </w:rPr>
                    <w:t>液态</w:t>
                  </w:r>
                </w:p>
              </w:tc>
              <w:tc>
                <w:tcPr>
                  <w:tcW w:w="652" w:type="dxa"/>
                  <w:vAlign w:val="center"/>
                </w:tcPr>
                <w:p w14:paraId="38010071">
                  <w:pPr>
                    <w:widowControl/>
                    <w:jc w:val="center"/>
                    <w:rPr>
                      <w:kern w:val="0"/>
                      <w:szCs w:val="21"/>
                      <w:highlight w:val="none"/>
                      <w:lang w:bidi="ar"/>
                    </w:rPr>
                  </w:pPr>
                  <w:r>
                    <w:rPr>
                      <w:kern w:val="0"/>
                      <w:szCs w:val="21"/>
                      <w:highlight w:val="none"/>
                      <w:lang w:bidi="ar"/>
                    </w:rPr>
                    <w:t>矿物油</w:t>
                  </w:r>
                </w:p>
              </w:tc>
              <w:tc>
                <w:tcPr>
                  <w:tcW w:w="620" w:type="dxa"/>
                  <w:vAlign w:val="center"/>
                </w:tcPr>
                <w:p w14:paraId="197AC00D">
                  <w:pPr>
                    <w:widowControl/>
                    <w:jc w:val="center"/>
                    <w:rPr>
                      <w:kern w:val="0"/>
                      <w:szCs w:val="21"/>
                      <w:highlight w:val="none"/>
                      <w:lang w:bidi="ar"/>
                    </w:rPr>
                  </w:pPr>
                  <w:r>
                    <w:rPr>
                      <w:rFonts w:hint="eastAsia"/>
                      <w:color w:val="000000"/>
                      <w:sz w:val="20"/>
                      <w:szCs w:val="21"/>
                      <w:highlight w:val="none"/>
                    </w:rPr>
                    <w:t>沾染的矿物油</w:t>
                  </w:r>
                </w:p>
              </w:tc>
              <w:tc>
                <w:tcPr>
                  <w:tcW w:w="621" w:type="dxa"/>
                  <w:vAlign w:val="center"/>
                </w:tcPr>
                <w:p w14:paraId="152673C3">
                  <w:pPr>
                    <w:widowControl/>
                    <w:jc w:val="center"/>
                    <w:rPr>
                      <w:szCs w:val="21"/>
                      <w:highlight w:val="none"/>
                    </w:rPr>
                  </w:pPr>
                  <w:r>
                    <w:rPr>
                      <w:color w:val="000000"/>
                      <w:szCs w:val="21"/>
                      <w:highlight w:val="none"/>
                    </w:rPr>
                    <w:t>12</w:t>
                  </w:r>
                  <w:r>
                    <w:rPr>
                      <w:rFonts w:hint="eastAsia"/>
                      <w:color w:val="000000"/>
                      <w:szCs w:val="21"/>
                      <w:highlight w:val="none"/>
                    </w:rPr>
                    <w:t>个月</w:t>
                  </w:r>
                </w:p>
              </w:tc>
              <w:tc>
                <w:tcPr>
                  <w:tcW w:w="755" w:type="dxa"/>
                  <w:vAlign w:val="center"/>
                </w:tcPr>
                <w:p w14:paraId="7F33CCCA">
                  <w:pPr>
                    <w:widowControl/>
                    <w:jc w:val="center"/>
                    <w:rPr>
                      <w:szCs w:val="21"/>
                      <w:highlight w:val="none"/>
                    </w:rPr>
                  </w:pPr>
                  <w:r>
                    <w:rPr>
                      <w:color w:val="000000"/>
                      <w:szCs w:val="21"/>
                      <w:highlight w:val="none"/>
                    </w:rPr>
                    <w:t>T</w:t>
                  </w:r>
                  <w:r>
                    <w:rPr>
                      <w:rFonts w:hint="eastAsia"/>
                      <w:color w:val="000000"/>
                      <w:szCs w:val="21"/>
                      <w:highlight w:val="none"/>
                    </w:rPr>
                    <w:t>，</w:t>
                  </w:r>
                  <w:r>
                    <w:rPr>
                      <w:color w:val="000000"/>
                      <w:szCs w:val="21"/>
                      <w:highlight w:val="none"/>
                    </w:rPr>
                    <w:t>I</w:t>
                  </w:r>
                </w:p>
              </w:tc>
              <w:tc>
                <w:tcPr>
                  <w:tcW w:w="1086" w:type="dxa"/>
                  <w:vMerge w:val="restart"/>
                  <w:vAlign w:val="center"/>
                </w:tcPr>
                <w:p w14:paraId="01445022">
                  <w:pPr>
                    <w:jc w:val="center"/>
                    <w:rPr>
                      <w:bCs/>
                      <w:color w:val="000000"/>
                      <w:szCs w:val="21"/>
                      <w:highlight w:val="none"/>
                    </w:rPr>
                  </w:pPr>
                  <w:r>
                    <w:rPr>
                      <w:rFonts w:hint="eastAsia"/>
                      <w:bCs/>
                      <w:color w:val="000000"/>
                      <w:szCs w:val="21"/>
                      <w:highlight w:val="none"/>
                    </w:rPr>
                    <w:t>危废间内分类暂存，委托承德双然环保科技有限公司定期收集、转运、处理</w:t>
                  </w:r>
                </w:p>
              </w:tc>
            </w:tr>
            <w:tr w14:paraId="09B74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577" w:type="dxa"/>
                  <w:vAlign w:val="center"/>
                </w:tcPr>
                <w:p w14:paraId="6F655550">
                  <w:pPr>
                    <w:widowControl/>
                    <w:jc w:val="center"/>
                    <w:rPr>
                      <w:kern w:val="0"/>
                      <w:szCs w:val="21"/>
                      <w:highlight w:val="none"/>
                      <w:lang w:bidi="ar"/>
                    </w:rPr>
                  </w:pPr>
                  <w:r>
                    <w:rPr>
                      <w:rFonts w:hint="eastAsia"/>
                      <w:kern w:val="0"/>
                      <w:szCs w:val="21"/>
                      <w:highlight w:val="none"/>
                      <w:lang w:bidi="ar"/>
                    </w:rPr>
                    <w:t>废润滑油桶</w:t>
                  </w:r>
                </w:p>
              </w:tc>
              <w:tc>
                <w:tcPr>
                  <w:tcW w:w="1168" w:type="dxa"/>
                  <w:vAlign w:val="center"/>
                </w:tcPr>
                <w:p w14:paraId="1D86DE7E">
                  <w:pPr>
                    <w:widowControl/>
                    <w:jc w:val="center"/>
                    <w:rPr>
                      <w:kern w:val="0"/>
                      <w:szCs w:val="21"/>
                      <w:highlight w:val="none"/>
                      <w:lang w:bidi="ar"/>
                    </w:rPr>
                  </w:pPr>
                  <w:r>
                    <w:rPr>
                      <w:kern w:val="0"/>
                      <w:szCs w:val="21"/>
                      <w:highlight w:val="none"/>
                      <w:lang w:bidi="ar"/>
                    </w:rPr>
                    <w:t>HW08</w:t>
                  </w:r>
                  <w:r>
                    <w:rPr>
                      <w:kern w:val="0"/>
                      <w:szCs w:val="21"/>
                      <w:highlight w:val="none"/>
                    </w:rPr>
                    <w:t>废矿物油与含矿物油废物</w:t>
                  </w:r>
                </w:p>
              </w:tc>
              <w:tc>
                <w:tcPr>
                  <w:tcW w:w="1196" w:type="dxa"/>
                  <w:vAlign w:val="center"/>
                </w:tcPr>
                <w:p w14:paraId="5A124823">
                  <w:pPr>
                    <w:widowControl/>
                    <w:jc w:val="center"/>
                    <w:rPr>
                      <w:kern w:val="0"/>
                      <w:szCs w:val="21"/>
                      <w:highlight w:val="none"/>
                      <w:lang w:bidi="ar"/>
                    </w:rPr>
                  </w:pPr>
                  <w:r>
                    <w:rPr>
                      <w:kern w:val="0"/>
                      <w:szCs w:val="21"/>
                      <w:highlight w:val="none"/>
                      <w:lang w:bidi="ar"/>
                    </w:rPr>
                    <w:t>900-249-08</w:t>
                  </w:r>
                </w:p>
              </w:tc>
              <w:tc>
                <w:tcPr>
                  <w:tcW w:w="794" w:type="dxa"/>
                  <w:vAlign w:val="center"/>
                </w:tcPr>
                <w:p w14:paraId="0A6641AE">
                  <w:pPr>
                    <w:widowControl/>
                    <w:jc w:val="center"/>
                    <w:rPr>
                      <w:color w:val="000000"/>
                      <w:szCs w:val="21"/>
                      <w:highlight w:val="none"/>
                    </w:rPr>
                  </w:pPr>
                  <w:r>
                    <w:rPr>
                      <w:color w:val="000000"/>
                      <w:szCs w:val="21"/>
                      <w:highlight w:val="none"/>
                    </w:rPr>
                    <w:t>0.1t/a</w:t>
                  </w:r>
                </w:p>
              </w:tc>
              <w:tc>
                <w:tcPr>
                  <w:tcW w:w="621" w:type="dxa"/>
                  <w:vAlign w:val="center"/>
                </w:tcPr>
                <w:p w14:paraId="0FF27752">
                  <w:pPr>
                    <w:widowControl/>
                    <w:jc w:val="center"/>
                    <w:rPr>
                      <w:color w:val="000000"/>
                      <w:szCs w:val="21"/>
                      <w:highlight w:val="none"/>
                    </w:rPr>
                  </w:pPr>
                  <w:r>
                    <w:rPr>
                      <w:color w:val="000000"/>
                      <w:szCs w:val="21"/>
                      <w:highlight w:val="none"/>
                    </w:rPr>
                    <w:t>固态</w:t>
                  </w:r>
                </w:p>
              </w:tc>
              <w:tc>
                <w:tcPr>
                  <w:tcW w:w="652" w:type="dxa"/>
                  <w:vAlign w:val="center"/>
                </w:tcPr>
                <w:p w14:paraId="63D846B9">
                  <w:pPr>
                    <w:widowControl/>
                    <w:jc w:val="center"/>
                    <w:rPr>
                      <w:kern w:val="0"/>
                      <w:szCs w:val="21"/>
                      <w:highlight w:val="none"/>
                      <w:lang w:bidi="ar"/>
                    </w:rPr>
                  </w:pPr>
                  <w:r>
                    <w:rPr>
                      <w:rFonts w:hint="eastAsia"/>
                      <w:color w:val="000000"/>
                      <w:szCs w:val="21"/>
                      <w:highlight w:val="none"/>
                    </w:rPr>
                    <w:t>铁</w:t>
                  </w:r>
                </w:p>
              </w:tc>
              <w:tc>
                <w:tcPr>
                  <w:tcW w:w="620" w:type="dxa"/>
                  <w:vAlign w:val="center"/>
                </w:tcPr>
                <w:p w14:paraId="7B1E2169">
                  <w:pPr>
                    <w:widowControl/>
                    <w:jc w:val="center"/>
                    <w:rPr>
                      <w:kern w:val="0"/>
                      <w:szCs w:val="21"/>
                      <w:highlight w:val="none"/>
                      <w:lang w:bidi="ar"/>
                    </w:rPr>
                  </w:pPr>
                  <w:r>
                    <w:rPr>
                      <w:rFonts w:hint="eastAsia"/>
                      <w:color w:val="000000"/>
                      <w:sz w:val="20"/>
                      <w:szCs w:val="21"/>
                      <w:highlight w:val="none"/>
                    </w:rPr>
                    <w:t>沾染的矿物油</w:t>
                  </w:r>
                </w:p>
              </w:tc>
              <w:tc>
                <w:tcPr>
                  <w:tcW w:w="621" w:type="dxa"/>
                  <w:vAlign w:val="center"/>
                </w:tcPr>
                <w:p w14:paraId="4DF4C329">
                  <w:pPr>
                    <w:widowControl/>
                    <w:jc w:val="center"/>
                    <w:rPr>
                      <w:color w:val="000000"/>
                      <w:szCs w:val="21"/>
                      <w:highlight w:val="none"/>
                    </w:rPr>
                  </w:pPr>
                  <w:r>
                    <w:rPr>
                      <w:color w:val="000000"/>
                      <w:szCs w:val="21"/>
                      <w:highlight w:val="none"/>
                    </w:rPr>
                    <w:t>--</w:t>
                  </w:r>
                </w:p>
              </w:tc>
              <w:tc>
                <w:tcPr>
                  <w:tcW w:w="755" w:type="dxa"/>
                  <w:vAlign w:val="center"/>
                </w:tcPr>
                <w:p w14:paraId="41EFEC36">
                  <w:pPr>
                    <w:widowControl/>
                    <w:jc w:val="center"/>
                    <w:rPr>
                      <w:color w:val="000000"/>
                      <w:szCs w:val="21"/>
                      <w:highlight w:val="none"/>
                    </w:rPr>
                  </w:pPr>
                  <w:r>
                    <w:rPr>
                      <w:color w:val="000000"/>
                      <w:szCs w:val="21"/>
                      <w:highlight w:val="none"/>
                    </w:rPr>
                    <w:t>T</w:t>
                  </w:r>
                  <w:r>
                    <w:rPr>
                      <w:rFonts w:hint="eastAsia"/>
                      <w:color w:val="000000"/>
                      <w:szCs w:val="21"/>
                      <w:highlight w:val="none"/>
                    </w:rPr>
                    <w:t>，</w:t>
                  </w:r>
                  <w:r>
                    <w:rPr>
                      <w:color w:val="000000"/>
                      <w:szCs w:val="21"/>
                      <w:highlight w:val="none"/>
                    </w:rPr>
                    <w:t>I</w:t>
                  </w:r>
                </w:p>
              </w:tc>
              <w:tc>
                <w:tcPr>
                  <w:tcW w:w="1086" w:type="dxa"/>
                  <w:vMerge w:val="continue"/>
                  <w:vAlign w:val="center"/>
                </w:tcPr>
                <w:p w14:paraId="2C45B82C">
                  <w:pPr>
                    <w:jc w:val="center"/>
                    <w:rPr>
                      <w:bCs/>
                      <w:color w:val="000000"/>
                      <w:szCs w:val="21"/>
                      <w:highlight w:val="none"/>
                    </w:rPr>
                  </w:pPr>
                </w:p>
              </w:tc>
            </w:tr>
          </w:tbl>
          <w:p w14:paraId="41B5673A">
            <w:pPr>
              <w:spacing w:before="120" w:beforeLines="50" w:line="360" w:lineRule="auto"/>
              <w:ind w:firstLine="482"/>
              <w:rPr>
                <w:b/>
                <w:sz w:val="24"/>
                <w:highlight w:val="none"/>
              </w:rPr>
            </w:pPr>
            <w:r>
              <w:rPr>
                <w:rFonts w:hint="eastAsia"/>
                <w:b/>
                <w:sz w:val="24"/>
                <w:highlight w:val="none"/>
              </w:rPr>
              <w:t>（2）固体废物产生、属性、量、去向汇总</w:t>
            </w:r>
          </w:p>
          <w:p w14:paraId="6745FC20">
            <w:pPr>
              <w:spacing w:line="360" w:lineRule="auto"/>
              <w:ind w:firstLine="480"/>
              <w:rPr>
                <w:sz w:val="24"/>
                <w:highlight w:val="none"/>
              </w:rPr>
            </w:pPr>
            <w:r>
              <w:rPr>
                <w:rFonts w:hint="eastAsia"/>
                <w:sz w:val="24"/>
                <w:highlight w:val="none"/>
              </w:rPr>
              <w:t>项目运营期固体废物情况列表如下：</w:t>
            </w:r>
          </w:p>
          <w:p w14:paraId="02E65296">
            <w:pPr>
              <w:pStyle w:val="50"/>
              <w:numPr>
                <w:ilvl w:val="0"/>
                <w:numId w:val="11"/>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固体废物情况一览表</w:t>
            </w:r>
          </w:p>
          <w:tbl>
            <w:tblPr>
              <w:tblStyle w:val="23"/>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5"/>
              <w:gridCol w:w="953"/>
              <w:gridCol w:w="784"/>
              <w:gridCol w:w="1313"/>
              <w:gridCol w:w="855"/>
              <w:gridCol w:w="525"/>
              <w:gridCol w:w="702"/>
              <w:gridCol w:w="680"/>
              <w:gridCol w:w="542"/>
              <w:gridCol w:w="894"/>
              <w:gridCol w:w="689"/>
            </w:tblGrid>
            <w:tr w14:paraId="6BE86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8" w:hRule="atLeast"/>
              </w:trPr>
              <w:tc>
                <w:tcPr>
                  <w:tcW w:w="305" w:type="pct"/>
                  <w:tcBorders>
                    <w:top w:val="single" w:color="auto" w:sz="4" w:space="0"/>
                    <w:left w:val="single" w:color="auto" w:sz="4" w:space="0"/>
                    <w:bottom w:val="single" w:color="auto" w:sz="4" w:space="0"/>
                    <w:right w:val="single" w:color="auto" w:sz="4" w:space="0"/>
                  </w:tcBorders>
                  <w:shd w:val="clear" w:color="auto" w:fill="auto"/>
                  <w:vAlign w:val="center"/>
                </w:tcPr>
                <w:p w14:paraId="58FAFABD">
                  <w:pPr>
                    <w:autoSpaceDE w:val="0"/>
                    <w:jc w:val="center"/>
                    <w:rPr>
                      <w:b/>
                      <w:bCs/>
                      <w:color w:val="000000"/>
                      <w:szCs w:val="21"/>
                      <w:highlight w:val="none"/>
                    </w:rPr>
                  </w:pPr>
                  <w:r>
                    <w:rPr>
                      <w:b/>
                      <w:bCs/>
                      <w:color w:val="000000"/>
                      <w:szCs w:val="21"/>
                      <w:highlight w:val="none"/>
                    </w:rPr>
                    <w:t>产生环节</w:t>
                  </w:r>
                </w:p>
              </w:tc>
              <w:tc>
                <w:tcPr>
                  <w:tcW w:w="563" w:type="pct"/>
                  <w:tcBorders>
                    <w:top w:val="single" w:color="auto" w:sz="4" w:space="0"/>
                    <w:left w:val="nil"/>
                    <w:bottom w:val="single" w:color="auto" w:sz="4" w:space="0"/>
                    <w:right w:val="single" w:color="auto" w:sz="4" w:space="0"/>
                  </w:tcBorders>
                  <w:shd w:val="clear" w:color="auto" w:fill="auto"/>
                  <w:vAlign w:val="center"/>
                </w:tcPr>
                <w:p w14:paraId="2F7211FC">
                  <w:pPr>
                    <w:autoSpaceDE w:val="0"/>
                    <w:jc w:val="center"/>
                    <w:rPr>
                      <w:b/>
                      <w:bCs/>
                      <w:color w:val="000000"/>
                      <w:szCs w:val="21"/>
                      <w:highlight w:val="none"/>
                    </w:rPr>
                  </w:pPr>
                  <w:r>
                    <w:rPr>
                      <w:b/>
                      <w:bCs/>
                      <w:color w:val="000000"/>
                      <w:szCs w:val="21"/>
                      <w:highlight w:val="none"/>
                    </w:rPr>
                    <w:t>名称</w:t>
                  </w:r>
                </w:p>
              </w:tc>
              <w:tc>
                <w:tcPr>
                  <w:tcW w:w="463" w:type="pct"/>
                  <w:tcBorders>
                    <w:top w:val="single" w:color="auto" w:sz="4" w:space="0"/>
                    <w:left w:val="nil"/>
                    <w:bottom w:val="single" w:color="auto" w:sz="4" w:space="0"/>
                    <w:right w:val="single" w:color="auto" w:sz="4" w:space="0"/>
                  </w:tcBorders>
                  <w:shd w:val="clear" w:color="auto" w:fill="auto"/>
                  <w:vAlign w:val="center"/>
                </w:tcPr>
                <w:p w14:paraId="4628BB8D">
                  <w:pPr>
                    <w:autoSpaceDE w:val="0"/>
                    <w:jc w:val="center"/>
                    <w:rPr>
                      <w:b/>
                      <w:bCs/>
                      <w:color w:val="000000"/>
                      <w:szCs w:val="21"/>
                      <w:highlight w:val="none"/>
                    </w:rPr>
                  </w:pPr>
                  <w:r>
                    <w:rPr>
                      <w:b/>
                      <w:bCs/>
                      <w:color w:val="000000"/>
                      <w:szCs w:val="21"/>
                      <w:highlight w:val="none"/>
                    </w:rPr>
                    <w:t>属性</w:t>
                  </w:r>
                </w:p>
              </w:tc>
              <w:tc>
                <w:tcPr>
                  <w:tcW w:w="776" w:type="pct"/>
                  <w:tcBorders>
                    <w:top w:val="single" w:color="auto" w:sz="4" w:space="0"/>
                    <w:left w:val="nil"/>
                    <w:bottom w:val="single" w:color="auto" w:sz="4" w:space="0"/>
                    <w:right w:val="single" w:color="auto" w:sz="4" w:space="0"/>
                  </w:tcBorders>
                  <w:shd w:val="clear" w:color="auto" w:fill="auto"/>
                  <w:vAlign w:val="center"/>
                </w:tcPr>
                <w:p w14:paraId="23AFE33F">
                  <w:pPr>
                    <w:autoSpaceDE w:val="0"/>
                    <w:jc w:val="center"/>
                    <w:rPr>
                      <w:b/>
                      <w:bCs/>
                      <w:color w:val="000000"/>
                      <w:szCs w:val="21"/>
                      <w:highlight w:val="none"/>
                    </w:rPr>
                  </w:pPr>
                  <w:r>
                    <w:rPr>
                      <w:rFonts w:hint="eastAsia"/>
                      <w:b/>
                      <w:bCs/>
                      <w:color w:val="000000"/>
                      <w:szCs w:val="21"/>
                      <w:highlight w:val="none"/>
                    </w:rPr>
                    <w:t>编码</w:t>
                  </w:r>
                </w:p>
              </w:tc>
              <w:tc>
                <w:tcPr>
                  <w:tcW w:w="505" w:type="pct"/>
                  <w:tcBorders>
                    <w:top w:val="single" w:color="auto" w:sz="4" w:space="0"/>
                    <w:left w:val="nil"/>
                    <w:bottom w:val="single" w:color="auto" w:sz="4" w:space="0"/>
                    <w:right w:val="single" w:color="auto" w:sz="4" w:space="0"/>
                  </w:tcBorders>
                  <w:shd w:val="clear" w:color="auto" w:fill="auto"/>
                  <w:vAlign w:val="center"/>
                </w:tcPr>
                <w:p w14:paraId="2DADA541">
                  <w:pPr>
                    <w:autoSpaceDE w:val="0"/>
                    <w:jc w:val="center"/>
                    <w:rPr>
                      <w:b/>
                      <w:bCs/>
                      <w:color w:val="000000"/>
                      <w:szCs w:val="21"/>
                      <w:highlight w:val="none"/>
                    </w:rPr>
                  </w:pPr>
                  <w:r>
                    <w:rPr>
                      <w:b/>
                      <w:bCs/>
                      <w:color w:val="000000"/>
                      <w:szCs w:val="21"/>
                      <w:highlight w:val="none"/>
                    </w:rPr>
                    <w:t>主要有毒有害物质名称</w:t>
                  </w:r>
                </w:p>
              </w:tc>
              <w:tc>
                <w:tcPr>
                  <w:tcW w:w="310" w:type="pct"/>
                  <w:tcBorders>
                    <w:top w:val="single" w:color="auto" w:sz="4" w:space="0"/>
                    <w:left w:val="nil"/>
                    <w:bottom w:val="single" w:color="auto" w:sz="4" w:space="0"/>
                    <w:right w:val="single" w:color="auto" w:sz="4" w:space="0"/>
                  </w:tcBorders>
                  <w:shd w:val="clear" w:color="auto" w:fill="auto"/>
                  <w:vAlign w:val="center"/>
                </w:tcPr>
                <w:p w14:paraId="79A97F62">
                  <w:pPr>
                    <w:autoSpaceDE w:val="0"/>
                    <w:jc w:val="center"/>
                    <w:rPr>
                      <w:b/>
                      <w:bCs/>
                      <w:color w:val="000000"/>
                      <w:szCs w:val="21"/>
                      <w:highlight w:val="none"/>
                    </w:rPr>
                  </w:pPr>
                  <w:r>
                    <w:rPr>
                      <w:b/>
                      <w:bCs/>
                      <w:color w:val="000000"/>
                      <w:szCs w:val="21"/>
                      <w:highlight w:val="none"/>
                    </w:rPr>
                    <w:t>物理性状</w:t>
                  </w:r>
                </w:p>
              </w:tc>
              <w:tc>
                <w:tcPr>
                  <w:tcW w:w="415" w:type="pct"/>
                  <w:tcBorders>
                    <w:top w:val="single" w:color="auto" w:sz="4" w:space="0"/>
                    <w:left w:val="nil"/>
                    <w:bottom w:val="single" w:color="auto" w:sz="4" w:space="0"/>
                    <w:right w:val="single" w:color="auto" w:sz="4" w:space="0"/>
                  </w:tcBorders>
                  <w:shd w:val="clear" w:color="auto" w:fill="auto"/>
                  <w:vAlign w:val="center"/>
                </w:tcPr>
                <w:p w14:paraId="7688CB75">
                  <w:pPr>
                    <w:autoSpaceDE w:val="0"/>
                    <w:jc w:val="center"/>
                    <w:rPr>
                      <w:b/>
                      <w:bCs/>
                      <w:color w:val="000000"/>
                      <w:szCs w:val="21"/>
                      <w:highlight w:val="none"/>
                    </w:rPr>
                  </w:pPr>
                  <w:r>
                    <w:rPr>
                      <w:b/>
                      <w:bCs/>
                      <w:color w:val="000000"/>
                      <w:szCs w:val="21"/>
                      <w:highlight w:val="none"/>
                    </w:rPr>
                    <w:t>环境危险特性</w:t>
                  </w:r>
                </w:p>
              </w:tc>
              <w:tc>
                <w:tcPr>
                  <w:tcW w:w="402" w:type="pct"/>
                  <w:tcBorders>
                    <w:top w:val="single" w:color="auto" w:sz="4" w:space="0"/>
                    <w:left w:val="nil"/>
                    <w:bottom w:val="single" w:color="auto" w:sz="4" w:space="0"/>
                    <w:right w:val="single" w:color="auto" w:sz="4" w:space="0"/>
                  </w:tcBorders>
                  <w:shd w:val="clear" w:color="auto" w:fill="auto"/>
                  <w:vAlign w:val="center"/>
                </w:tcPr>
                <w:p w14:paraId="5B307802">
                  <w:pPr>
                    <w:autoSpaceDE w:val="0"/>
                    <w:jc w:val="center"/>
                    <w:rPr>
                      <w:b/>
                      <w:bCs/>
                      <w:color w:val="000000"/>
                      <w:szCs w:val="21"/>
                      <w:highlight w:val="none"/>
                    </w:rPr>
                  </w:pPr>
                  <w:r>
                    <w:rPr>
                      <w:b/>
                      <w:bCs/>
                      <w:color w:val="000000"/>
                      <w:szCs w:val="21"/>
                      <w:highlight w:val="none"/>
                    </w:rPr>
                    <w:t>年度产生量</w:t>
                  </w:r>
                </w:p>
                <w:p w14:paraId="78F24741">
                  <w:pPr>
                    <w:autoSpaceDE w:val="0"/>
                    <w:jc w:val="center"/>
                    <w:rPr>
                      <w:b/>
                      <w:bCs/>
                      <w:color w:val="000000"/>
                      <w:szCs w:val="21"/>
                      <w:highlight w:val="none"/>
                    </w:rPr>
                  </w:pPr>
                  <w:r>
                    <w:rPr>
                      <w:rFonts w:hint="eastAsia"/>
                      <w:b/>
                      <w:bCs/>
                      <w:color w:val="000000"/>
                      <w:szCs w:val="21"/>
                      <w:highlight w:val="none"/>
                    </w:rPr>
                    <w:t>t/a</w:t>
                  </w:r>
                </w:p>
              </w:tc>
              <w:tc>
                <w:tcPr>
                  <w:tcW w:w="320" w:type="pct"/>
                  <w:tcBorders>
                    <w:top w:val="single" w:color="auto" w:sz="4" w:space="0"/>
                    <w:left w:val="nil"/>
                    <w:bottom w:val="single" w:color="auto" w:sz="4" w:space="0"/>
                    <w:right w:val="single" w:color="auto" w:sz="4" w:space="0"/>
                  </w:tcBorders>
                  <w:shd w:val="clear" w:color="auto" w:fill="auto"/>
                  <w:vAlign w:val="center"/>
                </w:tcPr>
                <w:p w14:paraId="01A47D48">
                  <w:pPr>
                    <w:autoSpaceDE w:val="0"/>
                    <w:jc w:val="center"/>
                    <w:rPr>
                      <w:b/>
                      <w:bCs/>
                      <w:color w:val="000000"/>
                      <w:szCs w:val="21"/>
                      <w:highlight w:val="none"/>
                    </w:rPr>
                  </w:pPr>
                  <w:r>
                    <w:rPr>
                      <w:b/>
                      <w:bCs/>
                      <w:color w:val="000000"/>
                      <w:szCs w:val="21"/>
                      <w:highlight w:val="none"/>
                    </w:rPr>
                    <w:t>贮存方式</w:t>
                  </w:r>
                </w:p>
              </w:tc>
              <w:tc>
                <w:tcPr>
                  <w:tcW w:w="528" w:type="pct"/>
                  <w:tcBorders>
                    <w:top w:val="single" w:color="auto" w:sz="4" w:space="0"/>
                    <w:left w:val="nil"/>
                    <w:bottom w:val="single" w:color="auto" w:sz="4" w:space="0"/>
                    <w:right w:val="single" w:color="auto" w:sz="4" w:space="0"/>
                  </w:tcBorders>
                  <w:shd w:val="clear" w:color="auto" w:fill="auto"/>
                  <w:vAlign w:val="center"/>
                </w:tcPr>
                <w:p w14:paraId="1E66DF97">
                  <w:pPr>
                    <w:autoSpaceDE w:val="0"/>
                    <w:jc w:val="center"/>
                    <w:rPr>
                      <w:b/>
                      <w:bCs/>
                      <w:color w:val="000000"/>
                      <w:szCs w:val="21"/>
                      <w:highlight w:val="none"/>
                    </w:rPr>
                  </w:pPr>
                  <w:r>
                    <w:rPr>
                      <w:b/>
                      <w:bCs/>
                      <w:color w:val="000000"/>
                      <w:szCs w:val="21"/>
                      <w:highlight w:val="none"/>
                    </w:rPr>
                    <w:t>处置方式及去向</w:t>
                  </w:r>
                </w:p>
              </w:tc>
              <w:tc>
                <w:tcPr>
                  <w:tcW w:w="407" w:type="pct"/>
                  <w:tcBorders>
                    <w:top w:val="single" w:color="auto" w:sz="4" w:space="0"/>
                    <w:left w:val="nil"/>
                    <w:bottom w:val="single" w:color="auto" w:sz="4" w:space="0"/>
                    <w:right w:val="single" w:color="auto" w:sz="4" w:space="0"/>
                  </w:tcBorders>
                  <w:shd w:val="clear" w:color="auto" w:fill="auto"/>
                  <w:vAlign w:val="center"/>
                </w:tcPr>
                <w:p w14:paraId="6B9C72AE">
                  <w:pPr>
                    <w:autoSpaceDE w:val="0"/>
                    <w:jc w:val="center"/>
                    <w:rPr>
                      <w:b/>
                      <w:bCs/>
                      <w:color w:val="000000"/>
                      <w:szCs w:val="21"/>
                      <w:highlight w:val="none"/>
                    </w:rPr>
                  </w:pPr>
                  <w:r>
                    <w:rPr>
                      <w:rFonts w:hint="eastAsia"/>
                      <w:b/>
                      <w:bCs/>
                      <w:color w:val="000000"/>
                      <w:szCs w:val="21"/>
                      <w:highlight w:val="none"/>
                    </w:rPr>
                    <w:t>利</w:t>
                  </w:r>
                  <w:r>
                    <w:rPr>
                      <w:b/>
                      <w:bCs/>
                      <w:color w:val="000000"/>
                      <w:szCs w:val="21"/>
                      <w:highlight w:val="none"/>
                    </w:rPr>
                    <w:t>用或处置量</w:t>
                  </w:r>
                  <w:r>
                    <w:rPr>
                      <w:rFonts w:hint="eastAsia"/>
                      <w:b/>
                      <w:bCs/>
                      <w:color w:val="000000"/>
                      <w:szCs w:val="21"/>
                      <w:highlight w:val="none"/>
                    </w:rPr>
                    <w:t>t/a</w:t>
                  </w:r>
                </w:p>
              </w:tc>
            </w:tr>
            <w:tr w14:paraId="375AE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4" w:hRule="atLeast"/>
              </w:trPr>
              <w:tc>
                <w:tcPr>
                  <w:tcW w:w="305" w:type="pct"/>
                  <w:tcBorders>
                    <w:top w:val="single" w:color="auto" w:sz="4" w:space="0"/>
                    <w:left w:val="single" w:color="auto" w:sz="4" w:space="0"/>
                    <w:bottom w:val="single" w:color="auto" w:sz="4" w:space="0"/>
                    <w:right w:val="single" w:color="auto" w:sz="4" w:space="0"/>
                  </w:tcBorders>
                  <w:shd w:val="clear" w:color="auto" w:fill="auto"/>
                  <w:vAlign w:val="center"/>
                </w:tcPr>
                <w:p w14:paraId="04A7C089">
                  <w:pPr>
                    <w:autoSpaceDE w:val="0"/>
                    <w:jc w:val="center"/>
                    <w:rPr>
                      <w:rFonts w:hint="default" w:eastAsia="宋体"/>
                      <w:color w:val="000000"/>
                      <w:szCs w:val="21"/>
                      <w:highlight w:val="none"/>
                      <w:lang w:val="en-US" w:eastAsia="zh-CN"/>
                    </w:rPr>
                  </w:pPr>
                  <w:r>
                    <w:rPr>
                      <w:rFonts w:hint="eastAsia"/>
                      <w:color w:val="000000"/>
                      <w:szCs w:val="21"/>
                      <w:highlight w:val="none"/>
                      <w:lang w:val="en-US" w:eastAsia="zh-CN"/>
                    </w:rPr>
                    <w:t>软水制备</w:t>
                  </w:r>
                </w:p>
              </w:tc>
              <w:tc>
                <w:tcPr>
                  <w:tcW w:w="563" w:type="pct"/>
                  <w:tcBorders>
                    <w:top w:val="single" w:color="auto" w:sz="4" w:space="0"/>
                    <w:left w:val="nil"/>
                    <w:bottom w:val="single" w:color="auto" w:sz="4" w:space="0"/>
                    <w:right w:val="single" w:color="auto" w:sz="4" w:space="0"/>
                  </w:tcBorders>
                  <w:shd w:val="clear" w:color="auto" w:fill="auto"/>
                  <w:vAlign w:val="center"/>
                </w:tcPr>
                <w:p w14:paraId="3291F21B">
                  <w:pPr>
                    <w:autoSpaceDE w:val="0"/>
                    <w:jc w:val="center"/>
                    <w:rPr>
                      <w:color w:val="000000"/>
                      <w:szCs w:val="21"/>
                      <w:highlight w:val="none"/>
                    </w:rPr>
                  </w:pPr>
                  <w:r>
                    <w:rPr>
                      <w:rFonts w:hint="eastAsia"/>
                      <w:color w:val="000000"/>
                      <w:szCs w:val="21"/>
                      <w:highlight w:val="none"/>
                    </w:rPr>
                    <w:t>废离子交换树脂</w:t>
                  </w:r>
                </w:p>
              </w:tc>
              <w:tc>
                <w:tcPr>
                  <w:tcW w:w="463" w:type="pct"/>
                  <w:tcBorders>
                    <w:top w:val="single" w:color="auto" w:sz="4" w:space="0"/>
                    <w:left w:val="nil"/>
                    <w:bottom w:val="single" w:color="auto" w:sz="4" w:space="0"/>
                    <w:right w:val="single" w:color="auto" w:sz="4" w:space="0"/>
                  </w:tcBorders>
                  <w:shd w:val="clear" w:color="auto" w:fill="auto"/>
                  <w:vAlign w:val="center"/>
                </w:tcPr>
                <w:p w14:paraId="2401C157">
                  <w:pPr>
                    <w:autoSpaceDE w:val="0"/>
                    <w:jc w:val="center"/>
                    <w:rPr>
                      <w:color w:val="000000"/>
                      <w:szCs w:val="21"/>
                      <w:highlight w:val="none"/>
                    </w:rPr>
                  </w:pPr>
                  <w:r>
                    <w:rPr>
                      <w:color w:val="000000"/>
                      <w:szCs w:val="21"/>
                      <w:highlight w:val="none"/>
                    </w:rPr>
                    <w:t>一般</w:t>
                  </w:r>
                  <w:r>
                    <w:rPr>
                      <w:rFonts w:hint="eastAsia"/>
                      <w:color w:val="000000"/>
                      <w:szCs w:val="21"/>
                      <w:highlight w:val="none"/>
                    </w:rPr>
                    <w:t>工业</w:t>
                  </w:r>
                  <w:r>
                    <w:rPr>
                      <w:color w:val="000000"/>
                      <w:szCs w:val="21"/>
                      <w:highlight w:val="none"/>
                    </w:rPr>
                    <w:t>固废</w:t>
                  </w:r>
                </w:p>
              </w:tc>
              <w:tc>
                <w:tcPr>
                  <w:tcW w:w="776" w:type="pct"/>
                  <w:tcBorders>
                    <w:top w:val="single" w:color="auto" w:sz="4" w:space="0"/>
                    <w:left w:val="nil"/>
                    <w:bottom w:val="single" w:color="auto" w:sz="4" w:space="0"/>
                    <w:right w:val="single" w:color="auto" w:sz="4" w:space="0"/>
                  </w:tcBorders>
                  <w:shd w:val="clear" w:color="auto" w:fill="auto"/>
                  <w:vAlign w:val="center"/>
                </w:tcPr>
                <w:p w14:paraId="7262DDAD">
                  <w:pPr>
                    <w:autoSpaceDE w:val="0"/>
                    <w:jc w:val="center"/>
                    <w:rPr>
                      <w:color w:val="000000"/>
                      <w:szCs w:val="21"/>
                      <w:highlight w:val="none"/>
                    </w:rPr>
                  </w:pPr>
                  <w:r>
                    <w:rPr>
                      <w:rFonts w:hint="eastAsia"/>
                      <w:color w:val="000000"/>
                      <w:szCs w:val="21"/>
                      <w:highlight w:val="none"/>
                    </w:rPr>
                    <w:t>9</w:t>
                  </w:r>
                  <w:r>
                    <w:rPr>
                      <w:color w:val="000000"/>
                      <w:szCs w:val="21"/>
                      <w:highlight w:val="none"/>
                    </w:rPr>
                    <w:t>00-099-S59</w:t>
                  </w:r>
                </w:p>
              </w:tc>
              <w:tc>
                <w:tcPr>
                  <w:tcW w:w="505" w:type="pct"/>
                  <w:tcBorders>
                    <w:top w:val="single" w:color="auto" w:sz="4" w:space="0"/>
                    <w:left w:val="nil"/>
                    <w:bottom w:val="single" w:color="auto" w:sz="4" w:space="0"/>
                    <w:right w:val="single" w:color="auto" w:sz="4" w:space="0"/>
                  </w:tcBorders>
                  <w:shd w:val="clear" w:color="auto" w:fill="auto"/>
                  <w:vAlign w:val="center"/>
                </w:tcPr>
                <w:p w14:paraId="55DF2318">
                  <w:pPr>
                    <w:autoSpaceDE w:val="0"/>
                    <w:jc w:val="center"/>
                    <w:rPr>
                      <w:color w:val="000000"/>
                      <w:szCs w:val="21"/>
                      <w:highlight w:val="none"/>
                    </w:rPr>
                  </w:pPr>
                  <w:r>
                    <w:rPr>
                      <w:rFonts w:hint="eastAsia"/>
                      <w:szCs w:val="21"/>
                      <w:highlight w:val="none"/>
                    </w:rPr>
                    <w:t>/</w:t>
                  </w:r>
                </w:p>
              </w:tc>
              <w:tc>
                <w:tcPr>
                  <w:tcW w:w="310" w:type="pct"/>
                  <w:tcBorders>
                    <w:top w:val="single" w:color="auto" w:sz="4" w:space="0"/>
                    <w:left w:val="nil"/>
                    <w:bottom w:val="single" w:color="auto" w:sz="4" w:space="0"/>
                    <w:right w:val="single" w:color="auto" w:sz="4" w:space="0"/>
                  </w:tcBorders>
                  <w:shd w:val="clear" w:color="auto" w:fill="auto"/>
                  <w:vAlign w:val="center"/>
                </w:tcPr>
                <w:p w14:paraId="6C522343">
                  <w:pPr>
                    <w:autoSpaceDE w:val="0"/>
                    <w:jc w:val="center"/>
                    <w:rPr>
                      <w:color w:val="000000"/>
                      <w:szCs w:val="21"/>
                      <w:highlight w:val="none"/>
                    </w:rPr>
                  </w:pPr>
                  <w:r>
                    <w:rPr>
                      <w:rFonts w:hint="eastAsia"/>
                      <w:szCs w:val="21"/>
                      <w:highlight w:val="none"/>
                    </w:rPr>
                    <w:t>固态</w:t>
                  </w:r>
                </w:p>
              </w:tc>
              <w:tc>
                <w:tcPr>
                  <w:tcW w:w="415" w:type="pct"/>
                  <w:tcBorders>
                    <w:top w:val="single" w:color="auto" w:sz="4" w:space="0"/>
                    <w:left w:val="nil"/>
                    <w:bottom w:val="single" w:color="auto" w:sz="4" w:space="0"/>
                    <w:right w:val="single" w:color="auto" w:sz="4" w:space="0"/>
                  </w:tcBorders>
                  <w:shd w:val="clear" w:color="auto" w:fill="auto"/>
                  <w:vAlign w:val="center"/>
                </w:tcPr>
                <w:p w14:paraId="261FAF7D">
                  <w:pPr>
                    <w:autoSpaceDE w:val="0"/>
                    <w:jc w:val="center"/>
                    <w:rPr>
                      <w:color w:val="000000"/>
                      <w:szCs w:val="21"/>
                      <w:highlight w:val="none"/>
                    </w:rPr>
                  </w:pPr>
                  <w:r>
                    <w:rPr>
                      <w:rFonts w:hint="eastAsia"/>
                      <w:szCs w:val="21"/>
                      <w:highlight w:val="none"/>
                    </w:rPr>
                    <w:t>/</w:t>
                  </w:r>
                </w:p>
              </w:tc>
              <w:tc>
                <w:tcPr>
                  <w:tcW w:w="402" w:type="pct"/>
                  <w:tcBorders>
                    <w:top w:val="single" w:color="auto" w:sz="4" w:space="0"/>
                    <w:left w:val="nil"/>
                    <w:bottom w:val="single" w:color="auto" w:sz="4" w:space="0"/>
                    <w:right w:val="single" w:color="auto" w:sz="4" w:space="0"/>
                  </w:tcBorders>
                  <w:shd w:val="clear" w:color="auto" w:fill="auto"/>
                  <w:vAlign w:val="center"/>
                </w:tcPr>
                <w:p w14:paraId="289C027D">
                  <w:pPr>
                    <w:autoSpaceDE w:val="0"/>
                    <w:jc w:val="center"/>
                    <w:rPr>
                      <w:rFonts w:hint="default" w:eastAsia="宋体"/>
                      <w:color w:val="000000"/>
                      <w:szCs w:val="21"/>
                      <w:highlight w:val="none"/>
                      <w:lang w:val="en-US" w:eastAsia="zh-CN"/>
                    </w:rPr>
                  </w:pPr>
                  <w:r>
                    <w:rPr>
                      <w:rFonts w:hint="eastAsia"/>
                      <w:color w:val="000000"/>
                      <w:szCs w:val="21"/>
                      <w:highlight w:val="none"/>
                      <w:lang w:val="en-US" w:eastAsia="zh-CN"/>
                    </w:rPr>
                    <w:t>0.01</w:t>
                  </w:r>
                </w:p>
              </w:tc>
              <w:tc>
                <w:tcPr>
                  <w:tcW w:w="320" w:type="pct"/>
                  <w:tcBorders>
                    <w:top w:val="single" w:color="auto" w:sz="4" w:space="0"/>
                    <w:left w:val="nil"/>
                    <w:bottom w:val="single" w:color="auto" w:sz="4" w:space="0"/>
                    <w:right w:val="single" w:color="auto" w:sz="4" w:space="0"/>
                  </w:tcBorders>
                  <w:shd w:val="clear" w:color="auto" w:fill="auto"/>
                  <w:vAlign w:val="center"/>
                </w:tcPr>
                <w:p w14:paraId="0418321B">
                  <w:pPr>
                    <w:autoSpaceDE w:val="0"/>
                    <w:jc w:val="center"/>
                    <w:rPr>
                      <w:szCs w:val="21"/>
                      <w:highlight w:val="none"/>
                    </w:rPr>
                  </w:pPr>
                  <w:r>
                    <w:rPr>
                      <w:rFonts w:hint="eastAsia"/>
                      <w:szCs w:val="21"/>
                      <w:highlight w:val="none"/>
                    </w:rPr>
                    <w:t>/</w:t>
                  </w:r>
                </w:p>
              </w:tc>
              <w:tc>
                <w:tcPr>
                  <w:tcW w:w="528" w:type="pct"/>
                  <w:tcBorders>
                    <w:top w:val="single" w:color="auto" w:sz="4" w:space="0"/>
                    <w:left w:val="nil"/>
                    <w:bottom w:val="single" w:color="auto" w:sz="4" w:space="0"/>
                    <w:right w:val="single" w:color="auto" w:sz="4" w:space="0"/>
                  </w:tcBorders>
                  <w:shd w:val="clear" w:color="auto" w:fill="auto"/>
                  <w:vAlign w:val="center"/>
                </w:tcPr>
                <w:p w14:paraId="2F46EE3B">
                  <w:pPr>
                    <w:autoSpaceDE w:val="0"/>
                    <w:jc w:val="center"/>
                    <w:rPr>
                      <w:szCs w:val="21"/>
                      <w:highlight w:val="none"/>
                    </w:rPr>
                  </w:pPr>
                  <w:r>
                    <w:rPr>
                      <w:rFonts w:hint="eastAsia"/>
                      <w:color w:val="000000"/>
                      <w:szCs w:val="21"/>
                      <w:highlight w:val="none"/>
                    </w:rPr>
                    <w:t>由软水设备厂家定期更换与收集</w:t>
                  </w:r>
                </w:p>
              </w:tc>
              <w:tc>
                <w:tcPr>
                  <w:tcW w:w="407" w:type="pct"/>
                  <w:tcBorders>
                    <w:top w:val="single" w:color="auto" w:sz="4" w:space="0"/>
                    <w:left w:val="nil"/>
                    <w:bottom w:val="single" w:color="auto" w:sz="4" w:space="0"/>
                    <w:right w:val="single" w:color="auto" w:sz="4" w:space="0"/>
                  </w:tcBorders>
                  <w:shd w:val="clear" w:color="auto" w:fill="auto"/>
                  <w:vAlign w:val="center"/>
                </w:tcPr>
                <w:p w14:paraId="4F2E1EA8">
                  <w:pPr>
                    <w:autoSpaceDE w:val="0"/>
                    <w:jc w:val="center"/>
                    <w:rPr>
                      <w:rFonts w:hint="default" w:eastAsia="宋体"/>
                      <w:szCs w:val="21"/>
                      <w:highlight w:val="none"/>
                      <w:lang w:val="en-US" w:eastAsia="zh-CN"/>
                    </w:rPr>
                  </w:pPr>
                  <w:r>
                    <w:rPr>
                      <w:rFonts w:hint="eastAsia"/>
                      <w:szCs w:val="21"/>
                      <w:highlight w:val="none"/>
                      <w:lang w:val="en-US" w:eastAsia="zh-CN"/>
                    </w:rPr>
                    <w:t>0.01</w:t>
                  </w:r>
                </w:p>
              </w:tc>
            </w:tr>
            <w:tr w14:paraId="5D37F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4" w:hRule="atLeast"/>
              </w:trPr>
              <w:tc>
                <w:tcPr>
                  <w:tcW w:w="305" w:type="pct"/>
                  <w:vMerge w:val="restart"/>
                  <w:tcBorders>
                    <w:top w:val="single" w:color="auto" w:sz="4" w:space="0"/>
                    <w:left w:val="single" w:color="auto" w:sz="4" w:space="0"/>
                    <w:right w:val="single" w:color="auto" w:sz="4" w:space="0"/>
                  </w:tcBorders>
                  <w:shd w:val="clear" w:color="auto" w:fill="auto"/>
                  <w:vAlign w:val="center"/>
                </w:tcPr>
                <w:p w14:paraId="3FFDB518">
                  <w:pPr>
                    <w:autoSpaceDE w:val="0"/>
                    <w:jc w:val="center"/>
                    <w:rPr>
                      <w:rFonts w:hint="default"/>
                      <w:color w:val="000000"/>
                      <w:szCs w:val="21"/>
                      <w:highlight w:val="none"/>
                      <w:lang w:val="en-US" w:eastAsia="zh-CN"/>
                    </w:rPr>
                  </w:pPr>
                  <w:r>
                    <w:rPr>
                      <w:rFonts w:hint="eastAsia"/>
                      <w:color w:val="000000"/>
                      <w:szCs w:val="21"/>
                      <w:highlight w:val="none"/>
                      <w:lang w:val="en-US" w:eastAsia="zh-CN"/>
                    </w:rPr>
                    <w:t>设备维修</w:t>
                  </w:r>
                </w:p>
              </w:tc>
              <w:tc>
                <w:tcPr>
                  <w:tcW w:w="563" w:type="pct"/>
                  <w:tcBorders>
                    <w:top w:val="single" w:color="auto" w:sz="4" w:space="0"/>
                    <w:left w:val="nil"/>
                    <w:bottom w:val="single" w:color="auto" w:sz="4" w:space="0"/>
                    <w:right w:val="single" w:color="auto" w:sz="4" w:space="0"/>
                  </w:tcBorders>
                  <w:shd w:val="clear" w:color="auto" w:fill="auto"/>
                  <w:vAlign w:val="center"/>
                </w:tcPr>
                <w:p w14:paraId="4B26013A">
                  <w:pPr>
                    <w:autoSpaceDE w:val="0"/>
                    <w:jc w:val="center"/>
                    <w:rPr>
                      <w:rFonts w:hint="eastAsia" w:ascii="Times New Roman" w:hAnsi="Times New Roman" w:eastAsia="宋体" w:cs="Times New Roman"/>
                      <w:color w:val="000000"/>
                      <w:kern w:val="2"/>
                      <w:sz w:val="21"/>
                      <w:szCs w:val="21"/>
                      <w:highlight w:val="none"/>
                      <w:lang w:val="en-US" w:eastAsia="zh-CN" w:bidi="ar-SA"/>
                    </w:rPr>
                  </w:pPr>
                  <w:r>
                    <w:rPr>
                      <w:color w:val="000000"/>
                      <w:szCs w:val="21"/>
                      <w:highlight w:val="none"/>
                    </w:rPr>
                    <w:t>废润滑油</w:t>
                  </w:r>
                </w:p>
              </w:tc>
              <w:tc>
                <w:tcPr>
                  <w:tcW w:w="463" w:type="pct"/>
                  <w:vMerge w:val="restart"/>
                  <w:tcBorders>
                    <w:top w:val="single" w:color="auto" w:sz="4" w:space="0"/>
                    <w:left w:val="nil"/>
                    <w:right w:val="single" w:color="auto" w:sz="4" w:space="0"/>
                  </w:tcBorders>
                  <w:shd w:val="clear" w:color="auto" w:fill="auto"/>
                  <w:vAlign w:val="center"/>
                </w:tcPr>
                <w:p w14:paraId="113C222D">
                  <w:pPr>
                    <w:autoSpaceDE w:val="0"/>
                    <w:jc w:val="center"/>
                    <w:rPr>
                      <w:color w:val="000000"/>
                      <w:szCs w:val="21"/>
                      <w:highlight w:val="none"/>
                    </w:rPr>
                  </w:pPr>
                  <w:r>
                    <w:rPr>
                      <w:rFonts w:hint="eastAsia"/>
                      <w:color w:val="000000"/>
                      <w:szCs w:val="21"/>
                      <w:highlight w:val="none"/>
                    </w:rPr>
                    <w:t>危险废物</w:t>
                  </w:r>
                </w:p>
              </w:tc>
              <w:tc>
                <w:tcPr>
                  <w:tcW w:w="776" w:type="pct"/>
                  <w:tcBorders>
                    <w:top w:val="single" w:color="auto" w:sz="4" w:space="0"/>
                    <w:left w:val="nil"/>
                    <w:bottom w:val="single" w:color="auto" w:sz="4" w:space="0"/>
                    <w:right w:val="single" w:color="auto" w:sz="4" w:space="0"/>
                  </w:tcBorders>
                  <w:shd w:val="clear" w:color="auto" w:fill="auto"/>
                  <w:vAlign w:val="center"/>
                </w:tcPr>
                <w:p w14:paraId="15F2EC4B">
                  <w:pPr>
                    <w:autoSpaceDE w:val="0"/>
                    <w:jc w:val="center"/>
                    <w:rPr>
                      <w:rFonts w:hint="eastAsia" w:ascii="Times New Roman" w:hAnsi="Times New Roman" w:eastAsia="宋体" w:cs="Times New Roman"/>
                      <w:kern w:val="2"/>
                      <w:sz w:val="21"/>
                      <w:szCs w:val="21"/>
                      <w:highlight w:val="none"/>
                      <w:lang w:val="en-US" w:eastAsia="zh-CN" w:bidi="ar-SA"/>
                    </w:rPr>
                  </w:pPr>
                  <w:r>
                    <w:rPr>
                      <w:szCs w:val="21"/>
                      <w:highlight w:val="none"/>
                    </w:rPr>
                    <w:t>900-249-08</w:t>
                  </w:r>
                </w:p>
              </w:tc>
              <w:tc>
                <w:tcPr>
                  <w:tcW w:w="505" w:type="pct"/>
                  <w:tcBorders>
                    <w:top w:val="single" w:color="auto" w:sz="4" w:space="0"/>
                    <w:left w:val="nil"/>
                    <w:bottom w:val="single" w:color="auto" w:sz="4" w:space="0"/>
                    <w:right w:val="single" w:color="auto" w:sz="4" w:space="0"/>
                  </w:tcBorders>
                  <w:shd w:val="clear" w:color="auto" w:fill="auto"/>
                  <w:vAlign w:val="center"/>
                </w:tcPr>
                <w:p w14:paraId="512FA5BB">
                  <w:pPr>
                    <w:autoSpaceDE w:val="0"/>
                    <w:jc w:val="center"/>
                    <w:rPr>
                      <w:rFonts w:hint="eastAsia" w:ascii="Times New Roman" w:hAnsi="Times New Roman" w:eastAsia="宋体" w:cs="Times New Roman"/>
                      <w:kern w:val="2"/>
                      <w:sz w:val="21"/>
                      <w:szCs w:val="21"/>
                      <w:highlight w:val="none"/>
                      <w:lang w:val="en-US" w:eastAsia="zh-CN" w:bidi="ar-SA"/>
                    </w:rPr>
                  </w:pPr>
                  <w:r>
                    <w:rPr>
                      <w:szCs w:val="21"/>
                      <w:highlight w:val="none"/>
                    </w:rPr>
                    <w:t>废矿物油</w:t>
                  </w:r>
                </w:p>
              </w:tc>
              <w:tc>
                <w:tcPr>
                  <w:tcW w:w="310" w:type="pct"/>
                  <w:tcBorders>
                    <w:top w:val="single" w:color="auto" w:sz="4" w:space="0"/>
                    <w:left w:val="nil"/>
                    <w:bottom w:val="single" w:color="auto" w:sz="4" w:space="0"/>
                    <w:right w:val="single" w:color="auto" w:sz="4" w:space="0"/>
                  </w:tcBorders>
                  <w:shd w:val="clear" w:color="auto" w:fill="auto"/>
                  <w:vAlign w:val="center"/>
                </w:tcPr>
                <w:p w14:paraId="7951B36C">
                  <w:pPr>
                    <w:autoSpaceDE w:val="0"/>
                    <w:jc w:val="center"/>
                    <w:rPr>
                      <w:rFonts w:hint="eastAsia" w:ascii="Times New Roman" w:hAnsi="Times New Roman" w:eastAsia="宋体" w:cs="Times New Roman"/>
                      <w:color w:val="000000"/>
                      <w:kern w:val="2"/>
                      <w:sz w:val="21"/>
                      <w:szCs w:val="24"/>
                      <w:highlight w:val="none"/>
                      <w:lang w:val="en-US" w:eastAsia="zh-CN" w:bidi="ar-SA"/>
                    </w:rPr>
                  </w:pPr>
                  <w:r>
                    <w:rPr>
                      <w:color w:val="000000"/>
                      <w:highlight w:val="none"/>
                    </w:rPr>
                    <w:t>固态</w:t>
                  </w:r>
                </w:p>
              </w:tc>
              <w:tc>
                <w:tcPr>
                  <w:tcW w:w="415" w:type="pct"/>
                  <w:tcBorders>
                    <w:top w:val="single" w:color="auto" w:sz="4" w:space="0"/>
                    <w:left w:val="nil"/>
                    <w:bottom w:val="single" w:color="auto" w:sz="4" w:space="0"/>
                    <w:right w:val="single" w:color="auto" w:sz="4" w:space="0"/>
                  </w:tcBorders>
                  <w:shd w:val="clear" w:color="auto" w:fill="auto"/>
                  <w:vAlign w:val="center"/>
                </w:tcPr>
                <w:p w14:paraId="4051D6F9">
                  <w:pPr>
                    <w:autoSpaceDE w:val="0"/>
                    <w:jc w:val="center"/>
                    <w:rPr>
                      <w:rFonts w:hint="eastAsia" w:ascii="Times New Roman" w:hAnsi="Times New Roman" w:eastAsia="宋体" w:cs="Times New Roman"/>
                      <w:color w:val="000000"/>
                      <w:kern w:val="2"/>
                      <w:sz w:val="21"/>
                      <w:szCs w:val="21"/>
                      <w:highlight w:val="none"/>
                      <w:lang w:val="en-US" w:eastAsia="zh-CN" w:bidi="ar-SA"/>
                    </w:rPr>
                  </w:pPr>
                  <w:r>
                    <w:rPr>
                      <w:color w:val="000000"/>
                      <w:szCs w:val="21"/>
                      <w:highlight w:val="none"/>
                    </w:rPr>
                    <w:t>T，I</w:t>
                  </w:r>
                </w:p>
              </w:tc>
              <w:tc>
                <w:tcPr>
                  <w:tcW w:w="402" w:type="pct"/>
                  <w:tcBorders>
                    <w:top w:val="single" w:color="auto" w:sz="4" w:space="0"/>
                    <w:left w:val="nil"/>
                    <w:bottom w:val="single" w:color="auto" w:sz="4" w:space="0"/>
                    <w:right w:val="single" w:color="auto" w:sz="4" w:space="0"/>
                  </w:tcBorders>
                  <w:shd w:val="clear" w:color="auto" w:fill="auto"/>
                  <w:vAlign w:val="center"/>
                </w:tcPr>
                <w:p w14:paraId="36D206BC">
                  <w:pPr>
                    <w:autoSpaceDE w:val="0"/>
                    <w:jc w:val="center"/>
                    <w:rPr>
                      <w:rFonts w:hint="default" w:ascii="Times New Roman" w:hAnsi="Times New Roman" w:eastAsia="宋体" w:cs="Times New Roman"/>
                      <w:color w:val="000000"/>
                      <w:kern w:val="2"/>
                      <w:sz w:val="21"/>
                      <w:szCs w:val="21"/>
                      <w:highlight w:val="none"/>
                      <w:lang w:val="en-US" w:eastAsia="zh-CN" w:bidi="ar-SA"/>
                    </w:rPr>
                  </w:pPr>
                  <w:r>
                    <w:rPr>
                      <w:color w:val="000000"/>
                      <w:szCs w:val="21"/>
                      <w:highlight w:val="none"/>
                    </w:rPr>
                    <w:t>0.</w:t>
                  </w:r>
                  <w:r>
                    <w:rPr>
                      <w:rFonts w:hint="eastAsia"/>
                      <w:color w:val="000000"/>
                      <w:szCs w:val="21"/>
                      <w:highlight w:val="none"/>
                      <w:lang w:val="en-US" w:eastAsia="zh-CN"/>
                    </w:rPr>
                    <w:t>01</w:t>
                  </w:r>
                </w:p>
              </w:tc>
              <w:tc>
                <w:tcPr>
                  <w:tcW w:w="320" w:type="pct"/>
                  <w:vMerge w:val="restart"/>
                  <w:tcBorders>
                    <w:top w:val="single" w:color="auto" w:sz="4" w:space="0"/>
                    <w:left w:val="nil"/>
                    <w:right w:val="single" w:color="auto" w:sz="4" w:space="0"/>
                  </w:tcBorders>
                  <w:shd w:val="clear" w:color="auto" w:fill="auto"/>
                  <w:vAlign w:val="center"/>
                </w:tcPr>
                <w:p w14:paraId="24798E82">
                  <w:pPr>
                    <w:autoSpaceDE w:val="0"/>
                    <w:jc w:val="center"/>
                    <w:rPr>
                      <w:rFonts w:hint="eastAsia" w:ascii="Times New Roman" w:hAnsi="Times New Roman" w:eastAsia="宋体" w:cs="Times New Roman"/>
                      <w:color w:val="000000"/>
                      <w:kern w:val="2"/>
                      <w:sz w:val="21"/>
                      <w:szCs w:val="21"/>
                      <w:highlight w:val="none"/>
                      <w:lang w:val="en-US" w:eastAsia="zh-CN" w:bidi="ar-SA"/>
                    </w:rPr>
                  </w:pPr>
                  <w:r>
                    <w:rPr>
                      <w:rFonts w:hint="eastAsia"/>
                      <w:color w:val="000000"/>
                      <w:szCs w:val="21"/>
                      <w:highlight w:val="none"/>
                    </w:rPr>
                    <w:t>危险废物贮存间</w:t>
                  </w:r>
                </w:p>
              </w:tc>
              <w:tc>
                <w:tcPr>
                  <w:tcW w:w="528" w:type="pct"/>
                  <w:vMerge w:val="restart"/>
                  <w:tcBorders>
                    <w:top w:val="single" w:color="auto" w:sz="4" w:space="0"/>
                    <w:left w:val="nil"/>
                    <w:right w:val="single" w:color="auto" w:sz="4" w:space="0"/>
                  </w:tcBorders>
                  <w:shd w:val="clear" w:color="auto" w:fill="auto"/>
                  <w:vAlign w:val="center"/>
                </w:tcPr>
                <w:p w14:paraId="6594CEE1">
                  <w:pPr>
                    <w:autoSpaceDE w:val="0"/>
                    <w:jc w:val="center"/>
                    <w:rPr>
                      <w:rFonts w:hint="eastAsia"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kern w:val="2"/>
                      <w:sz w:val="21"/>
                      <w:szCs w:val="21"/>
                      <w:highlight w:val="none"/>
                      <w:lang w:val="en-US" w:eastAsia="zh-CN" w:bidi="ar-SA"/>
                    </w:rPr>
                    <w:t>委托承德双然环保科技有限公司定期收集、转运、处理</w:t>
                  </w:r>
                </w:p>
              </w:tc>
              <w:tc>
                <w:tcPr>
                  <w:tcW w:w="407" w:type="pct"/>
                  <w:tcBorders>
                    <w:top w:val="single" w:color="auto" w:sz="4" w:space="0"/>
                    <w:left w:val="nil"/>
                    <w:bottom w:val="single" w:color="auto" w:sz="4" w:space="0"/>
                    <w:right w:val="single" w:color="auto" w:sz="4" w:space="0"/>
                  </w:tcBorders>
                  <w:shd w:val="clear" w:color="auto" w:fill="auto"/>
                  <w:vAlign w:val="center"/>
                </w:tcPr>
                <w:p w14:paraId="5EC03A3E">
                  <w:pPr>
                    <w:autoSpaceDE w:val="0"/>
                    <w:jc w:val="center"/>
                    <w:rPr>
                      <w:rFonts w:hint="default"/>
                      <w:szCs w:val="21"/>
                      <w:highlight w:val="none"/>
                      <w:lang w:val="en-US" w:eastAsia="zh-CN"/>
                    </w:rPr>
                  </w:pPr>
                  <w:r>
                    <w:rPr>
                      <w:rFonts w:hint="eastAsia"/>
                      <w:szCs w:val="21"/>
                      <w:highlight w:val="none"/>
                      <w:lang w:val="en-US" w:eastAsia="zh-CN"/>
                    </w:rPr>
                    <w:t>0</w:t>
                  </w:r>
                </w:p>
              </w:tc>
            </w:tr>
            <w:tr w14:paraId="534C5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4" w:hRule="atLeast"/>
              </w:trPr>
              <w:tc>
                <w:tcPr>
                  <w:tcW w:w="305" w:type="pct"/>
                  <w:vMerge w:val="continue"/>
                  <w:tcBorders>
                    <w:left w:val="single" w:color="auto" w:sz="4" w:space="0"/>
                    <w:bottom w:val="single" w:color="auto" w:sz="4" w:space="0"/>
                    <w:right w:val="single" w:color="auto" w:sz="4" w:space="0"/>
                  </w:tcBorders>
                  <w:shd w:val="clear" w:color="auto" w:fill="auto"/>
                  <w:vAlign w:val="center"/>
                </w:tcPr>
                <w:p w14:paraId="0B218D39">
                  <w:pPr>
                    <w:autoSpaceDE w:val="0"/>
                    <w:jc w:val="center"/>
                    <w:rPr>
                      <w:rFonts w:hint="eastAsia"/>
                      <w:color w:val="000000"/>
                      <w:szCs w:val="21"/>
                      <w:highlight w:val="none"/>
                      <w:lang w:val="en-US" w:eastAsia="zh-CN"/>
                    </w:rPr>
                  </w:pPr>
                </w:p>
              </w:tc>
              <w:tc>
                <w:tcPr>
                  <w:tcW w:w="563" w:type="pct"/>
                  <w:tcBorders>
                    <w:top w:val="single" w:color="auto" w:sz="4" w:space="0"/>
                    <w:left w:val="nil"/>
                    <w:bottom w:val="single" w:color="auto" w:sz="4" w:space="0"/>
                    <w:right w:val="single" w:color="auto" w:sz="4" w:space="0"/>
                  </w:tcBorders>
                  <w:shd w:val="clear" w:color="auto" w:fill="auto"/>
                  <w:vAlign w:val="center"/>
                </w:tcPr>
                <w:p w14:paraId="601DAF16">
                  <w:pPr>
                    <w:autoSpaceDE w:val="0"/>
                    <w:jc w:val="center"/>
                    <w:rPr>
                      <w:rFonts w:hint="eastAsia" w:ascii="Times New Roman" w:hAnsi="Times New Roman" w:eastAsia="宋体" w:cs="Times New Roman"/>
                      <w:color w:val="000000"/>
                      <w:kern w:val="2"/>
                      <w:sz w:val="21"/>
                      <w:szCs w:val="21"/>
                      <w:highlight w:val="none"/>
                      <w:lang w:val="en-US" w:eastAsia="zh-CN" w:bidi="ar-SA"/>
                    </w:rPr>
                  </w:pPr>
                  <w:r>
                    <w:rPr>
                      <w:color w:val="000000"/>
                      <w:szCs w:val="21"/>
                      <w:highlight w:val="none"/>
                    </w:rPr>
                    <w:t>废</w:t>
                  </w:r>
                  <w:r>
                    <w:rPr>
                      <w:rFonts w:hint="eastAsia"/>
                      <w:color w:val="000000"/>
                      <w:szCs w:val="21"/>
                      <w:highlight w:val="none"/>
                    </w:rPr>
                    <w:t>润滑</w:t>
                  </w:r>
                  <w:r>
                    <w:rPr>
                      <w:color w:val="000000"/>
                      <w:szCs w:val="21"/>
                      <w:highlight w:val="none"/>
                    </w:rPr>
                    <w:t>油桶</w:t>
                  </w:r>
                </w:p>
              </w:tc>
              <w:tc>
                <w:tcPr>
                  <w:tcW w:w="463" w:type="pct"/>
                  <w:vMerge w:val="continue"/>
                  <w:tcBorders>
                    <w:left w:val="nil"/>
                    <w:right w:val="single" w:color="auto" w:sz="4" w:space="0"/>
                  </w:tcBorders>
                  <w:shd w:val="clear" w:color="auto" w:fill="auto"/>
                  <w:vAlign w:val="center"/>
                </w:tcPr>
                <w:p w14:paraId="69559F91">
                  <w:pPr>
                    <w:autoSpaceDE w:val="0"/>
                    <w:jc w:val="center"/>
                    <w:rPr>
                      <w:color w:val="000000"/>
                      <w:szCs w:val="21"/>
                      <w:highlight w:val="none"/>
                    </w:rPr>
                  </w:pPr>
                </w:p>
              </w:tc>
              <w:tc>
                <w:tcPr>
                  <w:tcW w:w="776" w:type="pct"/>
                  <w:tcBorders>
                    <w:top w:val="single" w:color="auto" w:sz="4" w:space="0"/>
                    <w:left w:val="nil"/>
                    <w:bottom w:val="single" w:color="auto" w:sz="4" w:space="0"/>
                    <w:right w:val="single" w:color="auto" w:sz="4" w:space="0"/>
                  </w:tcBorders>
                  <w:shd w:val="clear" w:color="auto" w:fill="auto"/>
                  <w:vAlign w:val="center"/>
                </w:tcPr>
                <w:p w14:paraId="44A07A0F">
                  <w:pPr>
                    <w:autoSpaceDE w:val="0"/>
                    <w:jc w:val="center"/>
                    <w:rPr>
                      <w:rFonts w:hint="eastAsia" w:ascii="Times New Roman" w:hAnsi="Times New Roman" w:eastAsia="宋体" w:cs="Times New Roman"/>
                      <w:color w:val="000000"/>
                      <w:kern w:val="2"/>
                      <w:sz w:val="21"/>
                      <w:szCs w:val="21"/>
                      <w:highlight w:val="none"/>
                      <w:lang w:val="en-US" w:eastAsia="zh-CN" w:bidi="ar-SA"/>
                    </w:rPr>
                  </w:pPr>
                  <w:r>
                    <w:rPr>
                      <w:rFonts w:hint="eastAsia"/>
                      <w:color w:val="000000"/>
                      <w:szCs w:val="21"/>
                      <w:highlight w:val="none"/>
                    </w:rPr>
                    <w:t>9</w:t>
                  </w:r>
                  <w:r>
                    <w:rPr>
                      <w:color w:val="000000"/>
                      <w:szCs w:val="21"/>
                      <w:highlight w:val="none"/>
                    </w:rPr>
                    <w:t>00-041-49</w:t>
                  </w:r>
                </w:p>
              </w:tc>
              <w:tc>
                <w:tcPr>
                  <w:tcW w:w="505" w:type="pct"/>
                  <w:tcBorders>
                    <w:top w:val="single" w:color="auto" w:sz="4" w:space="0"/>
                    <w:left w:val="nil"/>
                    <w:bottom w:val="single" w:color="auto" w:sz="4" w:space="0"/>
                    <w:right w:val="single" w:color="auto" w:sz="4" w:space="0"/>
                  </w:tcBorders>
                  <w:shd w:val="clear" w:color="auto" w:fill="auto"/>
                  <w:vAlign w:val="center"/>
                </w:tcPr>
                <w:p w14:paraId="0ADA1E9C">
                  <w:pPr>
                    <w:autoSpaceDE w:val="0"/>
                    <w:jc w:val="center"/>
                    <w:rPr>
                      <w:rFonts w:hint="eastAsia" w:ascii="Times New Roman" w:hAnsi="Times New Roman" w:eastAsia="宋体" w:cs="Times New Roman"/>
                      <w:color w:val="000000"/>
                      <w:kern w:val="2"/>
                      <w:sz w:val="21"/>
                      <w:szCs w:val="21"/>
                      <w:highlight w:val="none"/>
                      <w:lang w:val="en-US" w:eastAsia="zh-CN" w:bidi="ar-SA"/>
                    </w:rPr>
                  </w:pPr>
                  <w:r>
                    <w:rPr>
                      <w:szCs w:val="21"/>
                      <w:highlight w:val="none"/>
                    </w:rPr>
                    <w:t>废矿物油</w:t>
                  </w:r>
                </w:p>
              </w:tc>
              <w:tc>
                <w:tcPr>
                  <w:tcW w:w="310" w:type="pct"/>
                  <w:tcBorders>
                    <w:top w:val="single" w:color="auto" w:sz="4" w:space="0"/>
                    <w:left w:val="nil"/>
                    <w:bottom w:val="single" w:color="auto" w:sz="4" w:space="0"/>
                    <w:right w:val="single" w:color="auto" w:sz="4" w:space="0"/>
                  </w:tcBorders>
                  <w:shd w:val="clear" w:color="auto" w:fill="auto"/>
                  <w:vAlign w:val="center"/>
                </w:tcPr>
                <w:p w14:paraId="30A2C484">
                  <w:pPr>
                    <w:autoSpaceDE w:val="0"/>
                    <w:jc w:val="center"/>
                    <w:rPr>
                      <w:rFonts w:hint="eastAsia" w:ascii="Times New Roman" w:hAnsi="Times New Roman" w:eastAsia="宋体" w:cs="Times New Roman"/>
                      <w:color w:val="000000"/>
                      <w:kern w:val="2"/>
                      <w:sz w:val="21"/>
                      <w:szCs w:val="21"/>
                      <w:highlight w:val="none"/>
                      <w:lang w:val="en-US" w:eastAsia="zh-CN" w:bidi="ar-SA"/>
                    </w:rPr>
                  </w:pPr>
                  <w:r>
                    <w:rPr>
                      <w:color w:val="000000"/>
                      <w:highlight w:val="none"/>
                    </w:rPr>
                    <w:t>固态</w:t>
                  </w:r>
                </w:p>
              </w:tc>
              <w:tc>
                <w:tcPr>
                  <w:tcW w:w="415" w:type="pct"/>
                  <w:tcBorders>
                    <w:top w:val="single" w:color="auto" w:sz="4" w:space="0"/>
                    <w:left w:val="nil"/>
                    <w:bottom w:val="single" w:color="auto" w:sz="4" w:space="0"/>
                    <w:right w:val="single" w:color="auto" w:sz="4" w:space="0"/>
                  </w:tcBorders>
                  <w:shd w:val="clear" w:color="auto" w:fill="auto"/>
                  <w:vAlign w:val="center"/>
                </w:tcPr>
                <w:p w14:paraId="0C74B2BE">
                  <w:pPr>
                    <w:autoSpaceDE w:val="0"/>
                    <w:jc w:val="center"/>
                    <w:rPr>
                      <w:rFonts w:hint="eastAsia" w:ascii="Times New Roman" w:hAnsi="Times New Roman" w:eastAsia="宋体" w:cs="Times New Roman"/>
                      <w:color w:val="000000"/>
                      <w:kern w:val="2"/>
                      <w:sz w:val="21"/>
                      <w:szCs w:val="21"/>
                      <w:highlight w:val="none"/>
                      <w:lang w:val="en-US" w:eastAsia="zh-CN" w:bidi="ar-SA"/>
                    </w:rPr>
                  </w:pPr>
                  <w:r>
                    <w:rPr>
                      <w:rFonts w:hint="eastAsia"/>
                      <w:color w:val="000000"/>
                      <w:szCs w:val="21"/>
                      <w:highlight w:val="none"/>
                    </w:rPr>
                    <w:t>T</w:t>
                  </w:r>
                  <w:r>
                    <w:rPr>
                      <w:color w:val="000000"/>
                      <w:szCs w:val="21"/>
                      <w:highlight w:val="none"/>
                    </w:rPr>
                    <w:t>/I</w:t>
                  </w:r>
                  <w:r>
                    <w:rPr>
                      <w:rFonts w:hint="eastAsia"/>
                      <w:color w:val="000000"/>
                      <w:szCs w:val="21"/>
                      <w:highlight w:val="none"/>
                    </w:rPr>
                    <w:t>n</w:t>
                  </w:r>
                </w:p>
              </w:tc>
              <w:tc>
                <w:tcPr>
                  <w:tcW w:w="402" w:type="pct"/>
                  <w:tcBorders>
                    <w:top w:val="single" w:color="auto" w:sz="4" w:space="0"/>
                    <w:left w:val="nil"/>
                    <w:bottom w:val="single" w:color="auto" w:sz="4" w:space="0"/>
                    <w:right w:val="single" w:color="auto" w:sz="4" w:space="0"/>
                  </w:tcBorders>
                  <w:shd w:val="clear" w:color="auto" w:fill="auto"/>
                  <w:vAlign w:val="center"/>
                </w:tcPr>
                <w:p w14:paraId="00647913">
                  <w:pPr>
                    <w:autoSpaceDE w:val="0"/>
                    <w:jc w:val="center"/>
                    <w:rPr>
                      <w:rFonts w:hint="eastAsia" w:ascii="Times New Roman" w:hAnsi="Times New Roman" w:eastAsia="宋体" w:cs="Times New Roman"/>
                      <w:color w:val="000000"/>
                      <w:kern w:val="2"/>
                      <w:sz w:val="21"/>
                      <w:szCs w:val="21"/>
                      <w:highlight w:val="none"/>
                      <w:lang w:val="en-US" w:eastAsia="zh-CN" w:bidi="ar-SA"/>
                    </w:rPr>
                  </w:pPr>
                  <w:r>
                    <w:rPr>
                      <w:rFonts w:hint="eastAsia"/>
                      <w:color w:val="000000"/>
                      <w:szCs w:val="21"/>
                      <w:highlight w:val="none"/>
                    </w:rPr>
                    <w:t>0</w:t>
                  </w:r>
                  <w:r>
                    <w:rPr>
                      <w:color w:val="000000"/>
                      <w:szCs w:val="21"/>
                      <w:highlight w:val="none"/>
                    </w:rPr>
                    <w:t>.1</w:t>
                  </w:r>
                </w:p>
              </w:tc>
              <w:tc>
                <w:tcPr>
                  <w:tcW w:w="320" w:type="pct"/>
                  <w:vMerge w:val="continue"/>
                  <w:tcBorders>
                    <w:left w:val="nil"/>
                    <w:bottom w:val="single" w:color="auto" w:sz="4" w:space="0"/>
                    <w:right w:val="single" w:color="auto" w:sz="4" w:space="0"/>
                  </w:tcBorders>
                  <w:shd w:val="clear" w:color="auto" w:fill="auto"/>
                  <w:vAlign w:val="center"/>
                </w:tcPr>
                <w:p w14:paraId="53C48B04">
                  <w:pPr>
                    <w:autoSpaceDE w:val="0"/>
                    <w:jc w:val="center"/>
                    <w:rPr>
                      <w:rFonts w:hint="eastAsia" w:ascii="Times New Roman" w:hAnsi="Times New Roman" w:eastAsia="宋体" w:cs="Times New Roman"/>
                      <w:color w:val="000000"/>
                      <w:kern w:val="2"/>
                      <w:sz w:val="21"/>
                      <w:szCs w:val="21"/>
                      <w:highlight w:val="none"/>
                      <w:lang w:val="en-US" w:eastAsia="zh-CN" w:bidi="ar-SA"/>
                    </w:rPr>
                  </w:pPr>
                </w:p>
              </w:tc>
              <w:tc>
                <w:tcPr>
                  <w:tcW w:w="528" w:type="pct"/>
                  <w:vMerge w:val="continue"/>
                  <w:tcBorders>
                    <w:left w:val="nil"/>
                    <w:right w:val="single" w:color="auto" w:sz="4" w:space="0"/>
                  </w:tcBorders>
                  <w:shd w:val="clear" w:color="auto" w:fill="auto"/>
                  <w:vAlign w:val="center"/>
                </w:tcPr>
                <w:p w14:paraId="675AAACE">
                  <w:pPr>
                    <w:autoSpaceDE w:val="0"/>
                    <w:jc w:val="center"/>
                    <w:rPr>
                      <w:rFonts w:hint="eastAsia" w:ascii="Times New Roman" w:hAnsi="Times New Roman" w:eastAsia="宋体" w:cs="Times New Roman"/>
                      <w:color w:val="000000"/>
                      <w:kern w:val="2"/>
                      <w:sz w:val="21"/>
                      <w:szCs w:val="21"/>
                      <w:highlight w:val="none"/>
                      <w:lang w:val="en-US" w:eastAsia="zh-CN" w:bidi="ar-SA"/>
                    </w:rPr>
                  </w:pPr>
                </w:p>
              </w:tc>
              <w:tc>
                <w:tcPr>
                  <w:tcW w:w="407" w:type="pct"/>
                  <w:tcBorders>
                    <w:top w:val="single" w:color="auto" w:sz="4" w:space="0"/>
                    <w:left w:val="nil"/>
                    <w:bottom w:val="single" w:color="auto" w:sz="4" w:space="0"/>
                    <w:right w:val="single" w:color="auto" w:sz="4" w:space="0"/>
                  </w:tcBorders>
                  <w:shd w:val="clear" w:color="auto" w:fill="auto"/>
                  <w:vAlign w:val="center"/>
                </w:tcPr>
                <w:p w14:paraId="6E06F2F1">
                  <w:pPr>
                    <w:autoSpaceDE w:val="0"/>
                    <w:jc w:val="center"/>
                    <w:rPr>
                      <w:rFonts w:hint="default"/>
                      <w:szCs w:val="21"/>
                      <w:highlight w:val="none"/>
                      <w:lang w:val="en-US" w:eastAsia="zh-CN"/>
                    </w:rPr>
                  </w:pPr>
                  <w:r>
                    <w:rPr>
                      <w:rFonts w:hint="eastAsia"/>
                      <w:szCs w:val="21"/>
                      <w:highlight w:val="none"/>
                      <w:lang w:val="en-US" w:eastAsia="zh-CN"/>
                    </w:rPr>
                    <w:t>0</w:t>
                  </w:r>
                </w:p>
              </w:tc>
            </w:tr>
          </w:tbl>
          <w:p w14:paraId="07D6C739">
            <w:pPr>
              <w:ind w:firstLine="482"/>
              <w:rPr>
                <w:rFonts w:hint="eastAsia" w:eastAsia="宋体"/>
                <w:b/>
                <w:highlight w:val="none"/>
                <w:lang w:eastAsia="zh-CN"/>
              </w:rPr>
            </w:pPr>
            <w:r>
              <w:rPr>
                <w:rFonts w:hint="eastAsia"/>
                <w:b/>
                <w:highlight w:val="none"/>
              </w:rPr>
              <w:t>注：1、一般工业固体废物编码依据关于发布《固体废物分类与代码目录》的公告（公告2024年第4号）确定。2、危险废物编码依据《国家危险废物名录》（2</w:t>
            </w:r>
            <w:r>
              <w:rPr>
                <w:b/>
                <w:highlight w:val="none"/>
              </w:rPr>
              <w:t>021</w:t>
            </w:r>
            <w:r>
              <w:rPr>
                <w:rFonts w:hint="eastAsia"/>
                <w:b/>
                <w:highlight w:val="none"/>
              </w:rPr>
              <w:t>年版）确定</w:t>
            </w:r>
            <w:r>
              <w:rPr>
                <w:rFonts w:hint="eastAsia"/>
                <w:b/>
                <w:highlight w:val="none"/>
                <w:lang w:eastAsia="zh-CN"/>
              </w:rPr>
              <w:t>。</w:t>
            </w:r>
          </w:p>
          <w:p w14:paraId="3CAEB74F">
            <w:pPr>
              <w:spacing w:before="120" w:beforeLines="50" w:line="360" w:lineRule="auto"/>
              <w:ind w:firstLine="482"/>
              <w:rPr>
                <w:b/>
                <w:sz w:val="24"/>
                <w:highlight w:val="none"/>
              </w:rPr>
            </w:pPr>
            <w:r>
              <w:rPr>
                <w:rFonts w:hint="eastAsia"/>
                <w:b/>
                <w:sz w:val="24"/>
                <w:highlight w:val="none"/>
              </w:rPr>
              <w:t>（</w:t>
            </w:r>
            <w:r>
              <w:rPr>
                <w:b/>
                <w:sz w:val="24"/>
                <w:highlight w:val="none"/>
              </w:rPr>
              <w:t>3</w:t>
            </w:r>
            <w:r>
              <w:rPr>
                <w:rFonts w:hint="eastAsia"/>
                <w:b/>
                <w:sz w:val="24"/>
                <w:highlight w:val="none"/>
              </w:rPr>
              <w:t>）危险废物环境影响分析</w:t>
            </w:r>
          </w:p>
          <w:p w14:paraId="15BB3847">
            <w:pPr>
              <w:spacing w:line="360" w:lineRule="auto"/>
              <w:ind w:firstLine="480"/>
              <w:rPr>
                <w:sz w:val="24"/>
                <w:highlight w:val="none"/>
              </w:rPr>
            </w:pPr>
            <w:r>
              <w:rPr>
                <w:sz w:val="24"/>
                <w:highlight w:val="none"/>
              </w:rPr>
              <w:t>①</w:t>
            </w:r>
            <w:r>
              <w:rPr>
                <w:rFonts w:hint="eastAsia"/>
                <w:sz w:val="24"/>
                <w:highlight w:val="none"/>
              </w:rPr>
              <w:t>危险废物贮存场所（设施）</w:t>
            </w:r>
          </w:p>
          <w:p w14:paraId="4A6AC8D2">
            <w:pPr>
              <w:spacing w:line="360" w:lineRule="auto"/>
              <w:ind w:firstLine="480"/>
              <w:rPr>
                <w:sz w:val="24"/>
                <w:highlight w:val="none"/>
              </w:rPr>
            </w:pPr>
            <w:r>
              <w:rPr>
                <w:rFonts w:hint="eastAsia"/>
                <w:sz w:val="24"/>
                <w:highlight w:val="none"/>
              </w:rPr>
              <w:t>项目产生的危险废物主要是废润滑油、废润滑油桶和</w:t>
            </w:r>
            <w:r>
              <w:rPr>
                <w:rFonts w:hint="eastAsia"/>
                <w:bCs/>
                <w:sz w:val="24"/>
                <w:highlight w:val="none"/>
              </w:rPr>
              <w:t>废弃的含油抹布、劳保用品等</w:t>
            </w:r>
            <w:r>
              <w:rPr>
                <w:rFonts w:hint="eastAsia"/>
                <w:sz w:val="24"/>
                <w:highlight w:val="none"/>
              </w:rPr>
              <w:t>，产生环节为设备维护。</w:t>
            </w:r>
          </w:p>
          <w:p w14:paraId="6E37D015">
            <w:pPr>
              <w:spacing w:line="360" w:lineRule="auto"/>
              <w:ind w:firstLine="480"/>
              <w:rPr>
                <w:rFonts w:hint="eastAsia"/>
                <w:b/>
                <w:sz w:val="24"/>
                <w:highlight w:val="none"/>
              </w:rPr>
            </w:pPr>
            <w:r>
              <w:rPr>
                <w:rFonts w:hint="eastAsia"/>
                <w:sz w:val="24"/>
                <w:highlight w:val="none"/>
              </w:rPr>
              <w:t>项目建设的危险废物贮存间基本情况列表如下：</w:t>
            </w:r>
          </w:p>
          <w:p w14:paraId="25A7ACC4">
            <w:pPr>
              <w:pStyle w:val="50"/>
              <w:numPr>
                <w:ilvl w:val="0"/>
                <w:numId w:val="11"/>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危险废物贮存场所基本情况一览表</w:t>
            </w:r>
          </w:p>
          <w:tbl>
            <w:tblPr>
              <w:tblStyle w:val="24"/>
              <w:tblW w:w="80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929"/>
              <w:gridCol w:w="892"/>
              <w:gridCol w:w="912"/>
              <w:gridCol w:w="910"/>
              <w:gridCol w:w="1071"/>
              <w:gridCol w:w="1196"/>
              <w:gridCol w:w="584"/>
              <w:gridCol w:w="593"/>
              <w:gridCol w:w="561"/>
            </w:tblGrid>
            <w:tr w14:paraId="7BBC3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427" w:type="dxa"/>
                  <w:vAlign w:val="center"/>
                </w:tcPr>
                <w:p w14:paraId="622EF013">
                  <w:pPr>
                    <w:jc w:val="center"/>
                    <w:rPr>
                      <w:b/>
                      <w:szCs w:val="21"/>
                      <w:highlight w:val="none"/>
                    </w:rPr>
                  </w:pPr>
                  <w:r>
                    <w:rPr>
                      <w:rFonts w:hint="eastAsia"/>
                      <w:b/>
                      <w:szCs w:val="21"/>
                      <w:highlight w:val="none"/>
                    </w:rPr>
                    <w:t>序号</w:t>
                  </w:r>
                </w:p>
              </w:tc>
              <w:tc>
                <w:tcPr>
                  <w:tcW w:w="929" w:type="dxa"/>
                  <w:vAlign w:val="center"/>
                </w:tcPr>
                <w:p w14:paraId="3DBD0356">
                  <w:pPr>
                    <w:jc w:val="center"/>
                    <w:rPr>
                      <w:b/>
                      <w:szCs w:val="21"/>
                      <w:highlight w:val="none"/>
                    </w:rPr>
                  </w:pPr>
                  <w:r>
                    <w:rPr>
                      <w:rFonts w:hint="eastAsia"/>
                      <w:b/>
                      <w:szCs w:val="21"/>
                      <w:highlight w:val="none"/>
                    </w:rPr>
                    <w:t>贮存场所（设施）名称</w:t>
                  </w:r>
                </w:p>
              </w:tc>
              <w:tc>
                <w:tcPr>
                  <w:tcW w:w="892" w:type="dxa"/>
                  <w:vAlign w:val="center"/>
                </w:tcPr>
                <w:p w14:paraId="1735CC71">
                  <w:pPr>
                    <w:jc w:val="center"/>
                    <w:rPr>
                      <w:b/>
                      <w:szCs w:val="21"/>
                      <w:highlight w:val="none"/>
                    </w:rPr>
                  </w:pPr>
                  <w:r>
                    <w:rPr>
                      <w:rFonts w:hint="eastAsia"/>
                      <w:b/>
                      <w:szCs w:val="21"/>
                      <w:highlight w:val="none"/>
                    </w:rPr>
                    <w:t>位置</w:t>
                  </w:r>
                </w:p>
              </w:tc>
              <w:tc>
                <w:tcPr>
                  <w:tcW w:w="912" w:type="dxa"/>
                  <w:vAlign w:val="center"/>
                </w:tcPr>
                <w:p w14:paraId="05F0C87F">
                  <w:pPr>
                    <w:jc w:val="center"/>
                    <w:rPr>
                      <w:b/>
                      <w:szCs w:val="21"/>
                      <w:highlight w:val="none"/>
                    </w:rPr>
                  </w:pPr>
                  <w:r>
                    <w:rPr>
                      <w:rFonts w:hint="eastAsia"/>
                      <w:b/>
                      <w:szCs w:val="21"/>
                      <w:highlight w:val="none"/>
                    </w:rPr>
                    <w:t>占地面积</w:t>
                  </w:r>
                </w:p>
              </w:tc>
              <w:tc>
                <w:tcPr>
                  <w:tcW w:w="910" w:type="dxa"/>
                  <w:vAlign w:val="center"/>
                </w:tcPr>
                <w:p w14:paraId="01486185">
                  <w:pPr>
                    <w:jc w:val="center"/>
                    <w:rPr>
                      <w:b/>
                      <w:szCs w:val="21"/>
                      <w:highlight w:val="none"/>
                    </w:rPr>
                  </w:pPr>
                  <w:r>
                    <w:rPr>
                      <w:rFonts w:hint="eastAsia"/>
                      <w:b/>
                      <w:szCs w:val="21"/>
                      <w:highlight w:val="none"/>
                    </w:rPr>
                    <w:t>废物名称</w:t>
                  </w:r>
                </w:p>
              </w:tc>
              <w:tc>
                <w:tcPr>
                  <w:tcW w:w="1071" w:type="dxa"/>
                  <w:vAlign w:val="center"/>
                </w:tcPr>
                <w:p w14:paraId="50D1D354">
                  <w:pPr>
                    <w:jc w:val="center"/>
                    <w:rPr>
                      <w:b/>
                      <w:szCs w:val="21"/>
                      <w:highlight w:val="none"/>
                    </w:rPr>
                  </w:pPr>
                  <w:r>
                    <w:rPr>
                      <w:rFonts w:hint="eastAsia"/>
                      <w:b/>
                      <w:szCs w:val="21"/>
                      <w:highlight w:val="none"/>
                    </w:rPr>
                    <w:t>危险废物类别</w:t>
                  </w:r>
                </w:p>
              </w:tc>
              <w:tc>
                <w:tcPr>
                  <w:tcW w:w="1196" w:type="dxa"/>
                  <w:vAlign w:val="center"/>
                </w:tcPr>
                <w:p w14:paraId="1CA51735">
                  <w:pPr>
                    <w:jc w:val="center"/>
                    <w:rPr>
                      <w:b/>
                      <w:szCs w:val="21"/>
                      <w:highlight w:val="none"/>
                    </w:rPr>
                  </w:pPr>
                  <w:r>
                    <w:rPr>
                      <w:rFonts w:hint="eastAsia"/>
                      <w:b/>
                      <w:szCs w:val="21"/>
                      <w:highlight w:val="none"/>
                    </w:rPr>
                    <w:t>危险废物代码</w:t>
                  </w:r>
                </w:p>
              </w:tc>
              <w:tc>
                <w:tcPr>
                  <w:tcW w:w="584" w:type="dxa"/>
                  <w:vAlign w:val="center"/>
                </w:tcPr>
                <w:p w14:paraId="04781B75">
                  <w:pPr>
                    <w:jc w:val="center"/>
                    <w:rPr>
                      <w:b/>
                      <w:szCs w:val="21"/>
                      <w:highlight w:val="none"/>
                    </w:rPr>
                  </w:pPr>
                  <w:r>
                    <w:rPr>
                      <w:rFonts w:hint="eastAsia"/>
                      <w:b/>
                      <w:szCs w:val="21"/>
                      <w:highlight w:val="none"/>
                    </w:rPr>
                    <w:t>贮存方式</w:t>
                  </w:r>
                </w:p>
              </w:tc>
              <w:tc>
                <w:tcPr>
                  <w:tcW w:w="593" w:type="dxa"/>
                  <w:vAlign w:val="center"/>
                </w:tcPr>
                <w:p w14:paraId="0EC20AC2">
                  <w:pPr>
                    <w:jc w:val="center"/>
                    <w:rPr>
                      <w:b/>
                      <w:szCs w:val="21"/>
                      <w:highlight w:val="none"/>
                    </w:rPr>
                  </w:pPr>
                  <w:r>
                    <w:rPr>
                      <w:rFonts w:hint="eastAsia"/>
                      <w:b/>
                      <w:szCs w:val="21"/>
                      <w:highlight w:val="none"/>
                    </w:rPr>
                    <w:t>贮存能力</w:t>
                  </w:r>
                </w:p>
              </w:tc>
              <w:tc>
                <w:tcPr>
                  <w:tcW w:w="561" w:type="dxa"/>
                  <w:vAlign w:val="center"/>
                </w:tcPr>
                <w:p w14:paraId="4523713E">
                  <w:pPr>
                    <w:jc w:val="center"/>
                    <w:rPr>
                      <w:b/>
                      <w:szCs w:val="21"/>
                      <w:highlight w:val="none"/>
                    </w:rPr>
                  </w:pPr>
                  <w:r>
                    <w:rPr>
                      <w:rFonts w:hint="eastAsia"/>
                      <w:b/>
                      <w:szCs w:val="21"/>
                      <w:highlight w:val="none"/>
                    </w:rPr>
                    <w:t>贮存周期</w:t>
                  </w:r>
                </w:p>
              </w:tc>
            </w:tr>
            <w:tr w14:paraId="29284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427" w:type="dxa"/>
                  <w:vAlign w:val="center"/>
                </w:tcPr>
                <w:p w14:paraId="7F8799E4">
                  <w:pPr>
                    <w:jc w:val="center"/>
                    <w:rPr>
                      <w:szCs w:val="21"/>
                      <w:highlight w:val="none"/>
                    </w:rPr>
                  </w:pPr>
                  <w:r>
                    <w:rPr>
                      <w:szCs w:val="21"/>
                      <w:highlight w:val="none"/>
                    </w:rPr>
                    <w:t>1</w:t>
                  </w:r>
                </w:p>
              </w:tc>
              <w:tc>
                <w:tcPr>
                  <w:tcW w:w="929" w:type="dxa"/>
                  <w:vMerge w:val="restart"/>
                  <w:vAlign w:val="center"/>
                </w:tcPr>
                <w:p w14:paraId="1027BC96">
                  <w:pPr>
                    <w:jc w:val="center"/>
                    <w:rPr>
                      <w:szCs w:val="21"/>
                      <w:highlight w:val="none"/>
                    </w:rPr>
                  </w:pPr>
                  <w:r>
                    <w:rPr>
                      <w:rFonts w:hint="eastAsia"/>
                      <w:szCs w:val="21"/>
                      <w:highlight w:val="none"/>
                    </w:rPr>
                    <w:t>危险废物贮存间</w:t>
                  </w:r>
                </w:p>
              </w:tc>
              <w:tc>
                <w:tcPr>
                  <w:tcW w:w="892" w:type="dxa"/>
                  <w:vMerge w:val="restart"/>
                  <w:vAlign w:val="center"/>
                </w:tcPr>
                <w:p w14:paraId="5F7A8A9A">
                  <w:pPr>
                    <w:widowControl/>
                    <w:jc w:val="center"/>
                    <w:rPr>
                      <w:kern w:val="0"/>
                      <w:szCs w:val="21"/>
                      <w:highlight w:val="none"/>
                      <w:lang w:bidi="ar"/>
                    </w:rPr>
                  </w:pPr>
                  <w:r>
                    <w:rPr>
                      <w:rFonts w:hint="eastAsia"/>
                      <w:kern w:val="0"/>
                      <w:szCs w:val="21"/>
                      <w:highlight w:val="none"/>
                      <w:lang w:bidi="ar"/>
                    </w:rPr>
                    <w:t>厂区最西北角</w:t>
                  </w:r>
                </w:p>
              </w:tc>
              <w:tc>
                <w:tcPr>
                  <w:tcW w:w="912" w:type="dxa"/>
                  <w:vMerge w:val="restart"/>
                  <w:vAlign w:val="center"/>
                </w:tcPr>
                <w:p w14:paraId="7B24140D">
                  <w:pPr>
                    <w:widowControl/>
                    <w:jc w:val="center"/>
                    <w:rPr>
                      <w:kern w:val="0"/>
                      <w:szCs w:val="21"/>
                      <w:highlight w:val="none"/>
                      <w:lang w:bidi="ar"/>
                    </w:rPr>
                  </w:pPr>
                  <w:r>
                    <w:rPr>
                      <w:szCs w:val="21"/>
                      <w:highlight w:val="none"/>
                    </w:rPr>
                    <w:t>15</w:t>
                  </w:r>
                  <w:r>
                    <w:rPr>
                      <w:rFonts w:hint="eastAsia"/>
                      <w:szCs w:val="21"/>
                      <w:highlight w:val="none"/>
                    </w:rPr>
                    <w:t>m</w:t>
                  </w:r>
                  <w:r>
                    <w:rPr>
                      <w:rFonts w:hint="eastAsia"/>
                      <w:szCs w:val="21"/>
                      <w:highlight w:val="none"/>
                      <w:vertAlign w:val="superscript"/>
                    </w:rPr>
                    <w:t>2</w:t>
                  </w:r>
                </w:p>
              </w:tc>
              <w:tc>
                <w:tcPr>
                  <w:tcW w:w="910" w:type="dxa"/>
                  <w:vAlign w:val="center"/>
                </w:tcPr>
                <w:p w14:paraId="32223C52">
                  <w:pPr>
                    <w:widowControl/>
                    <w:jc w:val="center"/>
                    <w:rPr>
                      <w:kern w:val="0"/>
                      <w:szCs w:val="21"/>
                      <w:highlight w:val="none"/>
                      <w:lang w:bidi="ar"/>
                    </w:rPr>
                  </w:pPr>
                  <w:r>
                    <w:rPr>
                      <w:kern w:val="0"/>
                      <w:szCs w:val="21"/>
                      <w:highlight w:val="none"/>
                      <w:lang w:bidi="ar"/>
                    </w:rPr>
                    <w:t>废</w:t>
                  </w:r>
                  <w:r>
                    <w:rPr>
                      <w:rFonts w:hint="eastAsia"/>
                      <w:kern w:val="0"/>
                      <w:szCs w:val="21"/>
                      <w:highlight w:val="none"/>
                      <w:lang w:bidi="ar"/>
                    </w:rPr>
                    <w:t>润滑油</w:t>
                  </w:r>
                </w:p>
              </w:tc>
              <w:tc>
                <w:tcPr>
                  <w:tcW w:w="1071" w:type="dxa"/>
                  <w:vAlign w:val="center"/>
                </w:tcPr>
                <w:p w14:paraId="6670EA88">
                  <w:pPr>
                    <w:widowControl/>
                    <w:jc w:val="center"/>
                    <w:rPr>
                      <w:kern w:val="0"/>
                      <w:szCs w:val="21"/>
                      <w:highlight w:val="none"/>
                      <w:lang w:bidi="ar"/>
                    </w:rPr>
                  </w:pPr>
                  <w:r>
                    <w:rPr>
                      <w:kern w:val="0"/>
                      <w:szCs w:val="21"/>
                      <w:highlight w:val="none"/>
                      <w:lang w:bidi="ar"/>
                    </w:rPr>
                    <w:t>HW08</w:t>
                  </w:r>
                  <w:r>
                    <w:rPr>
                      <w:kern w:val="0"/>
                      <w:szCs w:val="21"/>
                      <w:highlight w:val="none"/>
                    </w:rPr>
                    <w:t>废矿物油与含矿物油废物</w:t>
                  </w:r>
                </w:p>
              </w:tc>
              <w:tc>
                <w:tcPr>
                  <w:tcW w:w="1196" w:type="dxa"/>
                  <w:vAlign w:val="center"/>
                </w:tcPr>
                <w:p w14:paraId="14E24DF5">
                  <w:pPr>
                    <w:widowControl/>
                    <w:jc w:val="center"/>
                    <w:rPr>
                      <w:kern w:val="0"/>
                      <w:szCs w:val="21"/>
                      <w:highlight w:val="none"/>
                      <w:lang w:bidi="ar"/>
                    </w:rPr>
                  </w:pPr>
                  <w:r>
                    <w:rPr>
                      <w:kern w:val="0"/>
                      <w:szCs w:val="21"/>
                      <w:highlight w:val="none"/>
                      <w:lang w:bidi="ar"/>
                    </w:rPr>
                    <w:t>900-217-08</w:t>
                  </w:r>
                </w:p>
              </w:tc>
              <w:tc>
                <w:tcPr>
                  <w:tcW w:w="584" w:type="dxa"/>
                  <w:vAlign w:val="center"/>
                </w:tcPr>
                <w:p w14:paraId="48D56EB8">
                  <w:pPr>
                    <w:jc w:val="center"/>
                    <w:rPr>
                      <w:szCs w:val="21"/>
                      <w:highlight w:val="none"/>
                    </w:rPr>
                  </w:pPr>
                  <w:r>
                    <w:rPr>
                      <w:rFonts w:hint="eastAsia"/>
                      <w:szCs w:val="21"/>
                      <w:highlight w:val="none"/>
                    </w:rPr>
                    <w:t>桶装</w:t>
                  </w:r>
                </w:p>
              </w:tc>
              <w:tc>
                <w:tcPr>
                  <w:tcW w:w="593" w:type="dxa"/>
                  <w:vAlign w:val="center"/>
                </w:tcPr>
                <w:p w14:paraId="3F0563F5">
                  <w:pPr>
                    <w:jc w:val="center"/>
                    <w:rPr>
                      <w:color w:val="000000"/>
                      <w:szCs w:val="21"/>
                      <w:highlight w:val="none"/>
                    </w:rPr>
                  </w:pPr>
                  <w:r>
                    <w:rPr>
                      <w:color w:val="000000"/>
                      <w:szCs w:val="21"/>
                      <w:highlight w:val="none"/>
                    </w:rPr>
                    <w:t>1t/a</w:t>
                  </w:r>
                </w:p>
              </w:tc>
              <w:tc>
                <w:tcPr>
                  <w:tcW w:w="561" w:type="dxa"/>
                  <w:vAlign w:val="center"/>
                </w:tcPr>
                <w:p w14:paraId="4CD8830C">
                  <w:pPr>
                    <w:jc w:val="center"/>
                    <w:rPr>
                      <w:szCs w:val="21"/>
                      <w:highlight w:val="none"/>
                    </w:rPr>
                  </w:pPr>
                  <w:r>
                    <w:rPr>
                      <w:szCs w:val="21"/>
                      <w:highlight w:val="none"/>
                    </w:rPr>
                    <w:t>12</w:t>
                  </w:r>
                  <w:r>
                    <w:rPr>
                      <w:rFonts w:hint="eastAsia"/>
                      <w:szCs w:val="21"/>
                      <w:highlight w:val="none"/>
                    </w:rPr>
                    <w:t>个月</w:t>
                  </w:r>
                </w:p>
              </w:tc>
            </w:tr>
            <w:tr w14:paraId="3778B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427" w:type="dxa"/>
                  <w:vAlign w:val="center"/>
                </w:tcPr>
                <w:p w14:paraId="61445353">
                  <w:pPr>
                    <w:jc w:val="center"/>
                    <w:rPr>
                      <w:szCs w:val="21"/>
                      <w:highlight w:val="none"/>
                    </w:rPr>
                  </w:pPr>
                  <w:r>
                    <w:rPr>
                      <w:rFonts w:hint="eastAsia"/>
                      <w:szCs w:val="21"/>
                      <w:highlight w:val="none"/>
                    </w:rPr>
                    <w:t>2</w:t>
                  </w:r>
                </w:p>
              </w:tc>
              <w:tc>
                <w:tcPr>
                  <w:tcW w:w="929" w:type="dxa"/>
                  <w:vMerge w:val="continue"/>
                  <w:vAlign w:val="center"/>
                </w:tcPr>
                <w:p w14:paraId="153D7B2F">
                  <w:pPr>
                    <w:jc w:val="center"/>
                    <w:rPr>
                      <w:szCs w:val="21"/>
                      <w:highlight w:val="none"/>
                    </w:rPr>
                  </w:pPr>
                </w:p>
              </w:tc>
              <w:tc>
                <w:tcPr>
                  <w:tcW w:w="892" w:type="dxa"/>
                  <w:vMerge w:val="continue"/>
                  <w:vAlign w:val="center"/>
                </w:tcPr>
                <w:p w14:paraId="72AB805B">
                  <w:pPr>
                    <w:widowControl/>
                    <w:jc w:val="center"/>
                    <w:rPr>
                      <w:kern w:val="0"/>
                      <w:szCs w:val="21"/>
                      <w:highlight w:val="none"/>
                      <w:lang w:bidi="ar"/>
                    </w:rPr>
                  </w:pPr>
                </w:p>
              </w:tc>
              <w:tc>
                <w:tcPr>
                  <w:tcW w:w="912" w:type="dxa"/>
                  <w:vMerge w:val="continue"/>
                  <w:vAlign w:val="center"/>
                </w:tcPr>
                <w:p w14:paraId="38680B6F">
                  <w:pPr>
                    <w:widowControl/>
                    <w:jc w:val="center"/>
                    <w:rPr>
                      <w:szCs w:val="21"/>
                      <w:highlight w:val="none"/>
                    </w:rPr>
                  </w:pPr>
                </w:p>
              </w:tc>
              <w:tc>
                <w:tcPr>
                  <w:tcW w:w="910" w:type="dxa"/>
                  <w:vAlign w:val="center"/>
                </w:tcPr>
                <w:p w14:paraId="0A8B7C37">
                  <w:pPr>
                    <w:widowControl/>
                    <w:jc w:val="center"/>
                    <w:rPr>
                      <w:kern w:val="0"/>
                      <w:szCs w:val="21"/>
                      <w:highlight w:val="none"/>
                      <w:lang w:bidi="ar"/>
                    </w:rPr>
                  </w:pPr>
                  <w:r>
                    <w:rPr>
                      <w:rFonts w:hint="eastAsia"/>
                      <w:kern w:val="0"/>
                      <w:szCs w:val="21"/>
                      <w:highlight w:val="none"/>
                      <w:lang w:bidi="ar"/>
                    </w:rPr>
                    <w:t>废润滑油桶</w:t>
                  </w:r>
                </w:p>
              </w:tc>
              <w:tc>
                <w:tcPr>
                  <w:tcW w:w="1071" w:type="dxa"/>
                  <w:vAlign w:val="center"/>
                </w:tcPr>
                <w:p w14:paraId="24290A1F">
                  <w:pPr>
                    <w:widowControl/>
                    <w:jc w:val="center"/>
                    <w:rPr>
                      <w:kern w:val="0"/>
                      <w:szCs w:val="21"/>
                      <w:highlight w:val="none"/>
                      <w:lang w:bidi="ar"/>
                    </w:rPr>
                  </w:pPr>
                  <w:r>
                    <w:rPr>
                      <w:kern w:val="0"/>
                      <w:szCs w:val="21"/>
                      <w:highlight w:val="none"/>
                      <w:lang w:bidi="ar"/>
                    </w:rPr>
                    <w:t>HW08</w:t>
                  </w:r>
                  <w:r>
                    <w:rPr>
                      <w:kern w:val="0"/>
                      <w:szCs w:val="21"/>
                      <w:highlight w:val="none"/>
                    </w:rPr>
                    <w:t>废矿物油与含矿物油废物</w:t>
                  </w:r>
                </w:p>
              </w:tc>
              <w:tc>
                <w:tcPr>
                  <w:tcW w:w="1196" w:type="dxa"/>
                  <w:vAlign w:val="center"/>
                </w:tcPr>
                <w:p w14:paraId="55760D52">
                  <w:pPr>
                    <w:widowControl/>
                    <w:jc w:val="center"/>
                    <w:rPr>
                      <w:kern w:val="0"/>
                      <w:szCs w:val="21"/>
                      <w:highlight w:val="none"/>
                      <w:lang w:bidi="ar"/>
                    </w:rPr>
                  </w:pPr>
                  <w:r>
                    <w:rPr>
                      <w:kern w:val="0"/>
                      <w:szCs w:val="21"/>
                      <w:highlight w:val="none"/>
                      <w:lang w:bidi="ar"/>
                    </w:rPr>
                    <w:t>900-249-08</w:t>
                  </w:r>
                </w:p>
              </w:tc>
              <w:tc>
                <w:tcPr>
                  <w:tcW w:w="584" w:type="dxa"/>
                  <w:vAlign w:val="center"/>
                </w:tcPr>
                <w:p w14:paraId="2CE9D643">
                  <w:pPr>
                    <w:jc w:val="center"/>
                    <w:rPr>
                      <w:szCs w:val="21"/>
                      <w:highlight w:val="none"/>
                    </w:rPr>
                  </w:pPr>
                  <w:r>
                    <w:rPr>
                      <w:rFonts w:hint="eastAsia"/>
                      <w:szCs w:val="21"/>
                      <w:highlight w:val="none"/>
                    </w:rPr>
                    <w:t>--</w:t>
                  </w:r>
                </w:p>
              </w:tc>
              <w:tc>
                <w:tcPr>
                  <w:tcW w:w="593" w:type="dxa"/>
                  <w:vAlign w:val="center"/>
                </w:tcPr>
                <w:p w14:paraId="21CD8928">
                  <w:pPr>
                    <w:jc w:val="center"/>
                    <w:rPr>
                      <w:color w:val="000000"/>
                      <w:szCs w:val="21"/>
                      <w:highlight w:val="none"/>
                    </w:rPr>
                  </w:pPr>
                  <w:r>
                    <w:rPr>
                      <w:color w:val="000000"/>
                      <w:szCs w:val="21"/>
                      <w:highlight w:val="none"/>
                    </w:rPr>
                    <w:t>1t/a</w:t>
                  </w:r>
                </w:p>
              </w:tc>
              <w:tc>
                <w:tcPr>
                  <w:tcW w:w="561" w:type="dxa"/>
                  <w:vAlign w:val="center"/>
                </w:tcPr>
                <w:p w14:paraId="65137B93">
                  <w:pPr>
                    <w:jc w:val="center"/>
                    <w:rPr>
                      <w:szCs w:val="21"/>
                      <w:highlight w:val="none"/>
                    </w:rPr>
                  </w:pPr>
                  <w:r>
                    <w:rPr>
                      <w:szCs w:val="21"/>
                      <w:highlight w:val="none"/>
                    </w:rPr>
                    <w:t>12</w:t>
                  </w:r>
                  <w:r>
                    <w:rPr>
                      <w:rFonts w:hint="eastAsia"/>
                      <w:szCs w:val="21"/>
                      <w:highlight w:val="none"/>
                    </w:rPr>
                    <w:t>个月</w:t>
                  </w:r>
                </w:p>
              </w:tc>
            </w:tr>
          </w:tbl>
          <w:p w14:paraId="38682FB2">
            <w:pPr>
              <w:spacing w:line="360" w:lineRule="auto"/>
              <w:ind w:firstLine="480"/>
              <w:rPr>
                <w:sz w:val="24"/>
                <w:highlight w:val="none"/>
              </w:rPr>
            </w:pPr>
            <w:r>
              <w:rPr>
                <w:rFonts w:hint="default" w:ascii="Times New Roman" w:hAnsi="Times New Roman" w:eastAsia="宋体" w:cs="Times New Roman"/>
                <w:color w:val="auto"/>
                <w:sz w:val="24"/>
                <w:szCs w:val="24"/>
                <w:highlight w:val="none"/>
              </w:rPr>
              <w:t>建设单位</w:t>
            </w:r>
            <w:r>
              <w:rPr>
                <w:rFonts w:hint="default" w:ascii="Times New Roman" w:hAnsi="Times New Roman" w:eastAsia="宋体" w:cs="Times New Roman"/>
                <w:color w:val="auto"/>
                <w:sz w:val="24"/>
                <w:szCs w:val="24"/>
                <w:highlight w:val="none"/>
                <w:lang w:val="en-US" w:eastAsia="zh-CN"/>
              </w:rPr>
              <w:t>已</w:t>
            </w:r>
            <w:r>
              <w:rPr>
                <w:rFonts w:hint="default" w:ascii="Times New Roman" w:hAnsi="Times New Roman" w:eastAsia="宋体" w:cs="Times New Roman"/>
                <w:color w:val="auto"/>
                <w:sz w:val="24"/>
                <w:szCs w:val="24"/>
                <w:highlight w:val="none"/>
              </w:rPr>
              <w:t>建设危险废物贮存间，</w:t>
            </w:r>
            <w:r>
              <w:rPr>
                <w:rFonts w:hint="default" w:ascii="Times New Roman" w:hAnsi="Times New Roman" w:eastAsia="宋体" w:cs="Times New Roman"/>
                <w:color w:val="auto"/>
                <w:sz w:val="24"/>
                <w:szCs w:val="24"/>
                <w:highlight w:val="none"/>
                <w:lang w:val="en-US" w:eastAsia="zh-CN"/>
              </w:rPr>
              <w:t>危险废物贮存间位于</w:t>
            </w:r>
            <w:r>
              <w:rPr>
                <w:rFonts w:hint="eastAsia" w:ascii="Times New Roman" w:hAnsi="Times New Roman" w:eastAsia="宋体" w:cs="Times New Roman"/>
                <w:color w:val="auto"/>
                <w:sz w:val="24"/>
                <w:szCs w:val="24"/>
                <w:highlight w:val="none"/>
                <w:lang w:val="en-US" w:eastAsia="zh-CN"/>
              </w:rPr>
              <w:t>厂区西</w:t>
            </w:r>
            <w:r>
              <w:rPr>
                <w:rFonts w:hint="default" w:ascii="Times New Roman" w:hAnsi="Times New Roman" w:eastAsia="宋体" w:cs="Times New Roman"/>
                <w:color w:val="auto"/>
                <w:sz w:val="24"/>
                <w:szCs w:val="24"/>
                <w:highlight w:val="none"/>
                <w:lang w:val="en-US" w:eastAsia="zh-CN"/>
              </w:rPr>
              <w:t>侧，面积</w:t>
            </w:r>
            <w:r>
              <w:rPr>
                <w:rFonts w:hint="eastAsia" w:ascii="Times New Roman" w:hAnsi="Times New Roman" w:cs="Times New Roman"/>
                <w:color w:val="auto"/>
                <w:sz w:val="24"/>
                <w:szCs w:val="24"/>
                <w:highlight w:val="none"/>
                <w:lang w:val="en-US" w:eastAsia="zh-CN"/>
              </w:rPr>
              <w:t>15m</w:t>
            </w:r>
            <w:r>
              <w:rPr>
                <w:rFonts w:hint="eastAsia" w:ascii="Times New Roman" w:hAnsi="Times New Roman"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本贮存设施选址满足生态环境保护法律法规、规划和“三线一单”生态环境分区管控的要求。危险废物贮存间不在生态保护红线区域、永久基本农田和其他需要特别保护的区域内，不建在溶洞区或易遭受洪水、滑坡、泥石流、潮汐等严重自然灾害影响的地区。危险废物贮存间不在江河、湖泊、运河、渠道、水库及其最高水位线以下的滩地和岸坡，以及法律法规规定禁止贮存危险废物的其他地点。本危险废物贮存间位置位于</w:t>
            </w:r>
            <w:r>
              <w:rPr>
                <w:rFonts w:hint="eastAsia" w:ascii="Times New Roman" w:hAnsi="Times New Roman" w:eastAsia="宋体" w:cs="Times New Roman"/>
                <w:color w:val="auto"/>
                <w:sz w:val="24"/>
                <w:szCs w:val="24"/>
                <w:highlight w:val="none"/>
                <w:lang w:val="en-US" w:eastAsia="zh-CN"/>
              </w:rPr>
              <w:t>污水处理站东北</w:t>
            </w:r>
            <w:r>
              <w:rPr>
                <w:rFonts w:hint="default" w:ascii="Times New Roman" w:hAnsi="Times New Roman" w:eastAsia="宋体" w:cs="Times New Roman"/>
                <w:color w:val="auto"/>
                <w:sz w:val="24"/>
                <w:szCs w:val="24"/>
                <w:highlight w:val="none"/>
                <w:lang w:val="en-US" w:eastAsia="zh-CN"/>
              </w:rPr>
              <w:t>侧的独立空间内，与大气环境敏感目标的距离较远，危险废物贮存间的选址符合</w:t>
            </w:r>
            <w:r>
              <w:rPr>
                <w:rFonts w:hint="default" w:ascii="Times New Roman" w:hAnsi="Times New Roman" w:eastAsia="宋体" w:cs="Times New Roman"/>
                <w:color w:val="auto"/>
                <w:sz w:val="24"/>
                <w:szCs w:val="24"/>
                <w:highlight w:val="none"/>
                <w:lang w:eastAsia="zh-CN"/>
              </w:rPr>
              <w:t>《危险废物贮存污染控制标准》（</w:t>
            </w:r>
            <w:r>
              <w:rPr>
                <w:rFonts w:hint="default" w:ascii="Times New Roman" w:hAnsi="Times New Roman" w:eastAsia="宋体" w:cs="Times New Roman"/>
                <w:color w:val="auto"/>
                <w:sz w:val="24"/>
                <w:szCs w:val="24"/>
                <w:highlight w:val="none"/>
              </w:rPr>
              <w:t>GB18597</w:t>
            </w:r>
            <w:r>
              <w:rPr>
                <w:rFonts w:hint="default" w:ascii="Times New Roman" w:hAnsi="Times New Roman" w:eastAsia="宋体" w:cs="Times New Roman"/>
                <w:color w:val="auto"/>
                <w:sz w:val="24"/>
                <w:szCs w:val="24"/>
                <w:highlight w:val="none"/>
                <w:lang w:val="en-US" w:eastAsia="zh-CN"/>
              </w:rPr>
              <w:t>-2023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的</w:t>
            </w:r>
            <w:r>
              <w:rPr>
                <w:rFonts w:hint="default" w:ascii="Times New Roman" w:hAnsi="Times New Roman" w:eastAsia="宋体" w:cs="Times New Roman"/>
                <w:color w:val="auto"/>
                <w:sz w:val="24"/>
                <w:szCs w:val="24"/>
                <w:highlight w:val="none"/>
                <w:lang w:val="en-US" w:eastAsia="zh-CN"/>
              </w:rPr>
              <w:t>选址的</w:t>
            </w:r>
            <w:r>
              <w:rPr>
                <w:rFonts w:hint="default" w:ascii="Times New Roman" w:hAnsi="Times New Roman" w:eastAsia="宋体" w:cs="Times New Roman"/>
                <w:color w:val="auto"/>
                <w:sz w:val="24"/>
                <w:szCs w:val="24"/>
                <w:highlight w:val="none"/>
              </w:rPr>
              <w:t>有关要求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具有依托可行性</w:t>
            </w:r>
            <w:r>
              <w:rPr>
                <w:rFonts w:hint="default" w:ascii="Times New Roman" w:hAnsi="Times New Roman" w:eastAsia="宋体" w:cs="Times New Roman"/>
                <w:color w:val="auto"/>
                <w:sz w:val="24"/>
                <w:szCs w:val="24"/>
                <w:highlight w:val="none"/>
              </w:rPr>
              <w:t>。</w:t>
            </w:r>
          </w:p>
          <w:p w14:paraId="73B0257A">
            <w:pPr>
              <w:spacing w:line="360" w:lineRule="auto"/>
              <w:ind w:firstLine="48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本项目依托的危险废物贮存间，由上述分析可知，本项目废</w:t>
            </w:r>
            <w:r>
              <w:rPr>
                <w:rFonts w:hint="eastAsia" w:cs="Times New Roman"/>
                <w:color w:val="auto"/>
                <w:kern w:val="0"/>
                <w:sz w:val="24"/>
                <w:szCs w:val="24"/>
                <w:highlight w:val="none"/>
                <w:lang w:val="en-US" w:eastAsia="zh-CN" w:bidi="ar"/>
              </w:rPr>
              <w:t>润滑</w:t>
            </w:r>
            <w:r>
              <w:rPr>
                <w:rFonts w:hint="eastAsia" w:ascii="Times New Roman" w:hAnsi="Times New Roman" w:eastAsia="宋体" w:cs="Times New Roman"/>
                <w:color w:val="auto"/>
                <w:kern w:val="0"/>
                <w:sz w:val="24"/>
                <w:szCs w:val="24"/>
                <w:highlight w:val="none"/>
                <w:lang w:val="en-US" w:eastAsia="zh-CN" w:bidi="ar"/>
              </w:rPr>
              <w:t>油、废油桶</w:t>
            </w:r>
            <w:r>
              <w:rPr>
                <w:rFonts w:hint="default" w:ascii="Times New Roman" w:hAnsi="Times New Roman" w:eastAsia="宋体" w:cs="Times New Roman"/>
                <w:color w:val="auto"/>
                <w:kern w:val="0"/>
                <w:sz w:val="24"/>
                <w:szCs w:val="24"/>
                <w:highlight w:val="none"/>
                <w:lang w:val="en-US" w:eastAsia="zh-CN" w:bidi="ar"/>
              </w:rPr>
              <w:t>产生量较小，公司</w:t>
            </w:r>
            <w:r>
              <w:rPr>
                <w:rFonts w:hint="eastAsia" w:ascii="Times New Roman" w:hAnsi="Times New Roman" w:eastAsia="宋体" w:cs="Times New Roman"/>
                <w:color w:val="auto"/>
                <w:kern w:val="0"/>
                <w:sz w:val="24"/>
                <w:szCs w:val="24"/>
                <w:highlight w:val="none"/>
                <w:lang w:val="en-US" w:eastAsia="zh-CN" w:bidi="ar"/>
              </w:rPr>
              <w:t>一年进行</w:t>
            </w:r>
            <w:r>
              <w:rPr>
                <w:rFonts w:hint="default" w:ascii="Times New Roman" w:hAnsi="Times New Roman" w:eastAsia="宋体" w:cs="Times New Roman"/>
                <w:color w:val="auto"/>
                <w:kern w:val="0"/>
                <w:sz w:val="24"/>
                <w:szCs w:val="24"/>
                <w:highlight w:val="none"/>
                <w:lang w:val="en-US" w:eastAsia="zh-CN" w:bidi="ar"/>
              </w:rPr>
              <w:t>一次转运处置，</w:t>
            </w:r>
            <w:r>
              <w:rPr>
                <w:rFonts w:hint="default" w:ascii="Times New Roman" w:hAnsi="Times New Roman" w:eastAsia="宋体" w:cs="Times New Roman"/>
                <w:color w:val="auto"/>
                <w:sz w:val="24"/>
                <w:szCs w:val="24"/>
                <w:highlight w:val="none"/>
              </w:rPr>
              <w:t>危险废物贮存设施已配备通讯设备、照明设施和消防设施。</w:t>
            </w:r>
            <w:r>
              <w:rPr>
                <w:rFonts w:hint="default" w:ascii="Times New Roman" w:hAnsi="Times New Roman" w:eastAsia="宋体" w:cs="Times New Roman"/>
                <w:color w:val="auto"/>
                <w:sz w:val="24"/>
                <w:szCs w:val="24"/>
                <w:highlight w:val="none"/>
                <w:lang w:val="en-US" w:eastAsia="zh-CN"/>
              </w:rPr>
              <w:t>本项目的危险废物贮存设施或场所、容器和包装物按照HJ 1276 要求设置危险废物贮存设施或场所标志、危险废物贮存分区标志和危险废物标签等危险废物识别标志。已建设的危险废物贮存间内</w:t>
            </w:r>
            <w:r>
              <w:rPr>
                <w:rFonts w:hint="default" w:ascii="Times New Roman" w:hAnsi="Times New Roman" w:eastAsia="宋体" w:cs="Times New Roman"/>
                <w:color w:val="auto"/>
                <w:kern w:val="0"/>
                <w:sz w:val="24"/>
                <w:szCs w:val="24"/>
                <w:highlight w:val="none"/>
                <w:lang w:val="en-US" w:eastAsia="zh-CN" w:bidi="ar"/>
              </w:rPr>
              <w:t>不同贮存分区之间采取隔墙隔离措施，危险废物贮存间地面分区内地面、墙面裙脚、堵截泄漏的围堰、接触危险废物的隔板和墙体等已采用坚固的材料建造，表面无裂缝。贮存设施地面与裙脚采取表面防渗措施；表面防渗材料采用抗渗混凝土和高密度聚乙烯膜材料（渗透系数不大于 10</w:t>
            </w:r>
            <w:r>
              <w:rPr>
                <w:rFonts w:hint="default" w:ascii="Times New Roman" w:hAnsi="Times New Roman" w:eastAsia="宋体" w:cs="Times New Roman"/>
                <w:color w:val="auto"/>
                <w:kern w:val="0"/>
                <w:sz w:val="24"/>
                <w:szCs w:val="24"/>
                <w:highlight w:val="none"/>
                <w:vertAlign w:val="superscript"/>
                <w:lang w:val="en-US" w:eastAsia="zh-CN" w:bidi="ar"/>
              </w:rPr>
              <w:t xml:space="preserve">-7 </w:t>
            </w:r>
            <w:r>
              <w:rPr>
                <w:rFonts w:hint="default" w:ascii="Times New Roman" w:hAnsi="Times New Roman" w:eastAsia="宋体" w:cs="Times New Roman"/>
                <w:color w:val="auto"/>
                <w:kern w:val="0"/>
                <w:sz w:val="24"/>
                <w:szCs w:val="24"/>
                <w:highlight w:val="none"/>
                <w:lang w:val="en-US" w:eastAsia="zh-CN" w:bidi="ar"/>
              </w:rPr>
              <w:t>cm/s）</w:t>
            </w:r>
            <w:r>
              <w:rPr>
                <w:rFonts w:hint="eastAsia" w:cs="Times New Roman"/>
                <w:color w:val="auto"/>
                <w:kern w:val="0"/>
                <w:sz w:val="24"/>
                <w:szCs w:val="24"/>
                <w:highlight w:val="none"/>
                <w:lang w:val="en-US" w:eastAsia="zh-CN" w:bidi="ar"/>
              </w:rPr>
              <w:t>。</w:t>
            </w:r>
          </w:p>
          <w:p w14:paraId="23B25944">
            <w:pPr>
              <w:spacing w:line="360" w:lineRule="auto"/>
              <w:ind w:firstLine="480"/>
              <w:rPr>
                <w:sz w:val="24"/>
                <w:highlight w:val="none"/>
              </w:rPr>
            </w:pPr>
            <w:r>
              <w:rPr>
                <w:rFonts w:hint="default" w:ascii="Times New Roman" w:hAnsi="Times New Roman" w:eastAsia="宋体" w:cs="Times New Roman"/>
                <w:color w:val="auto"/>
                <w:kern w:val="0"/>
                <w:sz w:val="24"/>
                <w:szCs w:val="24"/>
                <w:highlight w:val="none"/>
                <w:lang w:val="en-US" w:eastAsia="zh-CN" w:bidi="ar"/>
              </w:rPr>
              <w:t>②</w:t>
            </w:r>
            <w:r>
              <w:rPr>
                <w:rFonts w:hint="eastAsia"/>
                <w:sz w:val="24"/>
                <w:highlight w:val="none"/>
              </w:rPr>
              <w:t>运输过程的环境影响分析</w:t>
            </w:r>
          </w:p>
          <w:p w14:paraId="1AC5F9E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本项目的</w:t>
            </w:r>
            <w:r>
              <w:rPr>
                <w:rFonts w:hint="default" w:ascii="Times New Roman" w:hAnsi="Times New Roman" w:eastAsia="宋体" w:cs="Times New Roman"/>
                <w:color w:val="auto"/>
                <w:sz w:val="24"/>
                <w:highlight w:val="none"/>
              </w:rPr>
              <w:t>危险废物运输</w:t>
            </w:r>
            <w:r>
              <w:rPr>
                <w:rFonts w:hint="eastAsia" w:ascii="Times New Roman" w:hAnsi="Times New Roman" w:eastAsia="宋体" w:cs="Times New Roman"/>
                <w:color w:val="auto"/>
                <w:sz w:val="24"/>
                <w:highlight w:val="none"/>
                <w:lang w:val="en-US" w:eastAsia="zh-CN"/>
              </w:rPr>
              <w:t>已</w:t>
            </w:r>
            <w:r>
              <w:rPr>
                <w:rFonts w:hint="default" w:ascii="Times New Roman" w:hAnsi="Times New Roman" w:eastAsia="宋体" w:cs="Times New Roman"/>
                <w:color w:val="auto"/>
                <w:sz w:val="24"/>
                <w:highlight w:val="none"/>
              </w:rPr>
              <w:t>委托有资质的危险废物处置单位进行运输，建设单位配合运输单位员工进行危险废物中转作业，中转装卸及运输过程</w:t>
            </w:r>
            <w:r>
              <w:rPr>
                <w:rFonts w:hint="eastAsia" w:ascii="Times New Roman" w:hAnsi="Times New Roman" w:eastAsia="宋体" w:cs="Times New Roman"/>
                <w:color w:val="auto"/>
                <w:sz w:val="24"/>
                <w:highlight w:val="none"/>
                <w:lang w:val="en-US" w:eastAsia="zh-CN"/>
              </w:rPr>
              <w:t>的</w:t>
            </w:r>
            <w:r>
              <w:rPr>
                <w:rFonts w:hint="default" w:ascii="Times New Roman" w:hAnsi="Times New Roman" w:eastAsia="宋体" w:cs="Times New Roman"/>
                <w:color w:val="auto"/>
                <w:sz w:val="24"/>
                <w:highlight w:val="none"/>
              </w:rPr>
              <w:t>工作人员熟悉危险废物的属性，并配备适当的个人防护装备，装卸剧毒废物应配备特殊的防护装备。</w:t>
            </w:r>
          </w:p>
          <w:p w14:paraId="7E2ECD6E">
            <w:pPr>
              <w:spacing w:line="360" w:lineRule="auto"/>
              <w:ind w:firstLine="480"/>
              <w:rPr>
                <w:sz w:val="24"/>
                <w:highlight w:val="none"/>
              </w:rPr>
            </w:pPr>
            <w:r>
              <w:rPr>
                <w:rFonts w:hint="default" w:ascii="Times New Roman" w:hAnsi="Times New Roman" w:eastAsia="宋体" w:cs="Times New Roman"/>
                <w:color w:val="auto"/>
                <w:sz w:val="24"/>
                <w:highlight w:val="none"/>
              </w:rPr>
              <w:t>装卸区</w:t>
            </w:r>
            <w:r>
              <w:rPr>
                <w:rFonts w:hint="eastAsia" w:ascii="Times New Roman" w:hAnsi="Times New Roman" w:eastAsia="宋体" w:cs="Times New Roman"/>
                <w:color w:val="auto"/>
                <w:sz w:val="24"/>
                <w:highlight w:val="none"/>
                <w:lang w:val="en-US" w:eastAsia="zh-CN"/>
              </w:rPr>
              <w:t>已</w:t>
            </w:r>
            <w:r>
              <w:rPr>
                <w:rFonts w:hint="default" w:ascii="Times New Roman" w:hAnsi="Times New Roman" w:eastAsia="宋体" w:cs="Times New Roman"/>
                <w:color w:val="auto"/>
                <w:sz w:val="24"/>
                <w:highlight w:val="none"/>
              </w:rPr>
              <w:t>配备必要的消防设备和设施，并设置明显的指示标志。危险废物装卸区</w:t>
            </w:r>
            <w:r>
              <w:rPr>
                <w:rFonts w:hint="eastAsia" w:ascii="Times New Roman" w:hAnsi="Times New Roman" w:eastAsia="宋体" w:cs="Times New Roman"/>
                <w:color w:val="auto"/>
                <w:sz w:val="24"/>
                <w:highlight w:val="none"/>
                <w:lang w:val="en-US" w:eastAsia="zh-CN"/>
              </w:rPr>
              <w:t>已</w:t>
            </w:r>
            <w:r>
              <w:rPr>
                <w:rFonts w:hint="default" w:ascii="Times New Roman" w:hAnsi="Times New Roman" w:eastAsia="宋体" w:cs="Times New Roman"/>
                <w:color w:val="auto"/>
                <w:sz w:val="24"/>
                <w:highlight w:val="none"/>
              </w:rPr>
              <w:t>设置必要的隔离设施。</w:t>
            </w:r>
            <w:r>
              <w:rPr>
                <w:rFonts w:hint="eastAsia" w:ascii="Times New Roman" w:hAnsi="Times New Roman" w:eastAsia="宋体" w:cs="Times New Roman"/>
                <w:color w:val="auto"/>
                <w:sz w:val="24"/>
                <w:highlight w:val="none"/>
                <w:lang w:val="en-US" w:eastAsia="zh-CN"/>
              </w:rPr>
              <w:t>危险废物贮存间在本厂区的运输环境影响可接受</w:t>
            </w:r>
            <w:r>
              <w:rPr>
                <w:sz w:val="24"/>
                <w:highlight w:val="none"/>
              </w:rPr>
              <w:t>。</w:t>
            </w:r>
          </w:p>
          <w:p w14:paraId="064BE536">
            <w:pPr>
              <w:spacing w:line="360" w:lineRule="auto"/>
              <w:ind w:firstLine="480"/>
              <w:rPr>
                <w:rFonts w:hint="eastAsia" w:ascii="Times New Roman" w:hAnsi="Times New Roman" w:eastAsia="宋体" w:cs="Times New Roman"/>
                <w:sz w:val="24"/>
                <w:highlight w:val="none"/>
              </w:rPr>
            </w:pPr>
            <w:r>
              <w:rPr>
                <w:rFonts w:hint="default" w:ascii="Times New Roman" w:hAnsi="Times New Roman" w:eastAsia="宋体" w:cs="Times New Roman"/>
                <w:sz w:val="24"/>
                <w:highlight w:val="none"/>
                <w:lang w:val="en-US" w:eastAsia="zh-CN"/>
              </w:rPr>
              <w:t>③</w:t>
            </w:r>
            <w:r>
              <w:rPr>
                <w:rFonts w:hint="eastAsia" w:ascii="Times New Roman" w:hAnsi="Times New Roman" w:eastAsia="宋体" w:cs="Times New Roman"/>
                <w:sz w:val="24"/>
                <w:highlight w:val="none"/>
              </w:rPr>
              <w:t>委托利用或者处置的环境影响分析</w:t>
            </w:r>
          </w:p>
          <w:p w14:paraId="0A8D6658">
            <w:pPr>
              <w:spacing w:line="360" w:lineRule="auto"/>
              <w:ind w:firstLine="480"/>
              <w:rPr>
                <w:rFonts w:hint="eastAsia"/>
                <w:sz w:val="24"/>
                <w:highlight w:val="none"/>
              </w:rPr>
            </w:pPr>
            <w:r>
              <w:rPr>
                <w:rFonts w:hint="eastAsia"/>
                <w:sz w:val="24"/>
                <w:highlight w:val="none"/>
              </w:rPr>
              <w:t>本项目产生的废</w:t>
            </w:r>
            <w:r>
              <w:rPr>
                <w:rFonts w:hint="eastAsia"/>
                <w:sz w:val="24"/>
                <w:highlight w:val="none"/>
                <w:lang w:val="en-US" w:eastAsia="zh-CN"/>
              </w:rPr>
              <w:t>润滑</w:t>
            </w:r>
            <w:r>
              <w:rPr>
                <w:rFonts w:hint="eastAsia"/>
                <w:sz w:val="24"/>
                <w:highlight w:val="none"/>
              </w:rPr>
              <w:t>油、废</w:t>
            </w:r>
            <w:r>
              <w:rPr>
                <w:rFonts w:hint="eastAsia"/>
                <w:sz w:val="24"/>
                <w:highlight w:val="none"/>
                <w:lang w:val="en-US" w:eastAsia="zh-CN"/>
              </w:rPr>
              <w:t>润滑</w:t>
            </w:r>
            <w:r>
              <w:rPr>
                <w:rFonts w:hint="eastAsia"/>
                <w:sz w:val="24"/>
                <w:highlight w:val="none"/>
              </w:rPr>
              <w:t>油桶作为危险废物分类收集暂存于危险废物贮存间内，定期交</w:t>
            </w:r>
            <w:r>
              <w:rPr>
                <w:rFonts w:hint="eastAsia" w:ascii="Times New Roman" w:hAnsi="Times New Roman" w:eastAsia="宋体" w:cs="Times New Roman"/>
                <w:sz w:val="24"/>
                <w:highlight w:val="none"/>
              </w:rPr>
              <w:t>由承德双然环保科技有限公司转移、</w:t>
            </w:r>
            <w:r>
              <w:rPr>
                <w:rFonts w:hint="eastAsia"/>
                <w:sz w:val="24"/>
                <w:highlight w:val="none"/>
              </w:rPr>
              <w:t>处置。</w:t>
            </w:r>
          </w:p>
          <w:p w14:paraId="7B0DBF5B">
            <w:pPr>
              <w:spacing w:line="360" w:lineRule="auto"/>
              <w:ind w:firstLine="480"/>
              <w:rPr>
                <w:rFonts w:hint="eastAsia"/>
                <w:sz w:val="24"/>
                <w:highlight w:val="none"/>
              </w:rPr>
            </w:pPr>
            <w:r>
              <w:rPr>
                <w:rFonts w:hint="eastAsia"/>
                <w:sz w:val="24"/>
                <w:highlight w:val="none"/>
              </w:rPr>
              <w:t>承德泓辉双合淀粉</w:t>
            </w:r>
            <w:r>
              <w:rPr>
                <w:rFonts w:hint="eastAsia"/>
                <w:sz w:val="24"/>
                <w:highlight w:val="none"/>
                <w:lang w:val="en-US" w:eastAsia="zh-CN"/>
              </w:rPr>
              <w:t>有</w:t>
            </w:r>
            <w:r>
              <w:rPr>
                <w:rFonts w:hint="eastAsia"/>
                <w:sz w:val="24"/>
                <w:highlight w:val="none"/>
              </w:rPr>
              <w:t>限公司已针对现有危险废物和</w:t>
            </w:r>
            <w:r>
              <w:rPr>
                <w:rFonts w:hint="eastAsia" w:ascii="Times New Roman" w:hAnsi="Times New Roman" w:eastAsia="宋体" w:cs="Times New Roman"/>
                <w:sz w:val="24"/>
                <w:highlight w:val="none"/>
              </w:rPr>
              <w:t>承德双然环保科技有限公司</w:t>
            </w:r>
            <w:r>
              <w:rPr>
                <w:rFonts w:hint="eastAsia"/>
                <w:sz w:val="24"/>
                <w:highlight w:val="none"/>
              </w:rPr>
              <w:t>签署危险废物委托运输合同（见附件）。</w:t>
            </w:r>
          </w:p>
          <w:p w14:paraId="3A66E3CE">
            <w:pPr>
              <w:spacing w:line="360" w:lineRule="auto"/>
              <w:ind w:firstLine="480"/>
              <w:rPr>
                <w:sz w:val="24"/>
                <w:highlight w:val="none"/>
              </w:rPr>
            </w:pPr>
            <w:r>
              <w:rPr>
                <w:rFonts w:hint="eastAsia"/>
                <w:sz w:val="24"/>
                <w:highlight w:val="none"/>
              </w:rPr>
              <w:t>本项目产生的废</w:t>
            </w:r>
            <w:r>
              <w:rPr>
                <w:rFonts w:hint="eastAsia"/>
                <w:sz w:val="24"/>
                <w:highlight w:val="none"/>
                <w:lang w:val="en-US" w:eastAsia="zh-CN"/>
              </w:rPr>
              <w:t>润滑</w:t>
            </w:r>
            <w:r>
              <w:rPr>
                <w:rFonts w:hint="eastAsia"/>
                <w:sz w:val="24"/>
                <w:highlight w:val="none"/>
              </w:rPr>
              <w:t>油及废</w:t>
            </w:r>
            <w:r>
              <w:rPr>
                <w:rFonts w:hint="eastAsia"/>
                <w:sz w:val="24"/>
                <w:highlight w:val="none"/>
                <w:lang w:val="en-US" w:eastAsia="zh-CN"/>
              </w:rPr>
              <w:t>润滑</w:t>
            </w:r>
            <w:r>
              <w:rPr>
                <w:rFonts w:hint="eastAsia"/>
                <w:sz w:val="24"/>
                <w:highlight w:val="none"/>
              </w:rPr>
              <w:t>油桶作为危险废物分类收集暂存于危险废物贮存间内，定期交由</w:t>
            </w:r>
            <w:r>
              <w:rPr>
                <w:rFonts w:hint="eastAsia" w:ascii="Times New Roman" w:hAnsi="Times New Roman" w:eastAsia="宋体" w:cs="Times New Roman"/>
                <w:sz w:val="24"/>
                <w:highlight w:val="none"/>
              </w:rPr>
              <w:t>承德双然环保科技有限公司</w:t>
            </w:r>
            <w:r>
              <w:rPr>
                <w:rFonts w:hint="eastAsia" w:ascii="Times New Roman" w:hAnsi="Times New Roman" w:eastAsia="宋体" w:cs="Times New Roman"/>
                <w:sz w:val="24"/>
                <w:highlight w:val="none"/>
                <w:lang w:val="en-US" w:eastAsia="zh-CN"/>
              </w:rPr>
              <w:t>处理，</w:t>
            </w:r>
            <w:r>
              <w:rPr>
                <w:rFonts w:hint="eastAsia"/>
                <w:bCs/>
                <w:sz w:val="24"/>
                <w:highlight w:val="none"/>
              </w:rPr>
              <w:t>承德双然环保科技有限公司，经承德市生态环境局以【2022】-174号文件同意，作为危险废物收集试点延续运营，试点单位编号：承危收试202101号</w:t>
            </w:r>
            <w:r>
              <w:rPr>
                <w:rFonts w:hint="eastAsia"/>
                <w:sz w:val="24"/>
                <w:highlight w:val="none"/>
              </w:rPr>
              <w:t>。</w:t>
            </w:r>
          </w:p>
          <w:p w14:paraId="17057B1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bookmarkStart w:id="19" w:name="OLE_LINK16"/>
            <w:r>
              <w:rPr>
                <w:rFonts w:hint="eastAsia"/>
                <w:bCs/>
                <w:sz w:val="24"/>
                <w:highlight w:val="none"/>
              </w:rPr>
              <w:t>承德双然环保科技有限公司</w:t>
            </w:r>
            <w:bookmarkEnd w:id="19"/>
            <w:r>
              <w:rPr>
                <w:rFonts w:hint="eastAsia" w:ascii="Times New Roman" w:hAnsi="Times New Roman" w:eastAsia="宋体" w:cs="Times New Roman"/>
                <w:color w:val="000000" w:themeColor="text1"/>
                <w:sz w:val="24"/>
                <w:highlight w:val="none"/>
                <w14:textFill>
                  <w14:solidFill>
                    <w14:schemeClr w14:val="tx1"/>
                  </w14:solidFill>
                </w14:textFill>
              </w:rPr>
              <w:t>年度核准经营规模为：</w:t>
            </w:r>
            <w:r>
              <w:rPr>
                <w:rFonts w:hint="eastAsia"/>
                <w:bCs/>
                <w:sz w:val="24"/>
                <w:highlight w:val="none"/>
              </w:rPr>
              <w:t>经营类别包括：HW03废药物、药品；HW04农药废物；HW05木材防腐剂废物；HW06废有机溶剂与含有机溶剂废物；HW08废矿物油与含矿物油废物（</w:t>
            </w:r>
            <w:r>
              <w:rPr>
                <w:rFonts w:hint="eastAsia"/>
                <w:bCs/>
                <w:sz w:val="24"/>
                <w:highlight w:val="none"/>
                <w:u w:val="single"/>
              </w:rPr>
              <w:t>可处理本项目废润滑油900-217-08、废油桶900-249-08</w:t>
            </w:r>
            <w:r>
              <w:rPr>
                <w:rFonts w:hint="eastAsia"/>
                <w:bCs/>
                <w:sz w:val="24"/>
                <w:highlight w:val="none"/>
              </w:rPr>
              <w:t>）；HW09油/水、烃/水混合物或乳化液；HW11精（蒸）馏残渣；HW12染料、涂料废物；HW13有机树脂类废物；HW16感光材料废物；HW17表面处理废物；HW21含铬废物；HW22含铜废物；HW23含锌废物；HW29含汞废物；HW34废酸；HW35废碱；HW36石棉废物；HW37有机磷化合物废物；HW46含镍废物；HW48有色金属采矿和冶炼废物；HW49其他废物（</w:t>
            </w:r>
            <w:r>
              <w:rPr>
                <w:rFonts w:hint="eastAsia"/>
                <w:bCs/>
                <w:sz w:val="24"/>
                <w:highlight w:val="none"/>
                <w:u w:val="single"/>
              </w:rPr>
              <w:t>可处理本项目废弃的含油抹布、劳保用品900-</w:t>
            </w:r>
            <w:r>
              <w:rPr>
                <w:bCs/>
                <w:sz w:val="24"/>
                <w:highlight w:val="none"/>
                <w:u w:val="single"/>
              </w:rPr>
              <w:t>041-49</w:t>
            </w:r>
            <w:r>
              <w:rPr>
                <w:rFonts w:hint="eastAsia"/>
                <w:bCs/>
                <w:sz w:val="24"/>
                <w:highlight w:val="none"/>
              </w:rPr>
              <w:t>）；HW50废催化剂。收集经营规模：22000吨/年（HW08类12000吨/年、其他类危废10000吨/年）。承德双然环保科技有限公司与万德斯(唐山曹妃甸)环保科技有限公司签订了危险废物处置合同，承德双然环保科技有限公司试点收集的危险废物委托万德斯(唐山曹妃甸)环保科技有限公司进行无害化处置</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w:t>
            </w:r>
          </w:p>
          <w:p w14:paraId="4D6450E2">
            <w:pPr>
              <w:spacing w:line="360" w:lineRule="auto"/>
              <w:ind w:firstLine="480"/>
              <w:rPr>
                <w:sz w:val="24"/>
                <w:highlight w:val="none"/>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综上，</w:t>
            </w:r>
            <w:r>
              <w:rPr>
                <w:rFonts w:hint="eastAsia"/>
                <w:bCs/>
                <w:sz w:val="24"/>
                <w:highlight w:val="none"/>
              </w:rPr>
              <w:t>承德双然环保科技有限公司</w:t>
            </w:r>
            <w:r>
              <w:rPr>
                <w:rFonts w:hint="eastAsia" w:ascii="Times New Roman" w:hAnsi="Times New Roman" w:eastAsia="宋体" w:cs="Times New Roman"/>
                <w:color w:val="000000" w:themeColor="text1"/>
                <w:sz w:val="24"/>
                <w:highlight w:val="none"/>
                <w14:textFill>
                  <w14:solidFill>
                    <w14:schemeClr w14:val="tx1"/>
                  </w14:solidFill>
                </w14:textFill>
              </w:rPr>
              <w:t>可处理本项目废</w:t>
            </w:r>
            <w:r>
              <w:rPr>
                <w:rFonts w:hint="eastAsia" w:cs="Times New Roman"/>
                <w:color w:val="000000" w:themeColor="text1"/>
                <w:sz w:val="24"/>
                <w:highlight w:val="none"/>
                <w:lang w:val="en-US" w:eastAsia="zh-CN"/>
                <w14:textFill>
                  <w14:solidFill>
                    <w14:schemeClr w14:val="tx1"/>
                  </w14:solidFill>
                </w14:textFill>
              </w:rPr>
              <w:t>润滑</w:t>
            </w:r>
            <w:r>
              <w:rPr>
                <w:rFonts w:hint="eastAsia" w:ascii="Times New Roman" w:hAnsi="Times New Roman" w:eastAsia="宋体" w:cs="Times New Roman"/>
                <w:color w:val="000000" w:themeColor="text1"/>
                <w:sz w:val="24"/>
                <w:highlight w:val="none"/>
                <w14:textFill>
                  <w14:solidFill>
                    <w14:schemeClr w14:val="tx1"/>
                  </w14:solidFill>
                </w14:textFill>
              </w:rPr>
              <w:t>油900-2</w:t>
            </w:r>
            <w:r>
              <w:rPr>
                <w:rFonts w:hint="eastAsia" w:cs="Times New Roman"/>
                <w:color w:val="000000" w:themeColor="text1"/>
                <w:sz w:val="24"/>
                <w:highlight w:val="none"/>
                <w:lang w:val="en-US" w:eastAsia="zh-CN"/>
                <w14:textFill>
                  <w14:solidFill>
                    <w14:schemeClr w14:val="tx1"/>
                  </w14:solidFill>
                </w14:textFill>
              </w:rPr>
              <w:t>14</w:t>
            </w:r>
            <w:r>
              <w:rPr>
                <w:rFonts w:hint="eastAsia" w:ascii="Times New Roman" w:hAnsi="Times New Roman" w:eastAsia="宋体" w:cs="Times New Roman"/>
                <w:color w:val="000000" w:themeColor="text1"/>
                <w:sz w:val="24"/>
                <w:highlight w:val="none"/>
                <w14:textFill>
                  <w14:solidFill>
                    <w14:schemeClr w14:val="tx1"/>
                  </w14:solidFill>
                </w14:textFill>
              </w:rPr>
              <w:t>-08、废</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润滑</w:t>
            </w:r>
            <w:r>
              <w:rPr>
                <w:rFonts w:hint="eastAsia" w:ascii="Times New Roman" w:hAnsi="Times New Roman" w:eastAsia="宋体" w:cs="Times New Roman"/>
                <w:color w:val="000000" w:themeColor="text1"/>
                <w:sz w:val="24"/>
                <w:highlight w:val="none"/>
                <w14:textFill>
                  <w14:solidFill>
                    <w14:schemeClr w14:val="tx1"/>
                  </w14:solidFill>
                </w14:textFill>
              </w:rPr>
              <w:t>油桶900-249-08。</w:t>
            </w:r>
            <w:r>
              <w:rPr>
                <w:rFonts w:ascii="宋体" w:hAnsi="宋体" w:eastAsia="宋体" w:cs="宋体"/>
                <w:sz w:val="24"/>
                <w:szCs w:val="24"/>
                <w:highlight w:val="none"/>
              </w:rPr>
              <w:t>故本项目危险废物可以委托</w:t>
            </w:r>
            <w:r>
              <w:rPr>
                <w:rFonts w:hint="eastAsia"/>
                <w:bCs/>
                <w:sz w:val="24"/>
                <w:highlight w:val="none"/>
              </w:rPr>
              <w:t>承德双然环保科技有限公司</w:t>
            </w:r>
            <w:r>
              <w:rPr>
                <w:rFonts w:ascii="宋体" w:hAnsi="宋体" w:eastAsia="宋体" w:cs="宋体"/>
                <w:sz w:val="24"/>
                <w:szCs w:val="24"/>
                <w:highlight w:val="none"/>
              </w:rPr>
              <w:t>处置可行</w:t>
            </w:r>
            <w:r>
              <w:rPr>
                <w:rFonts w:hint="eastAsia"/>
                <w:sz w:val="24"/>
                <w:highlight w:val="none"/>
              </w:rPr>
              <w:t>。</w:t>
            </w:r>
          </w:p>
          <w:p w14:paraId="75109126">
            <w:pPr>
              <w:spacing w:line="360" w:lineRule="auto"/>
              <w:ind w:firstLine="480"/>
              <w:rPr>
                <w:rFonts w:ascii="宋体" w:hAnsi="宋体" w:eastAsia="宋体" w:cs="宋体"/>
                <w:sz w:val="24"/>
                <w:szCs w:val="24"/>
                <w:highlight w:val="none"/>
              </w:rPr>
            </w:pPr>
            <w:r>
              <w:rPr>
                <w:rFonts w:hint="eastAsia" w:ascii="宋体" w:hAnsi="宋体" w:eastAsia="宋体" w:cs="宋体"/>
                <w:sz w:val="24"/>
                <w:szCs w:val="24"/>
                <w:highlight w:val="none"/>
              </w:rPr>
              <w:t>④危险废物收集、储存、转运过程应急预案</w:t>
            </w:r>
          </w:p>
          <w:p w14:paraId="43F83D9A">
            <w:pPr>
              <w:spacing w:line="360" w:lineRule="auto"/>
              <w:ind w:firstLine="480"/>
              <w:rPr>
                <w:sz w:val="24"/>
                <w:highlight w:val="none"/>
              </w:rPr>
            </w:pPr>
            <w:r>
              <w:rPr>
                <w:sz w:val="24"/>
                <w:highlight w:val="none"/>
              </w:rPr>
              <w:t>危险废物收集、储存、转运过程应编制相应的应急预案，应急预案的编制可参照《危险废物经营单位编制应急预案指南》，针对危险废物收集、储运、中转过程产生的事故易发环节应定期组织应急演练。</w:t>
            </w:r>
          </w:p>
          <w:p w14:paraId="292AC095">
            <w:pPr>
              <w:spacing w:line="360" w:lineRule="auto"/>
              <w:ind w:firstLine="480"/>
              <w:rPr>
                <w:sz w:val="24"/>
                <w:highlight w:val="none"/>
              </w:rPr>
            </w:pPr>
            <w:r>
              <w:rPr>
                <w:sz w:val="24"/>
                <w:highlight w:val="none"/>
              </w:rPr>
              <w:t>危险废物收集、储运、中转过程一旦发生意外事故，建设单位应根据风险应急预案立即采取如下措施：</w:t>
            </w:r>
          </w:p>
          <w:p w14:paraId="681E367A">
            <w:pPr>
              <w:spacing w:line="360" w:lineRule="auto"/>
              <w:ind w:firstLine="480"/>
              <w:rPr>
                <w:sz w:val="24"/>
                <w:highlight w:val="none"/>
              </w:rPr>
            </w:pPr>
            <w:r>
              <w:rPr>
                <w:sz w:val="24"/>
                <w:highlight w:val="none"/>
              </w:rPr>
              <w:t>A</w:t>
            </w:r>
            <w:r>
              <w:rPr>
                <w:rFonts w:hint="eastAsia"/>
                <w:sz w:val="24"/>
                <w:highlight w:val="none"/>
              </w:rPr>
              <w:t>、</w:t>
            </w:r>
            <w:r>
              <w:rPr>
                <w:sz w:val="24"/>
                <w:highlight w:val="none"/>
              </w:rPr>
              <w:t>设立事故警戒线，启动应急预案，并按要求向</w:t>
            </w:r>
            <w:r>
              <w:rPr>
                <w:rFonts w:hint="eastAsia"/>
                <w:sz w:val="24"/>
                <w:highlight w:val="none"/>
              </w:rPr>
              <w:t>生态环境</w:t>
            </w:r>
            <w:r>
              <w:rPr>
                <w:sz w:val="24"/>
                <w:highlight w:val="none"/>
              </w:rPr>
              <w:t>主管部门进行报告。</w:t>
            </w:r>
          </w:p>
          <w:p w14:paraId="0D489C55">
            <w:pPr>
              <w:spacing w:line="360" w:lineRule="auto"/>
              <w:ind w:firstLine="480"/>
              <w:rPr>
                <w:sz w:val="24"/>
                <w:highlight w:val="none"/>
              </w:rPr>
            </w:pPr>
            <w:r>
              <w:rPr>
                <w:sz w:val="24"/>
                <w:highlight w:val="none"/>
              </w:rPr>
              <w:t>B</w:t>
            </w:r>
            <w:r>
              <w:rPr>
                <w:rFonts w:hint="eastAsia"/>
                <w:sz w:val="24"/>
                <w:highlight w:val="none"/>
              </w:rPr>
              <w:t>、</w:t>
            </w:r>
            <w:r>
              <w:rPr>
                <w:sz w:val="24"/>
                <w:highlight w:val="none"/>
              </w:rPr>
              <w:t>对事故受到污染的土壤和水体等进行相应的清理和修复。</w:t>
            </w:r>
          </w:p>
          <w:p w14:paraId="14B227FD">
            <w:pPr>
              <w:spacing w:line="360" w:lineRule="auto"/>
              <w:ind w:firstLine="480"/>
              <w:rPr>
                <w:sz w:val="24"/>
                <w:highlight w:val="none"/>
              </w:rPr>
            </w:pPr>
            <w:r>
              <w:rPr>
                <w:sz w:val="24"/>
                <w:highlight w:val="none"/>
              </w:rPr>
              <w:t>C</w:t>
            </w:r>
            <w:r>
              <w:rPr>
                <w:rFonts w:hint="eastAsia"/>
                <w:sz w:val="24"/>
                <w:highlight w:val="none"/>
              </w:rPr>
              <w:t>、</w:t>
            </w:r>
            <w:r>
              <w:rPr>
                <w:sz w:val="24"/>
                <w:highlight w:val="none"/>
              </w:rPr>
              <w:t>清理过程产生的所有废物均应按危险废物进行管理和处置。</w:t>
            </w:r>
          </w:p>
          <w:p w14:paraId="263B6F56">
            <w:pPr>
              <w:spacing w:line="360" w:lineRule="auto"/>
              <w:ind w:firstLine="480"/>
              <w:rPr>
                <w:rFonts w:hint="eastAsia"/>
                <w:b/>
                <w:sz w:val="24"/>
                <w:highlight w:val="none"/>
              </w:rPr>
            </w:pPr>
            <w:r>
              <w:rPr>
                <w:sz w:val="24"/>
                <w:highlight w:val="none"/>
              </w:rPr>
              <w:t>D</w:t>
            </w:r>
            <w:r>
              <w:rPr>
                <w:rFonts w:hint="eastAsia"/>
                <w:sz w:val="24"/>
                <w:highlight w:val="none"/>
              </w:rPr>
              <w:t>、</w:t>
            </w:r>
            <w:r>
              <w:rPr>
                <w:sz w:val="24"/>
                <w:highlight w:val="none"/>
              </w:rPr>
              <w:t>进入现场清理和包装危险废物的人员应受过专业培训，穿着防护服，佩戴防护用具。</w:t>
            </w:r>
          </w:p>
          <w:p w14:paraId="24E7435B">
            <w:pPr>
              <w:spacing w:line="360" w:lineRule="auto"/>
              <w:ind w:firstLine="480"/>
              <w:rPr>
                <w:b/>
                <w:sz w:val="24"/>
                <w:highlight w:val="none"/>
              </w:rPr>
            </w:pPr>
            <w:r>
              <w:rPr>
                <w:rFonts w:hint="eastAsia"/>
                <w:b/>
                <w:sz w:val="24"/>
                <w:highlight w:val="none"/>
              </w:rPr>
              <w:t>（</w:t>
            </w:r>
            <w:r>
              <w:rPr>
                <w:rFonts w:hint="eastAsia"/>
                <w:b/>
                <w:sz w:val="24"/>
                <w:highlight w:val="none"/>
                <w:lang w:val="en-US" w:eastAsia="zh-CN"/>
              </w:rPr>
              <w:t>4</w:t>
            </w:r>
            <w:r>
              <w:rPr>
                <w:rFonts w:hint="eastAsia"/>
                <w:b/>
                <w:sz w:val="24"/>
                <w:highlight w:val="none"/>
              </w:rPr>
              <w:t>）固体废物环境管理要求</w:t>
            </w:r>
          </w:p>
          <w:p w14:paraId="67483307">
            <w:pPr>
              <w:spacing w:line="360" w:lineRule="auto"/>
              <w:ind w:firstLine="48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一般工业固废储存场所建设应符合《一般工业固体废物贮存</w:t>
            </w:r>
            <w:r>
              <w:rPr>
                <w:rFonts w:hint="eastAsia" w:ascii="Times New Roman" w:hAnsi="Times New Roman" w:eastAsia="宋体" w:cs="Times New Roman"/>
                <w:sz w:val="24"/>
                <w:highlight w:val="none"/>
              </w:rPr>
              <w:t>和填埋</w:t>
            </w:r>
            <w:r>
              <w:rPr>
                <w:rFonts w:hint="default" w:ascii="Times New Roman" w:hAnsi="Times New Roman" w:eastAsia="宋体" w:cs="Times New Roman"/>
                <w:sz w:val="24"/>
                <w:highlight w:val="none"/>
              </w:rPr>
              <w:t>污染控制标准》（GB18599-2020）</w:t>
            </w:r>
            <w:r>
              <w:rPr>
                <w:rFonts w:hint="eastAsia" w:ascii="Times New Roman" w:hAnsi="Times New Roman" w:eastAsia="宋体" w:cs="Times New Roman"/>
                <w:sz w:val="24"/>
                <w:highlight w:val="none"/>
              </w:rPr>
              <w:t>的</w:t>
            </w:r>
            <w:r>
              <w:rPr>
                <w:rFonts w:hint="default" w:ascii="Times New Roman" w:hAnsi="Times New Roman" w:eastAsia="宋体" w:cs="Times New Roman"/>
                <w:sz w:val="24"/>
                <w:highlight w:val="none"/>
              </w:rPr>
              <w:t>要求。</w:t>
            </w:r>
          </w:p>
          <w:p w14:paraId="428A36B5">
            <w:pPr>
              <w:spacing w:line="360" w:lineRule="auto"/>
              <w:ind w:firstLine="480"/>
              <w:rPr>
                <w:b/>
                <w:bCs/>
                <w:sz w:val="24"/>
                <w:highlight w:val="none"/>
              </w:rPr>
            </w:pPr>
            <w:r>
              <w:rPr>
                <w:rFonts w:hint="eastAsia"/>
                <w:sz w:val="24"/>
                <w:highlight w:val="none"/>
              </w:rPr>
              <w:t>危险废物储存满足《危险废物贮存污染控制标准》（GB</w:t>
            </w:r>
            <w:r>
              <w:rPr>
                <w:sz w:val="24"/>
                <w:highlight w:val="none"/>
              </w:rPr>
              <w:t>18597-2023</w:t>
            </w:r>
            <w:r>
              <w:rPr>
                <w:rFonts w:hint="eastAsia"/>
                <w:sz w:val="24"/>
                <w:highlight w:val="none"/>
              </w:rPr>
              <w:t>）的</w:t>
            </w:r>
            <w:r>
              <w:rPr>
                <w:sz w:val="24"/>
                <w:highlight w:val="none"/>
              </w:rPr>
              <w:t>要求</w:t>
            </w:r>
            <w:r>
              <w:rPr>
                <w:rFonts w:hint="eastAsia"/>
                <w:sz w:val="24"/>
                <w:highlight w:val="none"/>
              </w:rPr>
              <w:t>。</w:t>
            </w:r>
          </w:p>
          <w:p w14:paraId="713BA96C">
            <w:pPr>
              <w:spacing w:line="360" w:lineRule="auto"/>
              <w:ind w:firstLine="480"/>
              <w:rPr>
                <w:sz w:val="24"/>
                <w:highlight w:val="none"/>
              </w:rPr>
            </w:pPr>
            <w:r>
              <w:rPr>
                <w:sz w:val="24"/>
                <w:highlight w:val="none"/>
              </w:rPr>
              <w:t>项目</w:t>
            </w:r>
            <w:r>
              <w:rPr>
                <w:rFonts w:hint="eastAsia"/>
                <w:sz w:val="24"/>
                <w:highlight w:val="none"/>
              </w:rPr>
              <w:t>运行阶段</w:t>
            </w:r>
            <w:r>
              <w:rPr>
                <w:sz w:val="24"/>
                <w:highlight w:val="none"/>
              </w:rPr>
              <w:t>固体废物的产生、贮存、利用和处置全过程应严格遵守国家有关建设项目环境保护管理的规定。</w:t>
            </w:r>
          </w:p>
          <w:p w14:paraId="752059C0">
            <w:pPr>
              <w:spacing w:line="360" w:lineRule="auto"/>
              <w:ind w:firstLine="480"/>
              <w:rPr>
                <w:sz w:val="24"/>
                <w:highlight w:val="none"/>
              </w:rPr>
            </w:pPr>
            <w:r>
              <w:rPr>
                <w:sz w:val="24"/>
                <w:highlight w:val="none"/>
              </w:rPr>
              <w:t>项目</w:t>
            </w:r>
            <w:r>
              <w:rPr>
                <w:rFonts w:hint="eastAsia"/>
                <w:sz w:val="24"/>
                <w:highlight w:val="none"/>
              </w:rPr>
              <w:t>运行阶段</w:t>
            </w:r>
            <w:r>
              <w:rPr>
                <w:sz w:val="24"/>
                <w:highlight w:val="none"/>
              </w:rPr>
              <w:t>产生、收集、贮存、运输、利用、处置固体废物时，应当采取防扬散、防流失、防渗漏或者其他纺织污染环境的措施，不擅自倾倒、堆放、丢弃、遗撒固体废物；</w:t>
            </w:r>
          </w:p>
          <w:p w14:paraId="5AAD0E40">
            <w:pPr>
              <w:spacing w:line="360" w:lineRule="auto"/>
              <w:ind w:firstLine="480"/>
              <w:rPr>
                <w:sz w:val="24"/>
                <w:highlight w:val="none"/>
              </w:rPr>
            </w:pPr>
            <w:r>
              <w:rPr>
                <w:sz w:val="24"/>
                <w:highlight w:val="none"/>
              </w:rPr>
              <w:t>建设单位应当建立健全工业固体废物</w:t>
            </w:r>
            <w:r>
              <w:rPr>
                <w:rFonts w:hint="eastAsia"/>
                <w:sz w:val="24"/>
                <w:highlight w:val="none"/>
              </w:rPr>
              <w:t>和危险废物</w:t>
            </w:r>
            <w:r>
              <w:rPr>
                <w:sz w:val="24"/>
                <w:highlight w:val="none"/>
              </w:rPr>
              <w:t>产生、收集、贮存、运输、利用、处置全过程的污染环境</w:t>
            </w:r>
            <w:r>
              <w:rPr>
                <w:rFonts w:hint="eastAsia"/>
                <w:sz w:val="24"/>
                <w:highlight w:val="none"/>
              </w:rPr>
              <w:t>防治</w:t>
            </w:r>
            <w:r>
              <w:rPr>
                <w:sz w:val="24"/>
                <w:highlight w:val="none"/>
              </w:rPr>
              <w:t>责任制度，建立工业固体废物</w:t>
            </w:r>
            <w:r>
              <w:rPr>
                <w:rFonts w:hint="eastAsia"/>
                <w:sz w:val="24"/>
                <w:highlight w:val="none"/>
              </w:rPr>
              <w:t>和危险废物</w:t>
            </w:r>
            <w:r>
              <w:rPr>
                <w:sz w:val="24"/>
                <w:highlight w:val="none"/>
              </w:rPr>
              <w:t>管理台账，如实记录产生工业固体废物的种类、数量、流向、贮存、利用、处置等信息，实现工业固体废物</w:t>
            </w:r>
            <w:r>
              <w:rPr>
                <w:rFonts w:hint="eastAsia"/>
                <w:sz w:val="24"/>
                <w:highlight w:val="none"/>
              </w:rPr>
              <w:t>和危险废物</w:t>
            </w:r>
            <w:r>
              <w:rPr>
                <w:sz w:val="24"/>
                <w:highlight w:val="none"/>
              </w:rPr>
              <w:t>可追溯，可查询，并采取防治工业固体废物</w:t>
            </w:r>
            <w:r>
              <w:rPr>
                <w:rFonts w:hint="eastAsia"/>
                <w:sz w:val="24"/>
                <w:highlight w:val="none"/>
              </w:rPr>
              <w:t>和危险废物</w:t>
            </w:r>
            <w:r>
              <w:rPr>
                <w:sz w:val="24"/>
                <w:highlight w:val="none"/>
              </w:rPr>
              <w:t>污染环境的措施；</w:t>
            </w:r>
          </w:p>
          <w:p w14:paraId="4158CEAF">
            <w:pPr>
              <w:spacing w:line="360" w:lineRule="auto"/>
              <w:ind w:firstLine="480"/>
              <w:rPr>
                <w:sz w:val="24"/>
                <w:highlight w:val="none"/>
              </w:rPr>
            </w:pPr>
            <w:r>
              <w:rPr>
                <w:sz w:val="24"/>
                <w:highlight w:val="none"/>
              </w:rPr>
              <w:t>企业对收集、贮存、运输、处置一般工业固体废物</w:t>
            </w:r>
            <w:r>
              <w:rPr>
                <w:rFonts w:hint="eastAsia"/>
                <w:sz w:val="24"/>
                <w:highlight w:val="none"/>
              </w:rPr>
              <w:t>和危险废物</w:t>
            </w:r>
            <w:r>
              <w:rPr>
                <w:sz w:val="24"/>
                <w:highlight w:val="none"/>
              </w:rPr>
              <w:t>的设施、设备和场所，应当加强管理和维护，保证其正常运行和使用。</w:t>
            </w:r>
          </w:p>
          <w:p w14:paraId="56C8AE35">
            <w:pPr>
              <w:spacing w:line="360" w:lineRule="auto"/>
              <w:ind w:firstLine="480"/>
              <w:rPr>
                <w:sz w:val="24"/>
                <w:highlight w:val="none"/>
              </w:rPr>
            </w:pPr>
            <w:r>
              <w:rPr>
                <w:rFonts w:hint="eastAsia"/>
                <w:sz w:val="24"/>
                <w:highlight w:val="none"/>
              </w:rPr>
              <w:t>不</w:t>
            </w:r>
            <w:r>
              <w:rPr>
                <w:sz w:val="24"/>
                <w:highlight w:val="none"/>
              </w:rPr>
              <w:t>将生活垃圾与一般工业固体废物</w:t>
            </w:r>
            <w:r>
              <w:rPr>
                <w:rFonts w:hint="eastAsia"/>
                <w:sz w:val="24"/>
                <w:highlight w:val="none"/>
              </w:rPr>
              <w:t>、危险废物</w:t>
            </w:r>
            <w:r>
              <w:rPr>
                <w:sz w:val="24"/>
                <w:highlight w:val="none"/>
              </w:rPr>
              <w:t>混合处置。</w:t>
            </w:r>
          </w:p>
          <w:p w14:paraId="6B75B769">
            <w:pPr>
              <w:spacing w:line="360" w:lineRule="auto"/>
              <w:ind w:firstLine="480"/>
              <w:rPr>
                <w:rFonts w:hint="eastAsia" w:ascii="Times New Roman" w:hAnsi="Times New Roman" w:eastAsia="宋体" w:cs="Times New Roman"/>
                <w:sz w:val="24"/>
                <w:highlight w:val="none"/>
              </w:rPr>
            </w:pPr>
            <w:r>
              <w:rPr>
                <w:sz w:val="24"/>
                <w:highlight w:val="none"/>
              </w:rPr>
              <w:t>项目</w:t>
            </w:r>
            <w:r>
              <w:rPr>
                <w:rFonts w:hint="eastAsia"/>
                <w:sz w:val="24"/>
                <w:highlight w:val="none"/>
              </w:rPr>
              <w:t>运行阶段</w:t>
            </w:r>
            <w:r>
              <w:rPr>
                <w:sz w:val="24"/>
                <w:highlight w:val="none"/>
              </w:rPr>
              <w:t>需要终止生产的，应当事先对工业固体废物</w:t>
            </w:r>
            <w:r>
              <w:rPr>
                <w:rFonts w:hint="eastAsia"/>
                <w:sz w:val="24"/>
                <w:highlight w:val="none"/>
              </w:rPr>
              <w:t>和危险废物</w:t>
            </w:r>
            <w:r>
              <w:rPr>
                <w:sz w:val="24"/>
                <w:highlight w:val="none"/>
              </w:rPr>
              <w:t>的贮存、处置设施、场所采取污染防治措施，并对未处置的工业固体废物</w:t>
            </w:r>
            <w:r>
              <w:rPr>
                <w:rFonts w:hint="eastAsia"/>
                <w:sz w:val="24"/>
                <w:highlight w:val="none"/>
              </w:rPr>
              <w:t>和危险废物</w:t>
            </w:r>
            <w:r>
              <w:rPr>
                <w:sz w:val="24"/>
                <w:highlight w:val="none"/>
              </w:rPr>
              <w:t>作出妥善处置，防止污染环境</w:t>
            </w:r>
            <w:r>
              <w:rPr>
                <w:rFonts w:hint="eastAsia" w:ascii="Times New Roman" w:hAnsi="Times New Roman" w:eastAsia="宋体" w:cs="Times New Roman"/>
                <w:sz w:val="24"/>
                <w:highlight w:val="none"/>
              </w:rPr>
              <w:t>。</w:t>
            </w:r>
          </w:p>
          <w:p w14:paraId="1E0A30FB">
            <w:pPr>
              <w:spacing w:line="360" w:lineRule="auto"/>
              <w:ind w:firstLine="482"/>
              <w:rPr>
                <w:b/>
                <w:sz w:val="24"/>
                <w:highlight w:val="none"/>
              </w:rPr>
            </w:pPr>
            <w:r>
              <w:rPr>
                <w:b/>
                <w:sz w:val="24"/>
                <w:highlight w:val="none"/>
              </w:rPr>
              <w:t>5．</w:t>
            </w:r>
            <w:r>
              <w:rPr>
                <w:rFonts w:hint="eastAsia"/>
                <w:b/>
                <w:sz w:val="24"/>
                <w:highlight w:val="none"/>
              </w:rPr>
              <w:t>地下水、土壤</w:t>
            </w:r>
          </w:p>
          <w:p w14:paraId="0805CE26">
            <w:pPr>
              <w:spacing w:line="360" w:lineRule="auto"/>
              <w:ind w:firstLine="480"/>
              <w:rPr>
                <w:sz w:val="24"/>
                <w:highlight w:val="none"/>
              </w:rPr>
            </w:pPr>
            <w:r>
              <w:rPr>
                <w:rFonts w:hint="eastAsia"/>
                <w:sz w:val="24"/>
                <w:highlight w:val="none"/>
              </w:rPr>
              <w:t>根据识别，拟建项目在满足分区防渗的前提下，不存在土壤、地下水环境污染途径，因此本次不进行</w:t>
            </w:r>
            <w:r>
              <w:rPr>
                <w:sz w:val="24"/>
                <w:highlight w:val="none"/>
              </w:rPr>
              <w:t>地下水、土壤</w:t>
            </w:r>
            <w:r>
              <w:rPr>
                <w:rFonts w:hint="eastAsia"/>
                <w:sz w:val="24"/>
                <w:highlight w:val="none"/>
              </w:rPr>
              <w:t>环境影响评价。</w:t>
            </w:r>
          </w:p>
          <w:p w14:paraId="17CCD2FE">
            <w:pPr>
              <w:pStyle w:val="2"/>
              <w:ind w:left="0" w:leftChars="0" w:firstLine="480" w:firstLineChars="200"/>
              <w:jc w:val="both"/>
              <w:rPr>
                <w:w w:val="100"/>
                <w:sz w:val="24"/>
                <w:szCs w:val="24"/>
                <w:highlight w:val="none"/>
              </w:rPr>
            </w:pPr>
            <w:r>
              <w:rPr>
                <w:rFonts w:hint="eastAsia"/>
                <w:w w:val="100"/>
                <w:sz w:val="24"/>
                <w:szCs w:val="24"/>
                <w:highlight w:val="none"/>
              </w:rPr>
              <w:t>本次评价给出防渗的要求：</w:t>
            </w:r>
            <w:r>
              <w:rPr>
                <w:w w:val="100"/>
                <w:sz w:val="24"/>
                <w:szCs w:val="24"/>
                <w:highlight w:val="none"/>
              </w:rPr>
              <w:t>对</w:t>
            </w:r>
            <w:r>
              <w:rPr>
                <w:rFonts w:hint="eastAsia"/>
                <w:w w:val="100"/>
                <w:sz w:val="24"/>
                <w:szCs w:val="24"/>
                <w:highlight w:val="none"/>
                <w:lang w:val="en-US" w:eastAsia="zh-CN"/>
              </w:rPr>
              <w:t>锅炉房</w:t>
            </w:r>
            <w:r>
              <w:rPr>
                <w:rFonts w:hint="eastAsia"/>
                <w:w w:val="100"/>
                <w:sz w:val="24"/>
                <w:szCs w:val="24"/>
                <w:highlight w:val="none"/>
              </w:rPr>
              <w:t>地面进行</w:t>
            </w:r>
            <w:r>
              <w:rPr>
                <w:w w:val="100"/>
                <w:sz w:val="24"/>
                <w:szCs w:val="24"/>
                <w:highlight w:val="none"/>
              </w:rPr>
              <w:t>一般地面硬化</w:t>
            </w:r>
            <w:r>
              <w:rPr>
                <w:rFonts w:hint="eastAsia"/>
                <w:w w:val="100"/>
                <w:sz w:val="24"/>
                <w:szCs w:val="24"/>
                <w:highlight w:val="none"/>
              </w:rPr>
              <w:t>；对厂区道路等</w:t>
            </w:r>
            <w:r>
              <w:rPr>
                <w:w w:val="100"/>
                <w:sz w:val="24"/>
                <w:szCs w:val="24"/>
                <w:highlight w:val="none"/>
              </w:rPr>
              <w:t>区域进行一般地面硬化</w:t>
            </w:r>
            <w:r>
              <w:rPr>
                <w:rFonts w:hint="eastAsia"/>
                <w:w w:val="100"/>
                <w:sz w:val="24"/>
                <w:szCs w:val="24"/>
                <w:highlight w:val="none"/>
              </w:rPr>
              <w:t>。</w:t>
            </w:r>
          </w:p>
          <w:p w14:paraId="61C24DC9">
            <w:pPr>
              <w:spacing w:line="360" w:lineRule="auto"/>
              <w:ind w:firstLine="482"/>
              <w:rPr>
                <w:b/>
                <w:color w:val="000000" w:themeColor="text1"/>
                <w:sz w:val="24"/>
                <w:highlight w:val="none"/>
                <w14:textFill>
                  <w14:solidFill>
                    <w14:schemeClr w14:val="tx1"/>
                  </w14:solidFill>
                </w14:textFill>
              </w:rPr>
            </w:pPr>
            <w:r>
              <w:rPr>
                <w:rFonts w:hint="eastAsia"/>
                <w:b/>
                <w:sz w:val="24"/>
                <w:highlight w:val="none"/>
              </w:rPr>
              <w:t>6</w:t>
            </w:r>
            <w:r>
              <w:rPr>
                <w:b/>
                <w:sz w:val="24"/>
                <w:highlight w:val="none"/>
              </w:rPr>
              <w:t>．</w:t>
            </w:r>
            <w:r>
              <w:rPr>
                <w:rFonts w:hint="eastAsia"/>
                <w:b/>
                <w:sz w:val="24"/>
                <w:highlight w:val="none"/>
              </w:rPr>
              <w:t>生态环境</w:t>
            </w:r>
          </w:p>
          <w:p w14:paraId="4AC2264A">
            <w:pPr>
              <w:spacing w:line="360" w:lineRule="auto"/>
              <w:ind w:firstLine="48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项目选址位于围场满族蒙古族自治县半截塔镇什八克村，项目位置用地性质为工业用地。项目为产业园区内建设项目，占地范围内无生态环境保护目标。因此，本次不进行生态环境影响评价。</w:t>
            </w:r>
          </w:p>
          <w:p w14:paraId="05C16B67">
            <w:pPr>
              <w:spacing w:line="360" w:lineRule="auto"/>
              <w:ind w:firstLine="482"/>
              <w:rPr>
                <w:b/>
                <w:sz w:val="24"/>
                <w:highlight w:val="none"/>
              </w:rPr>
            </w:pPr>
            <w:r>
              <w:rPr>
                <w:b/>
                <w:sz w:val="24"/>
                <w:highlight w:val="none"/>
              </w:rPr>
              <w:t>7．</w:t>
            </w:r>
            <w:r>
              <w:rPr>
                <w:rFonts w:hint="eastAsia"/>
                <w:b/>
                <w:sz w:val="24"/>
                <w:highlight w:val="none"/>
              </w:rPr>
              <w:t>环境风险</w:t>
            </w:r>
          </w:p>
          <w:p w14:paraId="68420616">
            <w:pPr>
              <w:spacing w:line="360" w:lineRule="auto"/>
              <w:ind w:firstLine="480"/>
              <w:rPr>
                <w:rFonts w:hint="eastAsia"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本工程涉及的危险化学品沼气为环境风险物质，沼气储罐储存量为200m</w:t>
            </w:r>
            <w:r>
              <w:rPr>
                <w:rFonts w:hint="eastAsia" w:ascii="Times New Roman" w:hAnsi="Times New Roman" w:eastAsia="宋体" w:cs="Times New Roman"/>
                <w:sz w:val="24"/>
                <w:highlight w:val="none"/>
                <w:vertAlign w:val="superscript"/>
                <w:lang w:val="en-US" w:eastAsia="zh-CN"/>
              </w:rPr>
              <w:t>3</w:t>
            </w:r>
            <w:r>
              <w:rPr>
                <w:rFonts w:hint="eastAsia" w:ascii="Times New Roman" w:hAnsi="Times New Roman" w:eastAsia="宋体" w:cs="Times New Roman"/>
                <w:sz w:val="24"/>
                <w:highlight w:val="none"/>
                <w:lang w:val="en-US" w:eastAsia="zh-CN"/>
              </w:rPr>
              <w:t>（折合0.115t）。</w:t>
            </w:r>
          </w:p>
          <w:p w14:paraId="47F0789F">
            <w:pPr>
              <w:spacing w:line="360" w:lineRule="auto"/>
              <w:ind w:firstLine="480"/>
              <w:rPr>
                <w:b/>
                <w:sz w:val="24"/>
                <w:highlight w:val="none"/>
              </w:rPr>
            </w:pPr>
            <w:r>
              <w:rPr>
                <w:rFonts w:hint="eastAsia"/>
                <w:b/>
                <w:sz w:val="24"/>
                <w:highlight w:val="none"/>
              </w:rPr>
              <w:t>（</w:t>
            </w:r>
            <w:r>
              <w:rPr>
                <w:b/>
                <w:sz w:val="24"/>
                <w:highlight w:val="none"/>
              </w:rPr>
              <w:t>1</w:t>
            </w:r>
            <w:r>
              <w:rPr>
                <w:rFonts w:hint="eastAsia"/>
                <w:b/>
                <w:sz w:val="24"/>
                <w:highlight w:val="none"/>
              </w:rPr>
              <w:t>）风险物质和风险源分布情况</w:t>
            </w:r>
          </w:p>
          <w:p w14:paraId="6F50448D">
            <w:pPr>
              <w:spacing w:line="360" w:lineRule="auto"/>
              <w:ind w:firstLine="480"/>
              <w:rPr>
                <w:sz w:val="24"/>
                <w:highlight w:val="none"/>
              </w:rPr>
            </w:pPr>
            <w:r>
              <w:rPr>
                <w:rFonts w:hint="eastAsia"/>
                <w:sz w:val="24"/>
                <w:highlight w:val="none"/>
              </w:rPr>
              <w:t>项目产生环境风险的物质为</w:t>
            </w:r>
            <w:r>
              <w:rPr>
                <w:rFonts w:hint="eastAsia"/>
                <w:sz w:val="24"/>
                <w:highlight w:val="none"/>
                <w:lang w:val="en-US" w:eastAsia="zh-CN"/>
              </w:rPr>
              <w:t>沼气</w:t>
            </w:r>
            <w:r>
              <w:rPr>
                <w:rFonts w:hint="eastAsia"/>
                <w:sz w:val="24"/>
                <w:highlight w:val="none"/>
              </w:rPr>
              <w:t>，</w:t>
            </w:r>
            <w:r>
              <w:rPr>
                <w:rFonts w:hint="eastAsia"/>
                <w:sz w:val="24"/>
                <w:highlight w:val="none"/>
                <w:lang w:val="en-US" w:eastAsia="zh-CN"/>
              </w:rPr>
              <w:t>沼气主要成分为甲烷，临时贮存于沼气储罐内</w:t>
            </w:r>
            <w:r>
              <w:rPr>
                <w:rFonts w:hint="eastAsia"/>
                <w:sz w:val="24"/>
                <w:highlight w:val="none"/>
              </w:rPr>
              <w:t>。</w:t>
            </w:r>
          </w:p>
          <w:p w14:paraId="7562B86D">
            <w:pPr>
              <w:spacing w:line="360" w:lineRule="auto"/>
              <w:ind w:firstLine="480"/>
              <w:rPr>
                <w:sz w:val="24"/>
                <w:highlight w:val="none"/>
              </w:rPr>
            </w:pPr>
            <w:r>
              <w:rPr>
                <w:rFonts w:hint="eastAsia"/>
                <w:sz w:val="24"/>
                <w:highlight w:val="none"/>
              </w:rPr>
              <w:t>项目运行过程所涉及的风险物质的使用量、贮存量及Q值见下表。</w:t>
            </w:r>
          </w:p>
          <w:p w14:paraId="674A1A51">
            <w:pPr>
              <w:pStyle w:val="50"/>
              <w:numPr>
                <w:ilvl w:val="0"/>
                <w:numId w:val="11"/>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风险物质使用、贮存情况及Q值计算结果一览表</w:t>
            </w:r>
          </w:p>
          <w:tbl>
            <w:tblPr>
              <w:tblStyle w:val="2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0"/>
              <w:gridCol w:w="1255"/>
              <w:gridCol w:w="1433"/>
              <w:gridCol w:w="1433"/>
              <w:gridCol w:w="1433"/>
              <w:gridCol w:w="1433"/>
            </w:tblGrid>
            <w:tr w14:paraId="761C2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869" w:type="pct"/>
                  <w:vAlign w:val="center"/>
                </w:tcPr>
                <w:p w14:paraId="20E084D9">
                  <w:pPr>
                    <w:jc w:val="center"/>
                    <w:rPr>
                      <w:b/>
                      <w:szCs w:val="21"/>
                      <w:highlight w:val="none"/>
                    </w:rPr>
                  </w:pPr>
                  <w:r>
                    <w:rPr>
                      <w:b/>
                      <w:szCs w:val="21"/>
                      <w:highlight w:val="none"/>
                    </w:rPr>
                    <w:t>风险物质</w:t>
                  </w:r>
                </w:p>
              </w:tc>
              <w:tc>
                <w:tcPr>
                  <w:tcW w:w="742" w:type="pct"/>
                  <w:vAlign w:val="center"/>
                </w:tcPr>
                <w:p w14:paraId="30BE3562">
                  <w:pPr>
                    <w:jc w:val="center"/>
                    <w:rPr>
                      <w:b/>
                      <w:szCs w:val="21"/>
                      <w:highlight w:val="none"/>
                    </w:rPr>
                  </w:pPr>
                  <w:r>
                    <w:rPr>
                      <w:rFonts w:hint="eastAsia"/>
                      <w:b/>
                      <w:szCs w:val="21"/>
                      <w:highlight w:val="none"/>
                    </w:rPr>
                    <w:t>数</w:t>
                  </w:r>
                  <w:r>
                    <w:rPr>
                      <w:b/>
                      <w:szCs w:val="21"/>
                      <w:highlight w:val="none"/>
                    </w:rPr>
                    <w:t>量</w:t>
                  </w:r>
                </w:p>
              </w:tc>
              <w:tc>
                <w:tcPr>
                  <w:tcW w:w="847" w:type="pct"/>
                  <w:vAlign w:val="center"/>
                </w:tcPr>
                <w:p w14:paraId="0C12C1D4">
                  <w:pPr>
                    <w:jc w:val="center"/>
                    <w:rPr>
                      <w:b/>
                      <w:szCs w:val="21"/>
                      <w:highlight w:val="none"/>
                    </w:rPr>
                  </w:pPr>
                  <w:r>
                    <w:rPr>
                      <w:b/>
                      <w:szCs w:val="21"/>
                      <w:highlight w:val="none"/>
                    </w:rPr>
                    <w:t>厂区内最大库存量</w:t>
                  </w:r>
                </w:p>
              </w:tc>
              <w:tc>
                <w:tcPr>
                  <w:tcW w:w="847" w:type="pct"/>
                  <w:vAlign w:val="center"/>
                </w:tcPr>
                <w:p w14:paraId="23C5CB7C">
                  <w:pPr>
                    <w:jc w:val="center"/>
                    <w:rPr>
                      <w:b/>
                      <w:szCs w:val="21"/>
                      <w:highlight w:val="none"/>
                    </w:rPr>
                  </w:pPr>
                  <w:r>
                    <w:rPr>
                      <w:b/>
                      <w:szCs w:val="21"/>
                      <w:highlight w:val="none"/>
                    </w:rPr>
                    <w:t>风险物质核算量</w:t>
                  </w:r>
                </w:p>
              </w:tc>
              <w:tc>
                <w:tcPr>
                  <w:tcW w:w="847" w:type="pct"/>
                  <w:vAlign w:val="center"/>
                </w:tcPr>
                <w:p w14:paraId="2301F548">
                  <w:pPr>
                    <w:jc w:val="center"/>
                    <w:rPr>
                      <w:b/>
                      <w:szCs w:val="21"/>
                      <w:highlight w:val="none"/>
                    </w:rPr>
                  </w:pPr>
                  <w:r>
                    <w:rPr>
                      <w:rFonts w:hint="eastAsia"/>
                      <w:b/>
                      <w:szCs w:val="21"/>
                      <w:highlight w:val="none"/>
                    </w:rPr>
                    <w:t>临界量</w:t>
                  </w:r>
                </w:p>
              </w:tc>
              <w:tc>
                <w:tcPr>
                  <w:tcW w:w="847" w:type="pct"/>
                  <w:vAlign w:val="center"/>
                </w:tcPr>
                <w:p w14:paraId="6B824191">
                  <w:pPr>
                    <w:jc w:val="center"/>
                    <w:rPr>
                      <w:b/>
                      <w:szCs w:val="21"/>
                      <w:highlight w:val="none"/>
                    </w:rPr>
                  </w:pPr>
                  <w:r>
                    <w:rPr>
                      <w:rFonts w:hint="eastAsia"/>
                      <w:b/>
                      <w:szCs w:val="21"/>
                      <w:highlight w:val="none"/>
                    </w:rPr>
                    <w:t>Q值</w:t>
                  </w:r>
                </w:p>
              </w:tc>
            </w:tr>
            <w:tr w14:paraId="651EF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869" w:type="pct"/>
                  <w:vAlign w:val="center"/>
                </w:tcPr>
                <w:p w14:paraId="57B09284">
                  <w:pPr>
                    <w:jc w:val="center"/>
                    <w:rPr>
                      <w:rFonts w:hint="eastAsia" w:eastAsia="宋体"/>
                      <w:b/>
                      <w:szCs w:val="21"/>
                      <w:highlight w:val="none"/>
                      <w:lang w:eastAsia="zh-CN"/>
                    </w:rPr>
                  </w:pPr>
                  <w:r>
                    <w:rPr>
                      <w:rFonts w:hint="eastAsia"/>
                      <w:szCs w:val="21"/>
                      <w:highlight w:val="none"/>
                      <w:lang w:val="en-US" w:eastAsia="zh-CN"/>
                    </w:rPr>
                    <w:t>沼气</w:t>
                  </w:r>
                </w:p>
              </w:tc>
              <w:tc>
                <w:tcPr>
                  <w:tcW w:w="742" w:type="pct"/>
                  <w:vAlign w:val="center"/>
                </w:tcPr>
                <w:p w14:paraId="7105002A">
                  <w:pPr>
                    <w:jc w:val="center"/>
                    <w:rPr>
                      <w:szCs w:val="21"/>
                      <w:highlight w:val="none"/>
                    </w:rPr>
                  </w:pPr>
                  <w:r>
                    <w:rPr>
                      <w:rFonts w:hint="eastAsia"/>
                      <w:szCs w:val="21"/>
                      <w:highlight w:val="none"/>
                      <w:lang w:val="en-US" w:eastAsia="zh-CN"/>
                    </w:rPr>
                    <w:t>0.115</w:t>
                  </w:r>
                  <w:r>
                    <w:rPr>
                      <w:rFonts w:hint="eastAsia"/>
                      <w:szCs w:val="21"/>
                      <w:highlight w:val="none"/>
                    </w:rPr>
                    <w:t>t/a</w:t>
                  </w:r>
                </w:p>
              </w:tc>
              <w:tc>
                <w:tcPr>
                  <w:tcW w:w="847" w:type="pct"/>
                  <w:vAlign w:val="center"/>
                </w:tcPr>
                <w:p w14:paraId="67E44F6E">
                  <w:pPr>
                    <w:jc w:val="center"/>
                    <w:rPr>
                      <w:szCs w:val="21"/>
                      <w:highlight w:val="none"/>
                    </w:rPr>
                  </w:pPr>
                  <w:r>
                    <w:rPr>
                      <w:rFonts w:hint="eastAsia"/>
                      <w:szCs w:val="21"/>
                      <w:highlight w:val="none"/>
                      <w:lang w:val="en-US" w:eastAsia="zh-CN"/>
                    </w:rPr>
                    <w:t>0.115</w:t>
                  </w:r>
                  <w:r>
                    <w:rPr>
                      <w:rFonts w:hint="eastAsia"/>
                      <w:szCs w:val="21"/>
                      <w:highlight w:val="none"/>
                    </w:rPr>
                    <w:t>t</w:t>
                  </w:r>
                </w:p>
              </w:tc>
              <w:tc>
                <w:tcPr>
                  <w:tcW w:w="847" w:type="pct"/>
                  <w:vAlign w:val="center"/>
                </w:tcPr>
                <w:p w14:paraId="3CC818AF">
                  <w:pPr>
                    <w:jc w:val="center"/>
                    <w:rPr>
                      <w:szCs w:val="21"/>
                      <w:highlight w:val="none"/>
                    </w:rPr>
                  </w:pPr>
                  <w:r>
                    <w:rPr>
                      <w:rFonts w:hint="eastAsia"/>
                      <w:szCs w:val="21"/>
                      <w:highlight w:val="none"/>
                      <w:lang w:val="en-US" w:eastAsia="zh-CN"/>
                    </w:rPr>
                    <w:t>0.115</w:t>
                  </w:r>
                  <w:r>
                    <w:rPr>
                      <w:rFonts w:hint="eastAsia"/>
                      <w:szCs w:val="21"/>
                      <w:highlight w:val="none"/>
                    </w:rPr>
                    <w:t>t</w:t>
                  </w:r>
                </w:p>
              </w:tc>
              <w:tc>
                <w:tcPr>
                  <w:tcW w:w="847" w:type="pct"/>
                  <w:vAlign w:val="center"/>
                </w:tcPr>
                <w:p w14:paraId="6367D6BA">
                  <w:pPr>
                    <w:jc w:val="center"/>
                    <w:rPr>
                      <w:szCs w:val="21"/>
                      <w:highlight w:val="none"/>
                    </w:rPr>
                  </w:pPr>
                  <w:r>
                    <w:rPr>
                      <w:rFonts w:hint="eastAsia"/>
                      <w:szCs w:val="21"/>
                      <w:highlight w:val="none"/>
                      <w:lang w:val="en-US" w:eastAsia="zh-CN"/>
                    </w:rPr>
                    <w:t>10</w:t>
                  </w:r>
                  <w:r>
                    <w:rPr>
                      <w:rFonts w:hint="eastAsia"/>
                      <w:szCs w:val="21"/>
                      <w:highlight w:val="none"/>
                    </w:rPr>
                    <w:t>t（</w:t>
                  </w:r>
                  <w:r>
                    <w:rPr>
                      <w:rFonts w:hint="eastAsia"/>
                      <w:szCs w:val="21"/>
                      <w:highlight w:val="none"/>
                      <w:lang w:val="en-US" w:eastAsia="zh-CN"/>
                    </w:rPr>
                    <w:t>甲烷</w:t>
                  </w:r>
                  <w:r>
                    <w:rPr>
                      <w:rFonts w:hint="eastAsia"/>
                      <w:szCs w:val="21"/>
                      <w:highlight w:val="none"/>
                    </w:rPr>
                    <w:t>）</w:t>
                  </w:r>
                </w:p>
              </w:tc>
              <w:tc>
                <w:tcPr>
                  <w:tcW w:w="847" w:type="pct"/>
                  <w:vAlign w:val="center"/>
                </w:tcPr>
                <w:p w14:paraId="21A57FA7">
                  <w:pPr>
                    <w:jc w:val="center"/>
                    <w:rPr>
                      <w:rFonts w:hint="default" w:eastAsia="宋体"/>
                      <w:szCs w:val="21"/>
                      <w:highlight w:val="none"/>
                      <w:lang w:val="en-US" w:eastAsia="zh-CN"/>
                    </w:rPr>
                  </w:pPr>
                  <w:r>
                    <w:rPr>
                      <w:rFonts w:hint="eastAsia"/>
                      <w:szCs w:val="21"/>
                      <w:highlight w:val="none"/>
                    </w:rPr>
                    <w:t>0</w:t>
                  </w:r>
                  <w:r>
                    <w:rPr>
                      <w:szCs w:val="21"/>
                      <w:highlight w:val="none"/>
                    </w:rPr>
                    <w:t>.0</w:t>
                  </w:r>
                  <w:r>
                    <w:rPr>
                      <w:rFonts w:hint="eastAsia"/>
                      <w:szCs w:val="21"/>
                      <w:highlight w:val="none"/>
                      <w:lang w:val="en-US" w:eastAsia="zh-CN"/>
                    </w:rPr>
                    <w:t>115</w:t>
                  </w:r>
                </w:p>
              </w:tc>
            </w:tr>
            <w:tr w14:paraId="2844B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4152" w:type="pct"/>
                  <w:gridSpan w:val="5"/>
                  <w:vAlign w:val="center"/>
                </w:tcPr>
                <w:p w14:paraId="4A2E858A">
                  <w:pPr>
                    <w:jc w:val="center"/>
                    <w:rPr>
                      <w:rFonts w:hint="eastAsia"/>
                      <w:szCs w:val="21"/>
                      <w:highlight w:val="none"/>
                    </w:rPr>
                  </w:pPr>
                  <w:r>
                    <w:rPr>
                      <w:rFonts w:hint="eastAsia"/>
                      <w:szCs w:val="21"/>
                      <w:highlight w:val="none"/>
                    </w:rPr>
                    <w:t>合计</w:t>
                  </w:r>
                </w:p>
              </w:tc>
              <w:tc>
                <w:tcPr>
                  <w:tcW w:w="847" w:type="pct"/>
                  <w:vAlign w:val="center"/>
                </w:tcPr>
                <w:p w14:paraId="5424F12A">
                  <w:pPr>
                    <w:jc w:val="center"/>
                    <w:rPr>
                      <w:rFonts w:hint="default" w:eastAsia="宋体"/>
                      <w:szCs w:val="21"/>
                      <w:highlight w:val="none"/>
                      <w:lang w:val="en-US" w:eastAsia="zh-CN"/>
                    </w:rPr>
                  </w:pPr>
                  <w:r>
                    <w:rPr>
                      <w:rFonts w:hint="eastAsia"/>
                      <w:szCs w:val="21"/>
                      <w:highlight w:val="none"/>
                    </w:rPr>
                    <w:t>0</w:t>
                  </w:r>
                  <w:r>
                    <w:rPr>
                      <w:szCs w:val="21"/>
                      <w:highlight w:val="none"/>
                    </w:rPr>
                    <w:t>.0</w:t>
                  </w:r>
                  <w:r>
                    <w:rPr>
                      <w:rFonts w:hint="eastAsia"/>
                      <w:szCs w:val="21"/>
                      <w:highlight w:val="none"/>
                      <w:lang w:val="en-US" w:eastAsia="zh-CN"/>
                    </w:rPr>
                    <w:t>115</w:t>
                  </w:r>
                </w:p>
              </w:tc>
            </w:tr>
          </w:tbl>
          <w:p w14:paraId="34DDA488">
            <w:pPr>
              <w:spacing w:before="120" w:beforeLines="50" w:line="360" w:lineRule="auto"/>
              <w:ind w:firstLine="482"/>
              <w:rPr>
                <w:sz w:val="24"/>
                <w:highlight w:val="none"/>
              </w:rPr>
            </w:pPr>
            <w:r>
              <w:rPr>
                <w:rFonts w:hint="eastAsia"/>
                <w:sz w:val="24"/>
                <w:highlight w:val="none"/>
              </w:rPr>
              <w:t>经计算，厂区内</w:t>
            </w:r>
            <w:r>
              <w:rPr>
                <w:rFonts w:hint="eastAsia"/>
                <w:sz w:val="24"/>
                <w:highlight w:val="none"/>
                <w:lang w:val="en-US" w:eastAsia="zh-CN"/>
              </w:rPr>
              <w:t>风险</w:t>
            </w:r>
            <w:r>
              <w:rPr>
                <w:rFonts w:hint="eastAsia"/>
                <w:sz w:val="24"/>
                <w:highlight w:val="none"/>
              </w:rPr>
              <w:t>物质数量与临界量的比值：Q=0.0</w:t>
            </w:r>
            <w:r>
              <w:rPr>
                <w:rFonts w:hint="eastAsia"/>
                <w:sz w:val="24"/>
                <w:highlight w:val="none"/>
                <w:lang w:val="en-US" w:eastAsia="zh-CN"/>
              </w:rPr>
              <w:t>115</w:t>
            </w:r>
            <w:r>
              <w:rPr>
                <w:rFonts w:hint="eastAsia"/>
                <w:sz w:val="24"/>
                <w:highlight w:val="none"/>
              </w:rPr>
              <w:t>，Q＜1。</w:t>
            </w:r>
          </w:p>
          <w:p w14:paraId="103D4DC3">
            <w:pPr>
              <w:spacing w:line="360" w:lineRule="auto"/>
              <w:ind w:firstLine="482"/>
              <w:rPr>
                <w:b/>
                <w:sz w:val="24"/>
                <w:highlight w:val="none"/>
              </w:rPr>
            </w:pPr>
            <w:r>
              <w:rPr>
                <w:rFonts w:hint="eastAsia"/>
                <w:b/>
                <w:sz w:val="24"/>
                <w:highlight w:val="none"/>
              </w:rPr>
              <w:t>（</w:t>
            </w:r>
            <w:r>
              <w:rPr>
                <w:b/>
                <w:sz w:val="24"/>
                <w:highlight w:val="none"/>
              </w:rPr>
              <w:t>2</w:t>
            </w:r>
            <w:r>
              <w:rPr>
                <w:rFonts w:hint="eastAsia"/>
                <w:b/>
                <w:sz w:val="24"/>
                <w:highlight w:val="none"/>
              </w:rPr>
              <w:t>）风险物质可能的影响途径</w:t>
            </w:r>
          </w:p>
          <w:p w14:paraId="1ADCFD38">
            <w:pPr>
              <w:spacing w:line="360" w:lineRule="auto"/>
              <w:ind w:firstLine="480"/>
              <w:rPr>
                <w:sz w:val="24"/>
                <w:highlight w:val="none"/>
              </w:rPr>
            </w:pPr>
            <w:r>
              <w:rPr>
                <w:rFonts w:hint="eastAsia"/>
                <w:sz w:val="24"/>
                <w:highlight w:val="none"/>
                <w:lang w:val="en-US" w:eastAsia="zh-CN"/>
              </w:rPr>
              <w:t>沼气储罐发生</w:t>
            </w:r>
            <w:r>
              <w:rPr>
                <w:rFonts w:hint="eastAsia"/>
                <w:sz w:val="24"/>
                <w:highlight w:val="none"/>
              </w:rPr>
              <w:t>泄露，以及</w:t>
            </w:r>
            <w:r>
              <w:rPr>
                <w:rFonts w:hint="eastAsia"/>
                <w:sz w:val="24"/>
                <w:highlight w:val="none"/>
                <w:lang w:val="en-US" w:eastAsia="zh-CN"/>
              </w:rPr>
              <w:t>沼气泄露后</w:t>
            </w:r>
            <w:r>
              <w:rPr>
                <w:rFonts w:hint="eastAsia"/>
                <w:sz w:val="24"/>
                <w:highlight w:val="none"/>
              </w:rPr>
              <w:t>发生火灾、爆炸危害事故，进而引发的次生污染物的排放，造成的环境污染事故：</w:t>
            </w:r>
          </w:p>
          <w:p w14:paraId="2AEB1CD8">
            <w:pPr>
              <w:spacing w:line="360" w:lineRule="auto"/>
              <w:ind w:firstLine="480"/>
              <w:rPr>
                <w:sz w:val="24"/>
                <w:highlight w:val="none"/>
              </w:rPr>
            </w:pPr>
            <w:r>
              <w:rPr>
                <w:rFonts w:hint="eastAsia" w:eastAsia="宋体"/>
                <w:snapToGrid w:val="0"/>
                <w:color w:val="auto"/>
                <w:sz w:val="24"/>
                <w:highlight w:val="none"/>
                <w:lang w:val="en-US" w:eastAsia="zh-CN"/>
              </w:rPr>
              <w:t>沼气</w:t>
            </w:r>
            <w:r>
              <w:rPr>
                <w:rFonts w:eastAsia="宋体"/>
                <w:snapToGrid w:val="0"/>
                <w:color w:val="auto"/>
                <w:sz w:val="24"/>
                <w:highlight w:val="none"/>
              </w:rPr>
              <w:t>存储于</w:t>
            </w:r>
            <w:r>
              <w:rPr>
                <w:rFonts w:hint="eastAsia" w:eastAsia="宋体"/>
                <w:snapToGrid w:val="0"/>
                <w:color w:val="auto"/>
                <w:sz w:val="24"/>
                <w:highlight w:val="none"/>
                <w:lang w:val="en-US" w:eastAsia="zh-CN"/>
              </w:rPr>
              <w:t>沼气</w:t>
            </w:r>
            <w:r>
              <w:rPr>
                <w:rFonts w:eastAsia="宋体"/>
                <w:snapToGrid w:val="0"/>
                <w:color w:val="auto"/>
                <w:sz w:val="24"/>
                <w:highlight w:val="none"/>
              </w:rPr>
              <w:t>储罐内，储罐破裂、泵、阀门等损坏，误操作等造成物质泄漏，与空气可形成爆炸性混合物，遇明火、高热能引起燃烧爆炸</w:t>
            </w:r>
            <w:r>
              <w:rPr>
                <w:rFonts w:hint="eastAsia" w:eastAsia="宋体"/>
                <w:snapToGrid w:val="0"/>
                <w:color w:val="auto"/>
                <w:sz w:val="24"/>
                <w:highlight w:val="none"/>
              </w:rPr>
              <w:t>，污染大气环境</w:t>
            </w:r>
            <w:r>
              <w:rPr>
                <w:rFonts w:eastAsia="宋体"/>
                <w:snapToGrid w:val="0"/>
                <w:color w:val="auto"/>
                <w:sz w:val="24"/>
                <w:highlight w:val="none"/>
              </w:rPr>
              <w:t>。</w:t>
            </w:r>
            <w:r>
              <w:rPr>
                <w:rFonts w:hint="eastAsia" w:eastAsia="宋体"/>
                <w:snapToGrid w:val="0"/>
                <w:color w:val="auto"/>
                <w:sz w:val="24"/>
                <w:highlight w:val="none"/>
                <w:lang w:val="en-US" w:eastAsia="zh-CN"/>
              </w:rPr>
              <w:t>沼气</w:t>
            </w:r>
            <w:r>
              <w:rPr>
                <w:rFonts w:eastAsia="宋体"/>
                <w:snapToGrid w:val="0"/>
                <w:color w:val="auto"/>
                <w:sz w:val="24"/>
                <w:highlight w:val="none"/>
              </w:rPr>
              <w:t>易燃，其蒸气与空气可形成爆炸性混合物，遇明火、高热能引起燃烧爆炸的危险，火灾和爆炸引发的伴生/次生污染物CO在大气中扩散，污染大气环境</w:t>
            </w:r>
            <w:r>
              <w:rPr>
                <w:rFonts w:hint="eastAsia"/>
                <w:sz w:val="24"/>
                <w:highlight w:val="none"/>
              </w:rPr>
              <w:t>。</w:t>
            </w:r>
          </w:p>
          <w:p w14:paraId="18BE5999">
            <w:pPr>
              <w:spacing w:line="360" w:lineRule="auto"/>
              <w:ind w:firstLine="480"/>
              <w:rPr>
                <w:b/>
                <w:sz w:val="24"/>
                <w:highlight w:val="none"/>
              </w:rPr>
            </w:pPr>
            <w:r>
              <w:rPr>
                <w:rFonts w:hint="eastAsia"/>
                <w:b/>
                <w:sz w:val="24"/>
                <w:highlight w:val="none"/>
              </w:rPr>
              <w:t>（3）环境风险防范措施</w:t>
            </w:r>
          </w:p>
          <w:p w14:paraId="60FB22FC">
            <w:pPr>
              <w:spacing w:line="360" w:lineRule="auto"/>
              <w:ind w:firstLine="480"/>
              <w:rPr>
                <w:rFonts w:ascii="Times New Roman" w:hAnsi="Times New Roman" w:eastAsia="宋体" w:cs="Times New Roman"/>
                <w:sz w:val="24"/>
                <w:highlight w:val="none"/>
              </w:rPr>
            </w:pPr>
            <w:r>
              <w:rPr>
                <w:rFonts w:hint="eastAsia" w:ascii="Times New Roman" w:hAnsi="Times New Roman" w:eastAsia="宋体" w:cs="Times New Roman"/>
                <w:sz w:val="24"/>
                <w:highlight w:val="none"/>
              </w:rPr>
              <w:t>①</w:t>
            </w:r>
            <w:r>
              <w:rPr>
                <w:rFonts w:ascii="Times New Roman" w:hAnsi="Times New Roman" w:eastAsia="宋体" w:cs="Times New Roman"/>
                <w:sz w:val="24"/>
                <w:highlight w:val="none"/>
              </w:rPr>
              <w:t>设置应急救援设施及救援通道、应急疏散及避难所，并保证有效性；</w:t>
            </w:r>
          </w:p>
          <w:p w14:paraId="42F7A4DB">
            <w:pPr>
              <w:spacing w:line="360" w:lineRule="auto"/>
              <w:ind w:firstLine="480"/>
              <w:rPr>
                <w:rFonts w:ascii="Times New Roman" w:hAnsi="Times New Roman" w:eastAsia="宋体" w:cs="Times New Roman"/>
                <w:sz w:val="24"/>
                <w:highlight w:val="none"/>
              </w:rPr>
            </w:pPr>
            <w:r>
              <w:rPr>
                <w:rFonts w:hint="eastAsia" w:ascii="Times New Roman" w:hAnsi="Times New Roman" w:eastAsia="宋体" w:cs="Times New Roman"/>
                <w:sz w:val="24"/>
                <w:highlight w:val="none"/>
              </w:rPr>
              <w:t>②</w:t>
            </w:r>
            <w:r>
              <w:rPr>
                <w:rFonts w:ascii="Times New Roman" w:hAnsi="Times New Roman" w:eastAsia="宋体" w:cs="Times New Roman"/>
                <w:sz w:val="24"/>
                <w:highlight w:val="none"/>
              </w:rPr>
              <w:t>定期检查沼气管道、导排系统，防止导排系统堵塞以及管道泄露；</w:t>
            </w:r>
          </w:p>
          <w:p w14:paraId="43EF5EB5">
            <w:pPr>
              <w:spacing w:line="360" w:lineRule="auto"/>
              <w:ind w:firstLine="480"/>
              <w:rPr>
                <w:rFonts w:ascii="Times New Roman" w:hAnsi="Times New Roman" w:eastAsia="宋体" w:cs="Times New Roman"/>
                <w:sz w:val="24"/>
                <w:highlight w:val="none"/>
              </w:rPr>
            </w:pPr>
            <w:r>
              <w:rPr>
                <w:rFonts w:hint="eastAsia"/>
                <w:sz w:val="24"/>
                <w:highlight w:val="none"/>
              </w:rPr>
              <w:t>③</w:t>
            </w:r>
            <w:r>
              <w:rPr>
                <w:rFonts w:ascii="Times New Roman" w:hAnsi="Times New Roman" w:eastAsia="宋体" w:cs="Times New Roman"/>
                <w:sz w:val="24"/>
                <w:highlight w:val="none"/>
              </w:rPr>
              <w:t>进行相关安全知识的宣传，对有关人员的培训教育和考核；</w:t>
            </w:r>
          </w:p>
          <w:p w14:paraId="32053EB1">
            <w:pPr>
              <w:spacing w:line="360" w:lineRule="auto"/>
              <w:ind w:firstLine="480"/>
              <w:rPr>
                <w:rFonts w:ascii="Times New Roman" w:hAnsi="Times New Roman" w:eastAsia="宋体" w:cs="Times New Roman"/>
                <w:sz w:val="24"/>
                <w:highlight w:val="none"/>
              </w:rPr>
            </w:pPr>
            <w:r>
              <w:rPr>
                <w:rFonts w:hint="eastAsia" w:ascii="Times New Roman" w:hAnsi="Times New Roman" w:eastAsia="宋体" w:cs="Times New Roman"/>
                <w:sz w:val="24"/>
                <w:highlight w:val="none"/>
              </w:rPr>
              <w:t>④</w:t>
            </w:r>
            <w:r>
              <w:rPr>
                <w:rFonts w:ascii="Times New Roman" w:hAnsi="Times New Roman" w:eastAsia="宋体" w:cs="Times New Roman"/>
                <w:sz w:val="24"/>
                <w:highlight w:val="none"/>
              </w:rPr>
              <w:t>制定规章制度和安全操作规程，强化安全监督检查和管理。</w:t>
            </w:r>
          </w:p>
          <w:p w14:paraId="39D719EC">
            <w:pPr>
              <w:spacing w:line="360" w:lineRule="auto"/>
              <w:ind w:firstLine="480"/>
              <w:rPr>
                <w:rFonts w:ascii="Times New Roman" w:hAnsi="Times New Roman" w:eastAsia="宋体" w:cs="Times New Roman"/>
                <w:sz w:val="24"/>
                <w:highlight w:val="none"/>
              </w:rPr>
            </w:pPr>
            <w:r>
              <w:rPr>
                <w:rFonts w:hint="eastAsia" w:ascii="Times New Roman" w:hAnsi="Times New Roman" w:eastAsia="宋体" w:cs="Times New Roman"/>
                <w:sz w:val="24"/>
                <w:highlight w:val="none"/>
              </w:rPr>
              <w:t>⑤选择</w:t>
            </w:r>
            <w:r>
              <w:rPr>
                <w:rFonts w:ascii="Times New Roman" w:hAnsi="Times New Roman" w:eastAsia="宋体" w:cs="Times New Roman"/>
                <w:sz w:val="24"/>
                <w:highlight w:val="none"/>
              </w:rPr>
              <w:t>优质的管道、阀门、缓冲管件等硬件设备</w:t>
            </w:r>
            <w:r>
              <w:rPr>
                <w:rFonts w:hint="eastAsia" w:ascii="Times New Roman" w:hAnsi="Times New Roman" w:eastAsia="宋体" w:cs="Times New Roman"/>
                <w:sz w:val="24"/>
                <w:highlight w:val="none"/>
              </w:rPr>
              <w:t>，保证设备、设施密封良好，无腐蚀、无渗漏</w:t>
            </w:r>
            <w:r>
              <w:rPr>
                <w:rFonts w:ascii="Times New Roman" w:hAnsi="Times New Roman" w:eastAsia="宋体" w:cs="Times New Roman"/>
                <w:sz w:val="24"/>
                <w:highlight w:val="none"/>
              </w:rPr>
              <w:t>。</w:t>
            </w:r>
          </w:p>
          <w:p w14:paraId="2754AC6D">
            <w:pPr>
              <w:spacing w:line="360" w:lineRule="auto"/>
              <w:ind w:firstLine="480"/>
              <w:rPr>
                <w:rFonts w:ascii="Times New Roman" w:hAnsi="Times New Roman" w:eastAsia="宋体" w:cs="Times New Roman"/>
                <w:sz w:val="24"/>
                <w:highlight w:val="none"/>
              </w:rPr>
            </w:pPr>
            <w:r>
              <w:rPr>
                <w:rFonts w:hint="eastAsia" w:ascii="Times New Roman" w:hAnsi="Times New Roman" w:eastAsia="宋体" w:cs="Times New Roman"/>
                <w:sz w:val="24"/>
                <w:highlight w:val="none"/>
              </w:rPr>
              <w:t>⑥</w:t>
            </w:r>
            <w:r>
              <w:rPr>
                <w:rFonts w:hint="eastAsia" w:ascii="Times New Roman" w:hAnsi="Times New Roman" w:eastAsia="宋体" w:cs="Times New Roman"/>
                <w:sz w:val="24"/>
                <w:highlight w:val="none"/>
                <w:lang w:val="en-US" w:eastAsia="zh-CN"/>
              </w:rPr>
              <w:t>沼气</w:t>
            </w:r>
            <w:r>
              <w:rPr>
                <w:rFonts w:ascii="Times New Roman" w:hAnsi="Times New Roman" w:eastAsia="宋体" w:cs="Times New Roman"/>
                <w:sz w:val="24"/>
                <w:highlight w:val="none"/>
              </w:rPr>
              <w:t>储罐区设置防护区，严禁烟火。</w:t>
            </w:r>
          </w:p>
          <w:p w14:paraId="2FAB70A2">
            <w:pPr>
              <w:spacing w:line="360" w:lineRule="auto"/>
              <w:ind w:firstLine="480"/>
              <w:rPr>
                <w:rFonts w:ascii="Times New Roman" w:hAnsi="Times New Roman" w:eastAsia="宋体" w:cs="Times New Roman"/>
                <w:sz w:val="24"/>
                <w:highlight w:val="none"/>
              </w:rPr>
            </w:pPr>
            <w:r>
              <w:rPr>
                <w:rFonts w:hint="eastAsia" w:ascii="Times New Roman" w:hAnsi="Times New Roman" w:eastAsia="宋体" w:cs="Times New Roman"/>
                <w:sz w:val="24"/>
                <w:highlight w:val="none"/>
              </w:rPr>
              <w:t>⑦</w:t>
            </w:r>
            <w:r>
              <w:rPr>
                <w:rFonts w:ascii="Times New Roman" w:hAnsi="Times New Roman" w:eastAsia="宋体" w:cs="Times New Roman"/>
                <w:sz w:val="24"/>
                <w:highlight w:val="none"/>
              </w:rPr>
              <w:t>维修过程中</w:t>
            </w:r>
            <w:r>
              <w:rPr>
                <w:rFonts w:hint="eastAsia" w:ascii="Times New Roman" w:hAnsi="Times New Roman" w:eastAsia="宋体" w:cs="Times New Roman"/>
                <w:sz w:val="24"/>
                <w:highlight w:val="none"/>
              </w:rPr>
              <w:t>必须</w:t>
            </w:r>
            <w:r>
              <w:rPr>
                <w:rFonts w:ascii="Times New Roman" w:hAnsi="Times New Roman" w:eastAsia="宋体" w:cs="Times New Roman"/>
                <w:sz w:val="24"/>
                <w:highlight w:val="none"/>
              </w:rPr>
              <w:t>使用不发火工具</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职工穿戴防静电工作服</w:t>
            </w:r>
            <w:r>
              <w:rPr>
                <w:rFonts w:hint="eastAsia" w:ascii="Times New Roman" w:hAnsi="Times New Roman" w:eastAsia="宋体" w:cs="Times New Roman"/>
                <w:sz w:val="24"/>
                <w:highlight w:val="none"/>
              </w:rPr>
              <w:t>。</w:t>
            </w:r>
          </w:p>
          <w:p w14:paraId="53A7AE6D">
            <w:pPr>
              <w:spacing w:line="360" w:lineRule="auto"/>
              <w:ind w:firstLine="480"/>
              <w:rPr>
                <w:rFonts w:ascii="Times New Roman" w:hAnsi="Times New Roman" w:eastAsia="宋体" w:cs="Times New Roman"/>
                <w:sz w:val="24"/>
                <w:highlight w:val="none"/>
              </w:rPr>
            </w:pPr>
            <w:r>
              <w:rPr>
                <w:rFonts w:hint="eastAsia" w:ascii="Times New Roman" w:hAnsi="Times New Roman" w:eastAsia="宋体" w:cs="Times New Roman"/>
                <w:sz w:val="24"/>
                <w:highlight w:val="none"/>
              </w:rPr>
              <w:t>⑧</w:t>
            </w:r>
            <w:r>
              <w:rPr>
                <w:rFonts w:hint="eastAsia"/>
                <w:sz w:val="24"/>
                <w:highlight w:val="none"/>
              </w:rPr>
              <w:t>定期维护暂时贮存设施、设备。运输危险废物车辆的驾驶员一定要经过专业的培训，运输车辆必须保持安全车速，严禁外来明火，同时还必须有随车人员</w:t>
            </w:r>
            <w:r>
              <w:rPr>
                <w:rFonts w:hint="eastAsia" w:ascii="Times New Roman" w:hAnsi="Times New Roman" w:eastAsia="宋体" w:cs="Times New Roman"/>
                <w:sz w:val="24"/>
                <w:highlight w:val="none"/>
              </w:rPr>
              <w:t>负责押送，随车人员必须经过专业的培训。</w:t>
            </w:r>
          </w:p>
          <w:p w14:paraId="62DB7685">
            <w:pPr>
              <w:spacing w:line="360" w:lineRule="auto"/>
              <w:ind w:firstLine="480"/>
              <w:rPr>
                <w:rFonts w:ascii="Times New Roman" w:hAnsi="Times New Roman" w:eastAsia="宋体" w:cs="Times New Roman"/>
                <w:sz w:val="24"/>
                <w:highlight w:val="none"/>
              </w:rPr>
            </w:pPr>
            <w:r>
              <w:rPr>
                <w:rFonts w:hint="eastAsia" w:ascii="Times New Roman" w:hAnsi="Times New Roman" w:eastAsia="宋体" w:cs="Times New Roman"/>
                <w:sz w:val="24"/>
                <w:highlight w:val="none"/>
              </w:rPr>
              <w:t>⑨</w:t>
            </w:r>
            <w:r>
              <w:rPr>
                <w:rFonts w:ascii="Times New Roman" w:hAnsi="Times New Roman" w:eastAsia="宋体" w:cs="Times New Roman"/>
                <w:sz w:val="24"/>
                <w:highlight w:val="none"/>
              </w:rPr>
              <w:t>提高工作人员环</w:t>
            </w:r>
            <w:r>
              <w:rPr>
                <w:rFonts w:hint="eastAsia" w:ascii="Times New Roman" w:hAnsi="Times New Roman" w:eastAsia="宋体" w:cs="Times New Roman"/>
                <w:sz w:val="24"/>
                <w:highlight w:val="none"/>
              </w:rPr>
              <w:t>境</w:t>
            </w:r>
            <w:r>
              <w:rPr>
                <w:rFonts w:ascii="Times New Roman" w:hAnsi="Times New Roman" w:eastAsia="宋体" w:cs="Times New Roman"/>
                <w:sz w:val="24"/>
                <w:highlight w:val="none"/>
              </w:rPr>
              <w:t>风险意识，制定各项环保制度。对从业人员进行岗位职工教育与培训，使他们均具备危险意识及如何</w:t>
            </w:r>
            <w:r>
              <w:rPr>
                <w:rFonts w:hint="eastAsia" w:ascii="Times New Roman" w:hAnsi="Times New Roman" w:eastAsia="宋体" w:cs="Times New Roman"/>
                <w:sz w:val="24"/>
                <w:highlight w:val="none"/>
              </w:rPr>
              <w:t>应对</w:t>
            </w:r>
            <w:r>
              <w:rPr>
                <w:rFonts w:ascii="Times New Roman" w:hAnsi="Times New Roman" w:eastAsia="宋体" w:cs="Times New Roman"/>
                <w:sz w:val="24"/>
                <w:highlight w:val="none"/>
              </w:rPr>
              <w:t>危险的知识，并进行相关泄露</w:t>
            </w:r>
            <w:r>
              <w:rPr>
                <w:rFonts w:hint="eastAsia" w:ascii="Times New Roman" w:hAnsi="Times New Roman" w:eastAsia="宋体" w:cs="Times New Roman"/>
                <w:sz w:val="24"/>
                <w:highlight w:val="none"/>
                <w:lang w:eastAsia="zh-CN"/>
              </w:rPr>
              <w:t>、</w:t>
            </w:r>
            <w:r>
              <w:rPr>
                <w:rFonts w:hint="eastAsia" w:ascii="Times New Roman" w:hAnsi="Times New Roman" w:eastAsia="宋体" w:cs="Times New Roman"/>
                <w:sz w:val="24"/>
                <w:highlight w:val="none"/>
                <w:lang w:val="en-US" w:eastAsia="zh-CN"/>
              </w:rPr>
              <w:t>爆炸</w:t>
            </w:r>
            <w:r>
              <w:rPr>
                <w:rFonts w:ascii="Times New Roman" w:hAnsi="Times New Roman" w:eastAsia="宋体" w:cs="Times New Roman"/>
                <w:sz w:val="24"/>
                <w:highlight w:val="none"/>
              </w:rPr>
              <w:t>事故的教育。设立应急事故专门记录，建立档案和报告制度，由专门部门或人员负责管理</w:t>
            </w:r>
            <w:r>
              <w:rPr>
                <w:rFonts w:hint="eastAsia" w:ascii="Times New Roman" w:hAnsi="Times New Roman" w:eastAsia="宋体" w:cs="Times New Roman"/>
                <w:sz w:val="24"/>
                <w:highlight w:val="none"/>
              </w:rPr>
              <w:t>。</w:t>
            </w:r>
          </w:p>
          <w:p w14:paraId="185EADE0">
            <w:pPr>
              <w:spacing w:line="360" w:lineRule="auto"/>
              <w:ind w:firstLine="480"/>
              <w:rPr>
                <w:rFonts w:ascii="Times New Roman" w:hAnsi="Times New Roman" w:eastAsia="宋体" w:cs="Times New Roman"/>
                <w:sz w:val="24"/>
                <w:highlight w:val="none"/>
              </w:rPr>
            </w:pPr>
            <w:r>
              <w:rPr>
                <w:rFonts w:hint="eastAsia" w:ascii="Times New Roman" w:hAnsi="Times New Roman" w:eastAsia="宋体" w:cs="Times New Roman"/>
                <w:sz w:val="24"/>
                <w:highlight w:val="none"/>
              </w:rPr>
              <w:t>⑩</w:t>
            </w:r>
            <w:r>
              <w:rPr>
                <w:rFonts w:ascii="Times New Roman" w:hAnsi="Times New Roman" w:eastAsia="宋体" w:cs="Times New Roman"/>
                <w:sz w:val="24"/>
                <w:highlight w:val="none"/>
              </w:rPr>
              <w:t>执行环保事故报告制度，一经发现环保事故，立即向企业负责人、当地政府或上级有关部门报告，不瞒报</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漏报，及时组织进行处置。具体负责人员或部门统一指挥对事故现场的应急救援，并立即查明原因，提出对策，及时组织各方面力量处理泄露事故，控制事故的蔓延和扩大</w:t>
            </w:r>
            <w:r>
              <w:rPr>
                <w:rFonts w:hint="eastAsia" w:ascii="Times New Roman" w:hAnsi="Times New Roman" w:eastAsia="宋体" w:cs="Times New Roman"/>
                <w:sz w:val="24"/>
                <w:highlight w:val="none"/>
              </w:rPr>
              <w:t>。</w:t>
            </w:r>
          </w:p>
          <w:p w14:paraId="034130E3">
            <w:pPr>
              <w:spacing w:line="360" w:lineRule="auto"/>
              <w:ind w:firstLine="480"/>
              <w:rPr>
                <w:rFonts w:ascii="Times New Roman" w:hAnsi="Times New Roman" w:eastAsia="宋体" w:cs="Times New Roman"/>
                <w:sz w:val="24"/>
                <w:highlight w:val="none"/>
              </w:rPr>
            </w:pPr>
            <w:r>
              <w:rPr>
                <w:rFonts w:hint="eastAsia" w:ascii="Times New Roman" w:hAnsi="Times New Roman" w:eastAsia="宋体" w:cs="Times New Roman"/>
                <w:sz w:val="24"/>
                <w:highlight w:val="none"/>
              </w:rPr>
              <w:t>⑪项目主体单位应成立本厂的突发环境事件应急小组指挥部，责任到人，确保应急小组分工明确，以有效应对突发事件的发生，同时，</w:t>
            </w:r>
            <w:r>
              <w:rPr>
                <w:rFonts w:ascii="Times New Roman" w:hAnsi="Times New Roman" w:eastAsia="宋体" w:cs="Times New Roman"/>
                <w:sz w:val="24"/>
                <w:highlight w:val="none"/>
              </w:rPr>
              <w:t>项目应依据《中华人民共和国突发事件应对法》、《企业事业单位突发环境事件应急预案备案管理办法》（试行）的相关要求，进行《突发环境事件应急预案》</w:t>
            </w:r>
            <w:r>
              <w:rPr>
                <w:rFonts w:hint="eastAsia" w:ascii="Times New Roman" w:hAnsi="Times New Roman" w:eastAsia="宋体" w:cs="Times New Roman"/>
                <w:sz w:val="24"/>
                <w:highlight w:val="none"/>
              </w:rPr>
              <w:t>的</w:t>
            </w:r>
            <w:r>
              <w:rPr>
                <w:rFonts w:ascii="Times New Roman" w:hAnsi="Times New Roman" w:eastAsia="宋体" w:cs="Times New Roman"/>
                <w:sz w:val="24"/>
                <w:highlight w:val="none"/>
              </w:rPr>
              <w:t>编制及备案工作。</w:t>
            </w:r>
          </w:p>
          <w:p w14:paraId="51104BFC">
            <w:pPr>
              <w:spacing w:line="360" w:lineRule="auto"/>
              <w:ind w:firstLine="480"/>
              <w:rPr>
                <w:sz w:val="24"/>
                <w:highlight w:val="none"/>
              </w:rPr>
            </w:pPr>
            <w:r>
              <w:rPr>
                <w:rFonts w:hint="eastAsia" w:ascii="Times New Roman" w:hAnsi="Times New Roman" w:eastAsia="宋体" w:cs="Times New Roman"/>
                <w:sz w:val="24"/>
                <w:highlight w:val="none"/>
              </w:rPr>
              <w:t>⑫</w:t>
            </w:r>
            <w:r>
              <w:rPr>
                <w:rFonts w:ascii="Times New Roman" w:hAnsi="Times New Roman" w:eastAsia="宋体" w:cs="Times New Roman"/>
                <w:sz w:val="24"/>
                <w:highlight w:val="none"/>
              </w:rPr>
              <w:t>对临近区公众开展环境风险事</w:t>
            </w:r>
            <w:r>
              <w:rPr>
                <w:sz w:val="24"/>
                <w:highlight w:val="none"/>
              </w:rPr>
              <w:t>故预防教育、应急知识培训，定期发布相关信息。</w:t>
            </w:r>
          </w:p>
          <w:p w14:paraId="46C7A628">
            <w:pPr>
              <w:pStyle w:val="2"/>
              <w:ind w:left="420"/>
              <w:rPr>
                <w:highlight w:val="none"/>
              </w:rPr>
            </w:pPr>
          </w:p>
          <w:p w14:paraId="4E62321A">
            <w:pPr>
              <w:pStyle w:val="2"/>
              <w:ind w:left="420"/>
              <w:rPr>
                <w:highlight w:val="none"/>
              </w:rPr>
            </w:pPr>
          </w:p>
          <w:p w14:paraId="4A92480F">
            <w:pPr>
              <w:pStyle w:val="2"/>
              <w:ind w:left="420"/>
              <w:rPr>
                <w:highlight w:val="none"/>
              </w:rPr>
            </w:pPr>
          </w:p>
          <w:p w14:paraId="44FB7F08">
            <w:pPr>
              <w:pStyle w:val="2"/>
              <w:ind w:left="420"/>
              <w:rPr>
                <w:highlight w:val="none"/>
              </w:rPr>
            </w:pPr>
          </w:p>
          <w:p w14:paraId="460097E6">
            <w:pPr>
              <w:pStyle w:val="2"/>
              <w:ind w:left="420"/>
              <w:rPr>
                <w:highlight w:val="none"/>
              </w:rPr>
            </w:pPr>
          </w:p>
          <w:p w14:paraId="30C6B774">
            <w:pPr>
              <w:pStyle w:val="2"/>
              <w:ind w:left="0" w:leftChars="0" w:firstLine="0" w:firstLineChars="0"/>
              <w:jc w:val="both"/>
              <w:rPr>
                <w:highlight w:val="none"/>
              </w:rPr>
            </w:pPr>
          </w:p>
          <w:p w14:paraId="63634780">
            <w:pPr>
              <w:pStyle w:val="2"/>
              <w:ind w:left="0" w:leftChars="0" w:firstLine="0" w:firstLineChars="0"/>
              <w:jc w:val="both"/>
              <w:rPr>
                <w:highlight w:val="none"/>
              </w:rPr>
            </w:pPr>
          </w:p>
        </w:tc>
      </w:tr>
    </w:tbl>
    <w:p w14:paraId="3C3F2EBF">
      <w:pPr>
        <w:adjustRightInd w:val="0"/>
        <w:snapToGrid w:val="0"/>
        <w:spacing w:line="360" w:lineRule="auto"/>
        <w:rPr>
          <w:rFonts w:ascii="宋体" w:cs="宋体"/>
          <w:b/>
          <w:kern w:val="0"/>
          <w:sz w:val="28"/>
          <w:szCs w:val="28"/>
          <w:highlight w:val="green"/>
        </w:rPr>
        <w:sectPr>
          <w:pgSz w:w="11907" w:h="16840"/>
          <w:pgMar w:top="1701" w:right="1531" w:bottom="1701" w:left="1531" w:header="851" w:footer="851" w:gutter="0"/>
          <w:cols w:space="720" w:num="1"/>
          <w:docGrid w:linePitch="312" w:charSpace="0"/>
        </w:sectPr>
      </w:pPr>
    </w:p>
    <w:p w14:paraId="340F7461">
      <w:pPr>
        <w:pStyle w:val="19"/>
        <w:spacing w:before="120" w:beforeLines="50" w:beforeAutospacing="0" w:after="240" w:afterLines="100" w:afterAutospacing="0"/>
        <w:jc w:val="center"/>
        <w:outlineLvl w:val="0"/>
        <w:rPr>
          <w:rFonts w:ascii="黑体" w:hAnsi="黑体" w:eastAsia="黑体"/>
          <w:snapToGrid w:val="0"/>
          <w:sz w:val="30"/>
          <w:szCs w:val="30"/>
        </w:rPr>
      </w:pPr>
      <w:r>
        <w:rPr>
          <w:rFonts w:hint="eastAsia" w:ascii="黑体" w:hAnsi="黑体" w:eastAsia="黑体"/>
          <w:snapToGrid w:val="0"/>
          <w:sz w:val="30"/>
          <w:szCs w:val="30"/>
        </w:rPr>
        <w:t>五、</w:t>
      </w:r>
      <w:bookmarkStart w:id="20" w:name="_Hlk54167917"/>
      <w:r>
        <w:rPr>
          <w:rFonts w:hint="eastAsia" w:ascii="黑体" w:hAnsi="黑体" w:eastAsia="黑体"/>
          <w:snapToGrid w:val="0"/>
          <w:sz w:val="30"/>
          <w:szCs w:val="30"/>
        </w:rPr>
        <w:t>环境保护措施监督检查清单</w:t>
      </w:r>
      <w:bookmarkEnd w:id="20"/>
    </w:p>
    <w:tbl>
      <w:tblPr>
        <w:tblStyle w:val="23"/>
        <w:tblW w:w="920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74"/>
        <w:gridCol w:w="1380"/>
        <w:gridCol w:w="1312"/>
        <w:gridCol w:w="2237"/>
        <w:gridCol w:w="3201"/>
      </w:tblGrid>
      <w:tr w14:paraId="7FA074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4" w:type="dxa"/>
            <w:tcBorders>
              <w:top w:val="single" w:color="auto" w:sz="8" w:space="0"/>
              <w:left w:val="single" w:color="auto" w:sz="8" w:space="0"/>
              <w:bottom w:val="single" w:color="auto" w:sz="4" w:space="0"/>
              <w:right w:val="single" w:color="auto" w:sz="4" w:space="0"/>
              <w:tl2br w:val="single" w:color="auto" w:sz="4" w:space="0"/>
            </w:tcBorders>
            <w:shd w:val="clear" w:color="auto" w:fill="auto"/>
            <w:vAlign w:val="center"/>
          </w:tcPr>
          <w:p w14:paraId="4E521E8C">
            <w:pPr>
              <w:adjustRightInd w:val="0"/>
              <w:snapToGrid w:val="0"/>
              <w:jc w:val="right"/>
              <w:rPr>
                <w:b/>
                <w:sz w:val="24"/>
              </w:rPr>
            </w:pPr>
            <w:r>
              <w:rPr>
                <w:b/>
                <w:sz w:val="24"/>
                <w:lang w:bidi="ar"/>
              </w:rPr>
              <w:t>内容</w:t>
            </w:r>
          </w:p>
          <w:p w14:paraId="3F6ACBB5">
            <w:pPr>
              <w:adjustRightInd w:val="0"/>
              <w:snapToGrid w:val="0"/>
              <w:jc w:val="left"/>
              <w:rPr>
                <w:b/>
                <w:sz w:val="24"/>
              </w:rPr>
            </w:pPr>
            <w:r>
              <w:rPr>
                <w:b/>
                <w:sz w:val="24"/>
                <w:lang w:bidi="ar"/>
              </w:rPr>
              <w:t>要素</w:t>
            </w:r>
          </w:p>
        </w:tc>
        <w:tc>
          <w:tcPr>
            <w:tcW w:w="1380" w:type="dxa"/>
            <w:tcBorders>
              <w:top w:val="single" w:color="auto" w:sz="8" w:space="0"/>
              <w:left w:val="single" w:color="auto" w:sz="4" w:space="0"/>
              <w:bottom w:val="single" w:color="auto" w:sz="4" w:space="0"/>
              <w:right w:val="single" w:color="auto" w:sz="4" w:space="0"/>
            </w:tcBorders>
            <w:shd w:val="clear" w:color="auto" w:fill="auto"/>
            <w:vAlign w:val="center"/>
          </w:tcPr>
          <w:p w14:paraId="7F15B957">
            <w:pPr>
              <w:adjustRightInd w:val="0"/>
              <w:snapToGrid w:val="0"/>
              <w:jc w:val="center"/>
              <w:rPr>
                <w:b/>
                <w:sz w:val="24"/>
              </w:rPr>
            </w:pPr>
            <w:r>
              <w:rPr>
                <w:b/>
                <w:sz w:val="24"/>
                <w:lang w:bidi="ar"/>
              </w:rPr>
              <w:t>排放口(编号、名称)/污染源</w:t>
            </w:r>
          </w:p>
        </w:tc>
        <w:tc>
          <w:tcPr>
            <w:tcW w:w="1312" w:type="dxa"/>
            <w:tcBorders>
              <w:top w:val="single" w:color="auto" w:sz="8" w:space="0"/>
              <w:left w:val="single" w:color="auto" w:sz="4" w:space="0"/>
              <w:bottom w:val="single" w:color="auto" w:sz="4" w:space="0"/>
              <w:right w:val="single" w:color="auto" w:sz="4" w:space="0"/>
            </w:tcBorders>
            <w:shd w:val="clear" w:color="auto" w:fill="auto"/>
            <w:vAlign w:val="center"/>
          </w:tcPr>
          <w:p w14:paraId="7F742F98">
            <w:pPr>
              <w:adjustRightInd w:val="0"/>
              <w:snapToGrid w:val="0"/>
              <w:jc w:val="center"/>
              <w:rPr>
                <w:b/>
                <w:sz w:val="24"/>
              </w:rPr>
            </w:pPr>
            <w:r>
              <w:rPr>
                <w:b/>
                <w:sz w:val="24"/>
                <w:lang w:bidi="ar"/>
              </w:rPr>
              <w:t>污染物项目</w:t>
            </w:r>
          </w:p>
        </w:tc>
        <w:tc>
          <w:tcPr>
            <w:tcW w:w="2237" w:type="dxa"/>
            <w:tcBorders>
              <w:top w:val="single" w:color="auto" w:sz="8" w:space="0"/>
              <w:left w:val="single" w:color="auto" w:sz="4" w:space="0"/>
              <w:bottom w:val="single" w:color="auto" w:sz="4" w:space="0"/>
              <w:right w:val="single" w:color="auto" w:sz="4" w:space="0"/>
            </w:tcBorders>
            <w:shd w:val="clear" w:color="auto" w:fill="auto"/>
            <w:vAlign w:val="center"/>
          </w:tcPr>
          <w:p w14:paraId="2752D720">
            <w:pPr>
              <w:adjustRightInd w:val="0"/>
              <w:snapToGrid w:val="0"/>
              <w:jc w:val="center"/>
              <w:rPr>
                <w:b/>
                <w:sz w:val="24"/>
              </w:rPr>
            </w:pPr>
            <w:r>
              <w:rPr>
                <w:b/>
                <w:sz w:val="24"/>
                <w:lang w:bidi="ar"/>
              </w:rPr>
              <w:t>环境保护措施</w:t>
            </w:r>
          </w:p>
        </w:tc>
        <w:tc>
          <w:tcPr>
            <w:tcW w:w="3201" w:type="dxa"/>
            <w:tcBorders>
              <w:top w:val="single" w:color="auto" w:sz="8" w:space="0"/>
              <w:left w:val="single" w:color="auto" w:sz="4" w:space="0"/>
              <w:bottom w:val="single" w:color="auto" w:sz="4" w:space="0"/>
              <w:right w:val="single" w:color="auto" w:sz="8" w:space="0"/>
            </w:tcBorders>
            <w:shd w:val="clear" w:color="auto" w:fill="auto"/>
            <w:vAlign w:val="center"/>
          </w:tcPr>
          <w:p w14:paraId="3013B8AC">
            <w:pPr>
              <w:adjustRightInd w:val="0"/>
              <w:snapToGrid w:val="0"/>
              <w:jc w:val="center"/>
              <w:rPr>
                <w:b/>
                <w:sz w:val="24"/>
              </w:rPr>
            </w:pPr>
            <w:r>
              <w:rPr>
                <w:b/>
                <w:sz w:val="24"/>
                <w:lang w:bidi="ar"/>
              </w:rPr>
              <w:t>执行标准</w:t>
            </w:r>
          </w:p>
        </w:tc>
      </w:tr>
      <w:tr w14:paraId="09E8DE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4" w:type="dxa"/>
            <w:tcBorders>
              <w:top w:val="single" w:color="auto" w:sz="4" w:space="0"/>
              <w:left w:val="single" w:color="auto" w:sz="8" w:space="0"/>
              <w:right w:val="single" w:color="auto" w:sz="4" w:space="0"/>
            </w:tcBorders>
            <w:shd w:val="clear" w:color="auto" w:fill="auto"/>
            <w:vAlign w:val="center"/>
          </w:tcPr>
          <w:p w14:paraId="499C80AE">
            <w:pPr>
              <w:adjustRightInd w:val="0"/>
              <w:snapToGrid w:val="0"/>
              <w:jc w:val="center"/>
              <w:rPr>
                <w:sz w:val="24"/>
              </w:rPr>
            </w:pPr>
            <w:r>
              <w:rPr>
                <w:sz w:val="24"/>
                <w:lang w:bidi="ar"/>
              </w:rPr>
              <w:t>大气环境</w:t>
            </w:r>
          </w:p>
        </w:tc>
        <w:tc>
          <w:tcPr>
            <w:tcW w:w="1380" w:type="dxa"/>
            <w:tcBorders>
              <w:top w:val="single" w:color="auto" w:sz="4" w:space="0"/>
              <w:left w:val="single" w:color="auto" w:sz="4" w:space="0"/>
              <w:bottom w:val="single" w:color="auto" w:sz="4" w:space="0"/>
              <w:right w:val="single" w:color="auto" w:sz="4" w:space="0"/>
            </w:tcBorders>
            <w:shd w:val="clear" w:color="auto" w:fill="auto"/>
            <w:vAlign w:val="center"/>
          </w:tcPr>
          <w:p w14:paraId="140160EA">
            <w:pPr>
              <w:jc w:val="center"/>
              <w:rPr>
                <w:sz w:val="24"/>
              </w:rPr>
            </w:pPr>
            <w:r>
              <w:rPr>
                <w:rFonts w:hint="eastAsia"/>
                <w:sz w:val="24"/>
                <w:lang w:val="en-US" w:eastAsia="zh-CN"/>
              </w:rPr>
              <w:t>锅炉</w:t>
            </w:r>
            <w:r>
              <w:rPr>
                <w:rFonts w:hint="eastAsia"/>
                <w:sz w:val="24"/>
              </w:rPr>
              <w:t>烟气排气筒</w:t>
            </w:r>
            <w:r>
              <w:rPr>
                <w:sz w:val="24"/>
              </w:rPr>
              <w:t>DA001</w:t>
            </w:r>
          </w:p>
        </w:tc>
        <w:tc>
          <w:tcPr>
            <w:tcW w:w="1312" w:type="dxa"/>
            <w:tcBorders>
              <w:top w:val="single" w:color="auto" w:sz="4" w:space="0"/>
              <w:left w:val="single" w:color="auto" w:sz="4" w:space="0"/>
              <w:bottom w:val="single" w:color="auto" w:sz="4" w:space="0"/>
              <w:right w:val="single" w:color="auto" w:sz="4" w:space="0"/>
            </w:tcBorders>
            <w:shd w:val="clear" w:color="auto" w:fill="auto"/>
            <w:vAlign w:val="center"/>
          </w:tcPr>
          <w:p w14:paraId="13EFB259">
            <w:pPr>
              <w:adjustRightInd w:val="0"/>
              <w:snapToGrid w:val="0"/>
              <w:jc w:val="center"/>
              <w:rPr>
                <w:sz w:val="24"/>
              </w:rPr>
            </w:pPr>
            <w:r>
              <w:rPr>
                <w:sz w:val="24"/>
              </w:rPr>
              <w:t>颗粒物、SO</w:t>
            </w:r>
            <w:r>
              <w:rPr>
                <w:sz w:val="24"/>
                <w:vertAlign w:val="subscript"/>
              </w:rPr>
              <w:t>2</w:t>
            </w:r>
            <w:r>
              <w:rPr>
                <w:sz w:val="24"/>
              </w:rPr>
              <w:t>、NO</w:t>
            </w:r>
            <w:r>
              <w:rPr>
                <w:sz w:val="24"/>
                <w:vertAlign w:val="subscript"/>
              </w:rPr>
              <w:t>x</w:t>
            </w:r>
            <w:r>
              <w:rPr>
                <w:rFonts w:hint="eastAsia"/>
                <w:sz w:val="24"/>
              </w:rPr>
              <w:t>、</w:t>
            </w:r>
          </w:p>
          <w:p w14:paraId="6D99C2CA">
            <w:pPr>
              <w:adjustRightInd w:val="0"/>
              <w:snapToGrid w:val="0"/>
              <w:jc w:val="center"/>
              <w:rPr>
                <w:sz w:val="24"/>
              </w:rPr>
            </w:pPr>
            <w:r>
              <w:rPr>
                <w:sz w:val="24"/>
              </w:rPr>
              <w:t>烟气黑度</w:t>
            </w:r>
          </w:p>
        </w:tc>
        <w:tc>
          <w:tcPr>
            <w:tcW w:w="2237" w:type="dxa"/>
            <w:tcBorders>
              <w:top w:val="single" w:color="auto" w:sz="4" w:space="0"/>
              <w:left w:val="single" w:color="auto" w:sz="4" w:space="0"/>
              <w:bottom w:val="single" w:color="auto" w:sz="4" w:space="0"/>
              <w:right w:val="single" w:color="auto" w:sz="4" w:space="0"/>
            </w:tcBorders>
            <w:shd w:val="clear" w:color="auto" w:fill="auto"/>
            <w:vAlign w:val="center"/>
          </w:tcPr>
          <w:p w14:paraId="3ED2C402">
            <w:pPr>
              <w:widowControl/>
              <w:snapToGrid w:val="0"/>
              <w:jc w:val="center"/>
              <w:rPr>
                <w:sz w:val="24"/>
              </w:rPr>
            </w:pPr>
            <w:r>
              <w:rPr>
                <w:rFonts w:hint="eastAsia" w:ascii="Times New Roman" w:hAnsi="Times New Roman" w:eastAsia="宋体" w:cs="Times New Roman"/>
                <w:sz w:val="24"/>
              </w:rPr>
              <w:t>锅炉</w:t>
            </w:r>
            <w:r>
              <w:rPr>
                <w:rFonts w:hint="eastAsia" w:ascii="Times New Roman" w:hAnsi="Times New Roman" w:eastAsia="宋体" w:cs="Times New Roman"/>
                <w:sz w:val="24"/>
                <w:lang w:val="en-US" w:eastAsia="zh-CN"/>
              </w:rPr>
              <w:t>安装有</w:t>
            </w:r>
            <w:r>
              <w:rPr>
                <w:rFonts w:hint="eastAsia" w:ascii="Times New Roman" w:hAnsi="Times New Roman" w:eastAsia="宋体" w:cs="Times New Roman"/>
                <w:sz w:val="24"/>
              </w:rPr>
              <w:t>低氮燃烧器</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锅炉烟气</w:t>
            </w:r>
            <w:r>
              <w:rPr>
                <w:rFonts w:hint="eastAsia" w:ascii="Times New Roman" w:hAnsi="Times New Roman" w:eastAsia="宋体" w:cs="Times New Roman"/>
                <w:sz w:val="24"/>
              </w:rPr>
              <w:t>经</w:t>
            </w:r>
            <w:r>
              <w:rPr>
                <w:rFonts w:hint="eastAsia" w:ascii="Times New Roman" w:hAnsi="Times New Roman" w:eastAsia="宋体" w:cs="Times New Roman"/>
                <w:sz w:val="24"/>
                <w:lang w:val="en-US" w:eastAsia="zh-CN"/>
              </w:rPr>
              <w:t>一根15m</w:t>
            </w:r>
            <w:r>
              <w:rPr>
                <w:rFonts w:hint="eastAsia" w:ascii="Times New Roman" w:hAnsi="Times New Roman" w:eastAsia="宋体" w:cs="Times New Roman"/>
                <w:sz w:val="24"/>
              </w:rPr>
              <w:t>高排气筒排放</w:t>
            </w:r>
          </w:p>
        </w:tc>
        <w:tc>
          <w:tcPr>
            <w:tcW w:w="3201" w:type="dxa"/>
            <w:tcBorders>
              <w:top w:val="single" w:color="auto" w:sz="4" w:space="0"/>
              <w:left w:val="single" w:color="auto" w:sz="4" w:space="0"/>
              <w:right w:val="single" w:color="auto" w:sz="8" w:space="0"/>
            </w:tcBorders>
            <w:shd w:val="clear" w:color="auto" w:fill="auto"/>
            <w:vAlign w:val="center"/>
          </w:tcPr>
          <w:p w14:paraId="36B647AF">
            <w:pPr>
              <w:jc w:val="center"/>
              <w:rPr>
                <w:sz w:val="24"/>
                <w:highlight w:val="green"/>
              </w:rPr>
            </w:pPr>
            <w:r>
              <w:rPr>
                <w:rFonts w:hint="eastAsia"/>
                <w:sz w:val="24"/>
              </w:rPr>
              <w:t>《锅炉大气污染物排放标准》（DB13/5161-2020）</w:t>
            </w:r>
          </w:p>
        </w:tc>
      </w:tr>
      <w:tr w14:paraId="7E40E2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9" w:hRule="atLeast"/>
          <w:jc w:val="center"/>
        </w:trPr>
        <w:tc>
          <w:tcPr>
            <w:tcW w:w="1074" w:type="dxa"/>
            <w:vMerge w:val="restart"/>
            <w:tcBorders>
              <w:top w:val="single" w:color="auto" w:sz="4" w:space="0"/>
              <w:left w:val="single" w:color="auto" w:sz="8" w:space="0"/>
              <w:right w:val="single" w:color="auto" w:sz="4" w:space="0"/>
            </w:tcBorders>
            <w:shd w:val="clear" w:color="auto" w:fill="auto"/>
            <w:vAlign w:val="center"/>
          </w:tcPr>
          <w:p w14:paraId="2A033292">
            <w:pPr>
              <w:adjustRightInd w:val="0"/>
              <w:snapToGrid w:val="0"/>
              <w:jc w:val="center"/>
              <w:rPr>
                <w:sz w:val="24"/>
                <w:lang w:bidi="ar"/>
              </w:rPr>
            </w:pPr>
            <w:r>
              <w:rPr>
                <w:rFonts w:hint="eastAsia"/>
                <w:sz w:val="24"/>
                <w:lang w:bidi="ar"/>
              </w:rPr>
              <w:t>地表水环境</w:t>
            </w:r>
          </w:p>
        </w:tc>
        <w:tc>
          <w:tcPr>
            <w:tcW w:w="1380" w:type="dxa"/>
            <w:tcBorders>
              <w:top w:val="single" w:color="auto" w:sz="4" w:space="0"/>
              <w:left w:val="single" w:color="auto" w:sz="4" w:space="0"/>
              <w:bottom w:val="single" w:color="auto" w:sz="4" w:space="0"/>
              <w:right w:val="single" w:color="auto" w:sz="4" w:space="0"/>
            </w:tcBorders>
            <w:shd w:val="clear" w:color="auto" w:fill="auto"/>
            <w:vAlign w:val="center"/>
          </w:tcPr>
          <w:p w14:paraId="57B7E6AD">
            <w:pPr>
              <w:adjustRightInd w:val="0"/>
              <w:snapToGrid w:val="0"/>
              <w:jc w:val="center"/>
              <w:rPr>
                <w:rFonts w:hint="eastAsia" w:eastAsia="宋体"/>
                <w:sz w:val="24"/>
                <w:lang w:eastAsia="zh-CN"/>
              </w:rPr>
            </w:pPr>
            <w:r>
              <w:rPr>
                <w:rFonts w:hint="eastAsia"/>
                <w:sz w:val="24"/>
                <w:lang w:val="en-US" w:eastAsia="zh-CN"/>
              </w:rPr>
              <w:t>锅炉</w:t>
            </w:r>
          </w:p>
        </w:tc>
        <w:tc>
          <w:tcPr>
            <w:tcW w:w="1312" w:type="dxa"/>
            <w:tcBorders>
              <w:top w:val="single" w:color="auto" w:sz="4" w:space="0"/>
              <w:left w:val="single" w:color="auto" w:sz="4" w:space="0"/>
              <w:bottom w:val="single" w:color="auto" w:sz="4" w:space="0"/>
              <w:right w:val="single" w:color="auto" w:sz="4" w:space="0"/>
            </w:tcBorders>
            <w:shd w:val="clear" w:color="auto" w:fill="auto"/>
            <w:vAlign w:val="center"/>
          </w:tcPr>
          <w:p w14:paraId="45195A4E">
            <w:pPr>
              <w:adjustRightInd w:val="0"/>
              <w:snapToGrid w:val="0"/>
              <w:jc w:val="center"/>
              <w:rPr>
                <w:rFonts w:hint="default" w:eastAsia="宋体"/>
                <w:sz w:val="24"/>
                <w:lang w:val="en-US" w:eastAsia="zh-CN"/>
              </w:rPr>
            </w:pPr>
            <w:r>
              <w:rPr>
                <w:rFonts w:hint="eastAsia"/>
                <w:sz w:val="24"/>
                <w:lang w:val="en-US" w:eastAsia="zh-CN"/>
              </w:rPr>
              <w:t>锅炉废水</w:t>
            </w:r>
          </w:p>
        </w:tc>
        <w:tc>
          <w:tcPr>
            <w:tcW w:w="2237" w:type="dxa"/>
            <w:vMerge w:val="restart"/>
            <w:tcBorders>
              <w:top w:val="single" w:color="auto" w:sz="4" w:space="0"/>
              <w:left w:val="single" w:color="auto" w:sz="4" w:space="0"/>
              <w:right w:val="single" w:color="auto" w:sz="4" w:space="0"/>
            </w:tcBorders>
            <w:shd w:val="clear" w:color="auto" w:fill="auto"/>
            <w:vAlign w:val="center"/>
          </w:tcPr>
          <w:p w14:paraId="78AA4BE8">
            <w:pPr>
              <w:widowControl/>
              <w:snapToGrid w:val="0"/>
              <w:jc w:val="center"/>
              <w:rPr>
                <w:rFonts w:hint="default" w:eastAsia="宋体"/>
                <w:sz w:val="24"/>
                <w:lang w:val="en-US" w:eastAsia="zh-CN"/>
              </w:rPr>
            </w:pPr>
            <w:r>
              <w:rPr>
                <w:rFonts w:hint="eastAsia"/>
                <w:sz w:val="24"/>
                <w:lang w:val="en-US" w:eastAsia="zh-CN"/>
              </w:rPr>
              <w:t>排入承德泓辉双合淀粉有限公司污水处理站处理达标后排入蚁蚂吐河</w:t>
            </w:r>
          </w:p>
        </w:tc>
        <w:tc>
          <w:tcPr>
            <w:tcW w:w="3201" w:type="dxa"/>
            <w:vMerge w:val="restart"/>
            <w:tcBorders>
              <w:top w:val="single" w:color="auto" w:sz="4" w:space="0"/>
              <w:left w:val="single" w:color="auto" w:sz="4" w:space="0"/>
              <w:right w:val="single" w:color="auto" w:sz="8" w:space="0"/>
            </w:tcBorders>
            <w:shd w:val="clear" w:color="auto" w:fill="auto"/>
            <w:vAlign w:val="center"/>
          </w:tcPr>
          <w:p w14:paraId="382F00DD">
            <w:pPr>
              <w:adjustRightInd w:val="0"/>
              <w:snapToGrid w:val="0"/>
              <w:jc w:val="center"/>
              <w:rPr>
                <w:rFonts w:hint="default"/>
                <w:sz w:val="24"/>
                <w:lang w:val="en-US"/>
              </w:rPr>
            </w:pPr>
            <w:r>
              <w:rPr>
                <w:rFonts w:hint="eastAsia"/>
                <w:sz w:val="24"/>
                <w:lang w:val="en-US" w:eastAsia="zh-CN"/>
              </w:rPr>
              <w:t>承德泓辉双合淀粉有限公司污水处理站进水水质；污水处理站出水满足《城镇污水处理厂污染物排放标准》（GB18918-2002）表1中一级A标准</w:t>
            </w:r>
          </w:p>
        </w:tc>
      </w:tr>
      <w:tr w14:paraId="5BFBC5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4" w:type="dxa"/>
            <w:vMerge w:val="continue"/>
            <w:tcBorders>
              <w:left w:val="single" w:color="auto" w:sz="8" w:space="0"/>
              <w:right w:val="single" w:color="auto" w:sz="4" w:space="0"/>
            </w:tcBorders>
            <w:shd w:val="clear" w:color="auto" w:fill="auto"/>
            <w:vAlign w:val="center"/>
          </w:tcPr>
          <w:p w14:paraId="1A345B10">
            <w:pPr>
              <w:adjustRightInd w:val="0"/>
              <w:snapToGrid w:val="0"/>
              <w:jc w:val="center"/>
              <w:rPr>
                <w:sz w:val="24"/>
                <w:lang w:bidi="ar"/>
              </w:rPr>
            </w:pPr>
          </w:p>
        </w:tc>
        <w:tc>
          <w:tcPr>
            <w:tcW w:w="1380" w:type="dxa"/>
            <w:tcBorders>
              <w:top w:val="single" w:color="auto" w:sz="4" w:space="0"/>
              <w:left w:val="single" w:color="auto" w:sz="4" w:space="0"/>
              <w:bottom w:val="single" w:color="auto" w:sz="4" w:space="0"/>
              <w:right w:val="single" w:color="auto" w:sz="4" w:space="0"/>
            </w:tcBorders>
            <w:shd w:val="clear" w:color="auto" w:fill="auto"/>
            <w:vAlign w:val="center"/>
          </w:tcPr>
          <w:p w14:paraId="65963613">
            <w:pPr>
              <w:adjustRightInd w:val="0"/>
              <w:snapToGrid w:val="0"/>
              <w:jc w:val="center"/>
              <w:rPr>
                <w:rFonts w:hint="default" w:eastAsia="宋体"/>
                <w:sz w:val="24"/>
                <w:lang w:val="en-US" w:eastAsia="zh-CN"/>
              </w:rPr>
            </w:pPr>
            <w:r>
              <w:rPr>
                <w:rFonts w:hint="eastAsia"/>
                <w:sz w:val="24"/>
                <w:lang w:val="en-US" w:eastAsia="zh-CN"/>
              </w:rPr>
              <w:t>软水制备</w:t>
            </w:r>
          </w:p>
        </w:tc>
        <w:tc>
          <w:tcPr>
            <w:tcW w:w="1312" w:type="dxa"/>
            <w:tcBorders>
              <w:top w:val="single" w:color="auto" w:sz="4" w:space="0"/>
              <w:left w:val="single" w:color="auto" w:sz="4" w:space="0"/>
              <w:bottom w:val="single" w:color="auto" w:sz="4" w:space="0"/>
              <w:right w:val="single" w:color="auto" w:sz="4" w:space="0"/>
            </w:tcBorders>
            <w:shd w:val="clear" w:color="auto" w:fill="auto"/>
            <w:vAlign w:val="center"/>
          </w:tcPr>
          <w:p w14:paraId="4EA558C2">
            <w:pPr>
              <w:adjustRightInd w:val="0"/>
              <w:snapToGrid w:val="0"/>
              <w:jc w:val="center"/>
              <w:rPr>
                <w:rFonts w:hint="default" w:eastAsia="宋体"/>
                <w:sz w:val="24"/>
                <w:lang w:val="en-US" w:eastAsia="zh-CN"/>
              </w:rPr>
            </w:pPr>
            <w:r>
              <w:rPr>
                <w:rFonts w:hint="eastAsia"/>
                <w:sz w:val="24"/>
                <w:lang w:val="en-US" w:eastAsia="zh-CN"/>
              </w:rPr>
              <w:t>离子树脂反冲洗废水</w:t>
            </w:r>
          </w:p>
        </w:tc>
        <w:tc>
          <w:tcPr>
            <w:tcW w:w="2237" w:type="dxa"/>
            <w:vMerge w:val="continue"/>
            <w:tcBorders>
              <w:left w:val="single" w:color="auto" w:sz="4" w:space="0"/>
              <w:right w:val="single" w:color="auto" w:sz="4" w:space="0"/>
            </w:tcBorders>
            <w:shd w:val="clear" w:color="auto" w:fill="auto"/>
            <w:vAlign w:val="center"/>
          </w:tcPr>
          <w:p w14:paraId="384AECDC">
            <w:pPr>
              <w:adjustRightInd w:val="0"/>
              <w:snapToGrid w:val="0"/>
              <w:jc w:val="center"/>
              <w:rPr>
                <w:sz w:val="24"/>
              </w:rPr>
            </w:pPr>
          </w:p>
        </w:tc>
        <w:tc>
          <w:tcPr>
            <w:tcW w:w="3201" w:type="dxa"/>
            <w:vMerge w:val="continue"/>
            <w:tcBorders>
              <w:left w:val="single" w:color="auto" w:sz="4" w:space="0"/>
              <w:right w:val="single" w:color="auto" w:sz="8" w:space="0"/>
            </w:tcBorders>
            <w:shd w:val="clear" w:color="auto" w:fill="auto"/>
            <w:vAlign w:val="center"/>
          </w:tcPr>
          <w:p w14:paraId="2D6D7A5B">
            <w:pPr>
              <w:adjustRightInd w:val="0"/>
              <w:snapToGrid w:val="0"/>
              <w:jc w:val="center"/>
              <w:rPr>
                <w:sz w:val="24"/>
              </w:rPr>
            </w:pPr>
          </w:p>
        </w:tc>
      </w:tr>
      <w:tr w14:paraId="53A64B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4" w:type="dxa"/>
            <w:tcBorders>
              <w:top w:val="single" w:color="auto" w:sz="4" w:space="0"/>
              <w:left w:val="single" w:color="auto" w:sz="8" w:space="0"/>
              <w:right w:val="single" w:color="auto" w:sz="4" w:space="0"/>
            </w:tcBorders>
            <w:shd w:val="clear" w:color="auto" w:fill="auto"/>
            <w:vAlign w:val="center"/>
          </w:tcPr>
          <w:p w14:paraId="1DA54030">
            <w:pPr>
              <w:adjustRightInd w:val="0"/>
              <w:snapToGrid w:val="0"/>
              <w:jc w:val="center"/>
              <w:rPr>
                <w:sz w:val="24"/>
              </w:rPr>
            </w:pPr>
            <w:r>
              <w:rPr>
                <w:sz w:val="24"/>
                <w:lang w:bidi="ar"/>
              </w:rPr>
              <w:t>声环境</w:t>
            </w:r>
          </w:p>
        </w:tc>
        <w:tc>
          <w:tcPr>
            <w:tcW w:w="1380" w:type="dxa"/>
            <w:tcBorders>
              <w:top w:val="single" w:color="auto" w:sz="4" w:space="0"/>
              <w:left w:val="single" w:color="auto" w:sz="4" w:space="0"/>
              <w:bottom w:val="single" w:color="auto" w:sz="4" w:space="0"/>
              <w:right w:val="single" w:color="auto" w:sz="4" w:space="0"/>
            </w:tcBorders>
            <w:shd w:val="clear" w:color="auto" w:fill="auto"/>
            <w:vAlign w:val="center"/>
          </w:tcPr>
          <w:p w14:paraId="679C2FDA">
            <w:pPr>
              <w:adjustRightInd w:val="0"/>
              <w:snapToGrid w:val="0"/>
              <w:jc w:val="center"/>
              <w:rPr>
                <w:sz w:val="24"/>
              </w:rPr>
            </w:pPr>
            <w:r>
              <w:rPr>
                <w:sz w:val="24"/>
              </w:rPr>
              <w:t>生产设备</w:t>
            </w:r>
          </w:p>
        </w:tc>
        <w:tc>
          <w:tcPr>
            <w:tcW w:w="1312" w:type="dxa"/>
            <w:tcBorders>
              <w:top w:val="single" w:color="auto" w:sz="4" w:space="0"/>
              <w:left w:val="single" w:color="auto" w:sz="4" w:space="0"/>
              <w:bottom w:val="single" w:color="auto" w:sz="4" w:space="0"/>
              <w:right w:val="single" w:color="auto" w:sz="4" w:space="0"/>
            </w:tcBorders>
            <w:shd w:val="clear" w:color="auto" w:fill="auto"/>
            <w:vAlign w:val="center"/>
          </w:tcPr>
          <w:p w14:paraId="6DE4A3CC">
            <w:pPr>
              <w:adjustRightInd w:val="0"/>
              <w:snapToGrid w:val="0"/>
              <w:jc w:val="center"/>
              <w:rPr>
                <w:sz w:val="24"/>
              </w:rPr>
            </w:pPr>
            <w:r>
              <w:rPr>
                <w:sz w:val="24"/>
              </w:rPr>
              <w:t>A声级</w:t>
            </w:r>
          </w:p>
        </w:tc>
        <w:tc>
          <w:tcPr>
            <w:tcW w:w="2237" w:type="dxa"/>
            <w:tcBorders>
              <w:top w:val="single" w:color="auto" w:sz="4" w:space="0"/>
              <w:left w:val="single" w:color="auto" w:sz="4" w:space="0"/>
              <w:bottom w:val="single" w:color="auto" w:sz="4" w:space="0"/>
              <w:right w:val="single" w:color="auto" w:sz="4" w:space="0"/>
            </w:tcBorders>
            <w:shd w:val="clear" w:color="auto" w:fill="auto"/>
            <w:vAlign w:val="center"/>
          </w:tcPr>
          <w:p w14:paraId="776CAEA2">
            <w:pPr>
              <w:adjustRightInd w:val="0"/>
              <w:snapToGrid w:val="0"/>
              <w:rPr>
                <w:sz w:val="24"/>
              </w:rPr>
            </w:pPr>
            <w:r>
              <w:rPr>
                <w:sz w:val="24"/>
              </w:rPr>
              <w:t>使用低噪声设备，设备基础减震，车间封闭</w:t>
            </w:r>
          </w:p>
        </w:tc>
        <w:tc>
          <w:tcPr>
            <w:tcW w:w="3201" w:type="dxa"/>
            <w:tcBorders>
              <w:top w:val="single" w:color="auto" w:sz="4" w:space="0"/>
              <w:left w:val="single" w:color="auto" w:sz="4" w:space="0"/>
              <w:right w:val="single" w:color="auto" w:sz="8" w:space="0"/>
            </w:tcBorders>
            <w:shd w:val="clear" w:color="auto" w:fill="auto"/>
            <w:vAlign w:val="center"/>
          </w:tcPr>
          <w:p w14:paraId="1F7481DA">
            <w:pPr>
              <w:adjustRightInd w:val="0"/>
              <w:snapToGrid w:val="0"/>
              <w:jc w:val="center"/>
              <w:rPr>
                <w:sz w:val="24"/>
              </w:rPr>
            </w:pPr>
            <w:r>
              <w:rPr>
                <w:sz w:val="24"/>
              </w:rPr>
              <w:t>《工业企业厂界环境噪声排放标准》（GB12348-2008）中2类标准要求</w:t>
            </w:r>
          </w:p>
        </w:tc>
      </w:tr>
      <w:tr w14:paraId="0920EC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4" w:type="dxa"/>
            <w:tcBorders>
              <w:top w:val="single" w:color="auto" w:sz="4" w:space="0"/>
              <w:left w:val="single" w:color="auto" w:sz="8" w:space="0"/>
              <w:bottom w:val="single" w:color="auto" w:sz="4" w:space="0"/>
              <w:right w:val="single" w:color="auto" w:sz="4" w:space="0"/>
            </w:tcBorders>
            <w:shd w:val="clear" w:color="auto" w:fill="auto"/>
            <w:vAlign w:val="center"/>
          </w:tcPr>
          <w:p w14:paraId="0DF85A37">
            <w:pPr>
              <w:adjustRightInd w:val="0"/>
              <w:snapToGrid w:val="0"/>
              <w:jc w:val="center"/>
              <w:rPr>
                <w:sz w:val="24"/>
              </w:rPr>
            </w:pPr>
            <w:r>
              <w:rPr>
                <w:sz w:val="24"/>
                <w:lang w:bidi="ar"/>
              </w:rPr>
              <w:t>固体废物</w:t>
            </w:r>
          </w:p>
        </w:tc>
        <w:tc>
          <w:tcPr>
            <w:tcW w:w="8130" w:type="dxa"/>
            <w:gridSpan w:val="4"/>
            <w:tcBorders>
              <w:top w:val="single" w:color="auto" w:sz="4" w:space="0"/>
              <w:left w:val="single" w:color="auto" w:sz="4" w:space="0"/>
              <w:bottom w:val="single" w:color="auto" w:sz="4" w:space="0"/>
              <w:right w:val="single" w:color="auto" w:sz="8" w:space="0"/>
            </w:tcBorders>
            <w:shd w:val="clear" w:color="auto" w:fill="auto"/>
            <w:vAlign w:val="center"/>
          </w:tcPr>
          <w:p w14:paraId="0BA9B8BD">
            <w:pPr>
              <w:adjustRightInd w:val="0"/>
              <w:snapToGrid w:val="0"/>
              <w:jc w:val="center"/>
              <w:rPr>
                <w:sz w:val="24"/>
              </w:rPr>
            </w:pPr>
            <w:r>
              <w:rPr>
                <w:rFonts w:hint="eastAsia"/>
                <w:sz w:val="24"/>
              </w:rPr>
              <w:t>废</w:t>
            </w:r>
            <w:r>
              <w:rPr>
                <w:rFonts w:hint="eastAsia"/>
                <w:sz w:val="24"/>
                <w:lang w:val="en-US" w:eastAsia="zh-CN"/>
              </w:rPr>
              <w:t>离子树脂由</w:t>
            </w:r>
            <w:r>
              <w:rPr>
                <w:rFonts w:hint="eastAsia"/>
                <w:sz w:val="24"/>
              </w:rPr>
              <w:t>厂家回收</w:t>
            </w:r>
            <w:r>
              <w:rPr>
                <w:bCs/>
                <w:spacing w:val="9"/>
                <w:sz w:val="24"/>
              </w:rPr>
              <w:t>。</w:t>
            </w:r>
          </w:p>
        </w:tc>
      </w:tr>
      <w:tr w14:paraId="6225C1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4" w:type="dxa"/>
            <w:tcBorders>
              <w:top w:val="single" w:color="auto" w:sz="4" w:space="0"/>
              <w:left w:val="single" w:color="auto" w:sz="8" w:space="0"/>
              <w:bottom w:val="single" w:color="auto" w:sz="4" w:space="0"/>
              <w:right w:val="single" w:color="auto" w:sz="4" w:space="0"/>
            </w:tcBorders>
            <w:shd w:val="clear" w:color="auto" w:fill="auto"/>
            <w:vAlign w:val="center"/>
          </w:tcPr>
          <w:p w14:paraId="4F1BBDAF">
            <w:pPr>
              <w:adjustRightInd w:val="0"/>
              <w:snapToGrid w:val="0"/>
              <w:jc w:val="center"/>
              <w:rPr>
                <w:sz w:val="24"/>
                <w:lang w:bidi="ar"/>
              </w:rPr>
            </w:pPr>
            <w:r>
              <w:rPr>
                <w:sz w:val="24"/>
                <w:lang w:bidi="ar"/>
              </w:rPr>
              <w:t>土壤及地下水污染防治措施</w:t>
            </w:r>
          </w:p>
        </w:tc>
        <w:tc>
          <w:tcPr>
            <w:tcW w:w="8130" w:type="dxa"/>
            <w:gridSpan w:val="4"/>
            <w:tcBorders>
              <w:top w:val="single" w:color="auto" w:sz="4" w:space="0"/>
              <w:left w:val="single" w:color="auto" w:sz="4" w:space="0"/>
              <w:bottom w:val="single" w:color="auto" w:sz="4" w:space="0"/>
              <w:right w:val="single" w:color="auto" w:sz="8" w:space="0"/>
            </w:tcBorders>
            <w:shd w:val="clear" w:color="auto" w:fill="auto"/>
            <w:vAlign w:val="center"/>
          </w:tcPr>
          <w:p w14:paraId="7648CE78">
            <w:pPr>
              <w:adjustRightInd w:val="0"/>
              <w:snapToGrid w:val="0"/>
              <w:jc w:val="center"/>
              <w:rPr>
                <w:sz w:val="24"/>
              </w:rPr>
            </w:pPr>
            <w:r>
              <w:rPr>
                <w:rFonts w:hint="eastAsia"/>
                <w:w w:val="100"/>
                <w:sz w:val="24"/>
                <w:szCs w:val="24"/>
                <w:lang w:val="en-US" w:eastAsia="zh-CN"/>
              </w:rPr>
              <w:t>锅炉房</w:t>
            </w:r>
            <w:r>
              <w:rPr>
                <w:rFonts w:hint="eastAsia"/>
                <w:w w:val="100"/>
                <w:sz w:val="24"/>
                <w:szCs w:val="24"/>
              </w:rPr>
              <w:t>地面进行</w:t>
            </w:r>
            <w:r>
              <w:rPr>
                <w:w w:val="100"/>
                <w:sz w:val="24"/>
                <w:szCs w:val="24"/>
              </w:rPr>
              <w:t>一般地面硬化</w:t>
            </w:r>
            <w:r>
              <w:rPr>
                <w:rFonts w:hint="eastAsia"/>
                <w:w w:val="100"/>
                <w:sz w:val="24"/>
                <w:szCs w:val="24"/>
              </w:rPr>
              <w:t>；厂区道路等</w:t>
            </w:r>
            <w:r>
              <w:rPr>
                <w:w w:val="100"/>
                <w:sz w:val="24"/>
                <w:szCs w:val="24"/>
              </w:rPr>
              <w:t>区域进行一般地面硬化</w:t>
            </w:r>
          </w:p>
        </w:tc>
      </w:tr>
      <w:tr w14:paraId="5375F1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4" w:type="dxa"/>
            <w:tcBorders>
              <w:top w:val="single" w:color="auto" w:sz="4" w:space="0"/>
              <w:left w:val="single" w:color="auto" w:sz="8" w:space="0"/>
              <w:bottom w:val="single" w:color="auto" w:sz="4" w:space="0"/>
              <w:right w:val="single" w:color="auto" w:sz="4" w:space="0"/>
            </w:tcBorders>
            <w:shd w:val="clear" w:color="auto" w:fill="auto"/>
            <w:vAlign w:val="center"/>
          </w:tcPr>
          <w:p w14:paraId="5D6A6DD3">
            <w:pPr>
              <w:adjustRightInd w:val="0"/>
              <w:snapToGrid w:val="0"/>
              <w:jc w:val="center"/>
              <w:rPr>
                <w:sz w:val="24"/>
                <w:lang w:bidi="ar"/>
              </w:rPr>
            </w:pPr>
            <w:r>
              <w:rPr>
                <w:sz w:val="24"/>
                <w:lang w:bidi="ar"/>
              </w:rPr>
              <w:t>生态保护措施</w:t>
            </w:r>
          </w:p>
        </w:tc>
        <w:tc>
          <w:tcPr>
            <w:tcW w:w="8130" w:type="dxa"/>
            <w:gridSpan w:val="4"/>
            <w:tcBorders>
              <w:top w:val="single" w:color="auto" w:sz="4" w:space="0"/>
              <w:left w:val="single" w:color="auto" w:sz="4" w:space="0"/>
              <w:bottom w:val="single" w:color="auto" w:sz="4" w:space="0"/>
              <w:right w:val="single" w:color="auto" w:sz="8" w:space="0"/>
            </w:tcBorders>
            <w:shd w:val="clear" w:color="auto" w:fill="auto"/>
            <w:vAlign w:val="center"/>
          </w:tcPr>
          <w:p w14:paraId="57041A68">
            <w:pPr>
              <w:adjustRightInd w:val="0"/>
              <w:snapToGrid w:val="0"/>
              <w:jc w:val="center"/>
              <w:rPr>
                <w:sz w:val="24"/>
              </w:rPr>
            </w:pPr>
            <w:r>
              <w:rPr>
                <w:sz w:val="24"/>
              </w:rPr>
              <w:t>/</w:t>
            </w:r>
          </w:p>
        </w:tc>
      </w:tr>
      <w:tr w14:paraId="213465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4" w:type="dxa"/>
            <w:tcBorders>
              <w:top w:val="single" w:color="auto" w:sz="4" w:space="0"/>
              <w:left w:val="single" w:color="auto" w:sz="8" w:space="0"/>
              <w:bottom w:val="single" w:color="auto" w:sz="4" w:space="0"/>
              <w:right w:val="single" w:color="auto" w:sz="4" w:space="0"/>
            </w:tcBorders>
            <w:shd w:val="clear" w:color="auto" w:fill="auto"/>
            <w:vAlign w:val="center"/>
          </w:tcPr>
          <w:p w14:paraId="6EAD87CA">
            <w:pPr>
              <w:adjustRightInd w:val="0"/>
              <w:snapToGrid w:val="0"/>
              <w:jc w:val="center"/>
              <w:rPr>
                <w:sz w:val="24"/>
                <w:lang w:bidi="ar"/>
              </w:rPr>
            </w:pPr>
            <w:r>
              <w:rPr>
                <w:sz w:val="24"/>
                <w:lang w:bidi="ar"/>
              </w:rPr>
              <w:t>环境风险防范措施</w:t>
            </w:r>
          </w:p>
        </w:tc>
        <w:tc>
          <w:tcPr>
            <w:tcW w:w="8130" w:type="dxa"/>
            <w:gridSpan w:val="4"/>
            <w:tcBorders>
              <w:top w:val="single" w:color="auto" w:sz="4" w:space="0"/>
              <w:left w:val="single" w:color="auto" w:sz="4" w:space="0"/>
              <w:bottom w:val="single" w:color="auto" w:sz="4" w:space="0"/>
              <w:right w:val="single" w:color="auto" w:sz="8" w:space="0"/>
            </w:tcBorders>
            <w:shd w:val="clear" w:color="auto" w:fill="auto"/>
            <w:vAlign w:val="center"/>
          </w:tcPr>
          <w:p w14:paraId="123F4B32">
            <w:pPr>
              <w:adjustRightInd w:val="0"/>
              <w:snapToGrid w:val="0"/>
              <w:jc w:val="center"/>
              <w:rPr>
                <w:sz w:val="24"/>
              </w:rPr>
            </w:pPr>
            <w:r>
              <w:rPr>
                <w:rFonts w:ascii="Times New Roman" w:hAnsi="Times New Roman" w:eastAsia="宋体" w:cs="Times New Roman"/>
                <w:sz w:val="24"/>
              </w:rPr>
              <w:t>设置应急救援设施及救援通道、应急疏散及避难所</w:t>
            </w:r>
            <w:r>
              <w:rPr>
                <w:rFonts w:hint="eastAsia" w:ascii="Times New Roman" w:hAnsi="Times New Roman" w:eastAsia="宋体" w:cs="Times New Roman"/>
                <w:sz w:val="24"/>
                <w:lang w:eastAsia="zh-CN"/>
              </w:rPr>
              <w:t>；</w:t>
            </w:r>
            <w:r>
              <w:rPr>
                <w:rFonts w:ascii="Times New Roman" w:hAnsi="Times New Roman" w:eastAsia="宋体" w:cs="Times New Roman"/>
                <w:sz w:val="24"/>
              </w:rPr>
              <w:t>定期检查沼气管道、导排系统</w:t>
            </w:r>
            <w:r>
              <w:rPr>
                <w:rFonts w:hint="eastAsia" w:ascii="Times New Roman" w:hAnsi="Times New Roman" w:eastAsia="宋体" w:cs="Times New Roman"/>
                <w:sz w:val="24"/>
                <w:lang w:eastAsia="zh-CN"/>
              </w:rPr>
              <w:t>；</w:t>
            </w:r>
            <w:r>
              <w:rPr>
                <w:rFonts w:ascii="Times New Roman" w:hAnsi="Times New Roman" w:eastAsia="宋体" w:cs="Times New Roman"/>
                <w:sz w:val="24"/>
              </w:rPr>
              <w:t>进行相关安全知识的宣传，对有关人员的培训教育和考核</w:t>
            </w:r>
            <w:r>
              <w:rPr>
                <w:rFonts w:hint="eastAsia" w:ascii="Times New Roman" w:hAnsi="Times New Roman" w:eastAsia="宋体" w:cs="Times New Roman"/>
                <w:sz w:val="24"/>
                <w:lang w:eastAsia="zh-CN"/>
              </w:rPr>
              <w:t>；</w:t>
            </w:r>
            <w:r>
              <w:rPr>
                <w:rFonts w:ascii="Times New Roman" w:hAnsi="Times New Roman" w:eastAsia="宋体" w:cs="Times New Roman"/>
                <w:sz w:val="24"/>
              </w:rPr>
              <w:t>制定规章制度和安全操作规程</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选择</w:t>
            </w:r>
            <w:r>
              <w:rPr>
                <w:rFonts w:ascii="Times New Roman" w:hAnsi="Times New Roman" w:eastAsia="宋体" w:cs="Times New Roman"/>
                <w:sz w:val="24"/>
              </w:rPr>
              <w:t>优质的管道、阀门、缓冲管件等硬件设备</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沼气</w:t>
            </w:r>
            <w:r>
              <w:rPr>
                <w:rFonts w:ascii="Times New Roman" w:hAnsi="Times New Roman" w:eastAsia="宋体" w:cs="Times New Roman"/>
                <w:sz w:val="24"/>
              </w:rPr>
              <w:t>储罐区设置防护区，严禁烟火</w:t>
            </w:r>
            <w:r>
              <w:rPr>
                <w:rFonts w:hint="eastAsia" w:ascii="Times New Roman" w:hAnsi="Times New Roman" w:eastAsia="宋体" w:cs="Times New Roman"/>
                <w:sz w:val="24"/>
                <w:lang w:eastAsia="zh-CN"/>
              </w:rPr>
              <w:t>；</w:t>
            </w:r>
            <w:r>
              <w:rPr>
                <w:rFonts w:ascii="Times New Roman" w:hAnsi="Times New Roman" w:eastAsia="宋体" w:cs="Times New Roman"/>
                <w:sz w:val="24"/>
              </w:rPr>
              <w:t>依据《中华人民共和国突发事件应对法》、《企业事业单位突发环境事件应急预案备案管理办法》（试行）的相关要求，进行《突发环境事件应急预案》</w:t>
            </w:r>
            <w:r>
              <w:rPr>
                <w:rFonts w:hint="eastAsia" w:ascii="Times New Roman" w:hAnsi="Times New Roman" w:eastAsia="宋体" w:cs="Times New Roman"/>
                <w:sz w:val="24"/>
              </w:rPr>
              <w:t>的</w:t>
            </w:r>
            <w:r>
              <w:rPr>
                <w:rFonts w:ascii="Times New Roman" w:hAnsi="Times New Roman" w:eastAsia="宋体" w:cs="Times New Roman"/>
                <w:sz w:val="24"/>
              </w:rPr>
              <w:t>编制及备案工作</w:t>
            </w:r>
            <w:r>
              <w:rPr>
                <w:rFonts w:hint="eastAsia" w:ascii="Times New Roman" w:hAnsi="Times New Roman" w:eastAsia="宋体" w:cs="Times New Roman"/>
                <w:sz w:val="24"/>
              </w:rPr>
              <w:t>。</w:t>
            </w:r>
          </w:p>
        </w:tc>
      </w:tr>
      <w:tr w14:paraId="134130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4" w:type="dxa"/>
            <w:tcBorders>
              <w:top w:val="single" w:color="auto" w:sz="4" w:space="0"/>
              <w:left w:val="single" w:color="auto" w:sz="8" w:space="0"/>
              <w:bottom w:val="single" w:color="auto" w:sz="4" w:space="0"/>
              <w:right w:val="single" w:color="auto" w:sz="4" w:space="0"/>
            </w:tcBorders>
            <w:shd w:val="clear" w:color="auto" w:fill="auto"/>
            <w:vAlign w:val="center"/>
          </w:tcPr>
          <w:p w14:paraId="7228A863">
            <w:pPr>
              <w:adjustRightInd w:val="0"/>
              <w:snapToGrid w:val="0"/>
              <w:jc w:val="center"/>
              <w:rPr>
                <w:sz w:val="24"/>
                <w:lang w:bidi="ar"/>
              </w:rPr>
            </w:pPr>
            <w:r>
              <w:rPr>
                <w:sz w:val="24"/>
                <w:lang w:bidi="ar"/>
              </w:rPr>
              <w:t>其他环境管理要求</w:t>
            </w:r>
          </w:p>
        </w:tc>
        <w:tc>
          <w:tcPr>
            <w:tcW w:w="8130" w:type="dxa"/>
            <w:gridSpan w:val="4"/>
            <w:tcBorders>
              <w:top w:val="single" w:color="auto" w:sz="4" w:space="0"/>
              <w:left w:val="single" w:color="auto" w:sz="4" w:space="0"/>
              <w:bottom w:val="single" w:color="auto" w:sz="4" w:space="0"/>
              <w:right w:val="single" w:color="auto" w:sz="8" w:space="0"/>
            </w:tcBorders>
            <w:shd w:val="clear" w:color="auto" w:fill="auto"/>
            <w:vAlign w:val="center"/>
          </w:tcPr>
          <w:p w14:paraId="1CD0D9D3">
            <w:pPr>
              <w:adjustRightInd w:val="0"/>
              <w:snapToGrid w:val="0"/>
              <w:jc w:val="center"/>
              <w:rPr>
                <w:sz w:val="24"/>
              </w:rPr>
            </w:pPr>
            <w:r>
              <w:rPr>
                <w:rFonts w:hint="eastAsia"/>
                <w:sz w:val="24"/>
              </w:rPr>
              <w:t>建设单位应按照《固定污染源排污许可分类管理名录》的相关要求申请排污许可；项目需依法落实建设项目竣工环境保护验收工作。</w:t>
            </w:r>
          </w:p>
        </w:tc>
      </w:tr>
    </w:tbl>
    <w:p w14:paraId="7F779167">
      <w:pPr>
        <w:pStyle w:val="19"/>
        <w:spacing w:before="120" w:beforeLines="50" w:beforeAutospacing="0" w:after="240" w:afterLines="100" w:afterAutospacing="0"/>
        <w:jc w:val="center"/>
        <w:rPr>
          <w:rFonts w:ascii="黑体" w:hAnsi="黑体" w:eastAsia="黑体"/>
          <w:snapToGrid w:val="0"/>
          <w:sz w:val="30"/>
          <w:szCs w:val="30"/>
          <w:highlight w:val="green"/>
        </w:rPr>
      </w:pPr>
    </w:p>
    <w:p w14:paraId="1E38EC9F">
      <w:pPr>
        <w:pStyle w:val="19"/>
        <w:spacing w:before="120" w:beforeLines="50" w:beforeAutospacing="0" w:after="240" w:afterLines="100" w:afterAutospacing="0"/>
        <w:jc w:val="center"/>
        <w:rPr>
          <w:rFonts w:ascii="黑体" w:hAnsi="黑体" w:eastAsia="黑体"/>
          <w:snapToGrid w:val="0"/>
          <w:sz w:val="30"/>
          <w:szCs w:val="30"/>
          <w:highlight w:val="green"/>
        </w:rPr>
        <w:sectPr>
          <w:pgSz w:w="11906" w:h="16838"/>
          <w:pgMar w:top="1701" w:right="1531" w:bottom="1701" w:left="1531" w:header="851" w:footer="851" w:gutter="0"/>
          <w:cols w:space="720" w:num="1"/>
          <w:docGrid w:linePitch="312" w:charSpace="0"/>
        </w:sectPr>
      </w:pPr>
    </w:p>
    <w:p w14:paraId="772D0C38">
      <w:pPr>
        <w:pStyle w:val="19"/>
        <w:spacing w:before="120" w:beforeLines="50" w:beforeAutospacing="0" w:after="240" w:afterLines="100" w:afterAutospacing="0"/>
        <w:jc w:val="center"/>
        <w:outlineLvl w:val="0"/>
        <w:rPr>
          <w:rFonts w:ascii="黑体" w:hAnsi="黑体" w:eastAsia="黑体"/>
          <w:snapToGrid w:val="0"/>
          <w:sz w:val="30"/>
          <w:szCs w:val="30"/>
        </w:rPr>
      </w:pPr>
      <w:r>
        <w:rPr>
          <w:rFonts w:hint="eastAsia" w:ascii="黑体" w:hAnsi="黑体" w:eastAsia="黑体"/>
          <w:snapToGrid w:val="0"/>
          <w:sz w:val="30"/>
          <w:szCs w:val="30"/>
        </w:rPr>
        <w:t>六、结论</w:t>
      </w:r>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1251C4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163ABE61">
            <w:pPr>
              <w:spacing w:before="120" w:beforeLines="50" w:line="360" w:lineRule="auto"/>
              <w:ind w:firstLine="482"/>
              <w:rPr>
                <w:b/>
                <w:sz w:val="24"/>
              </w:rPr>
            </w:pPr>
            <w:r>
              <w:rPr>
                <w:rFonts w:hint="eastAsia"/>
                <w:b/>
                <w:sz w:val="24"/>
              </w:rPr>
              <w:t>结论：</w:t>
            </w:r>
          </w:p>
          <w:p w14:paraId="66A63BD2">
            <w:pPr>
              <w:spacing w:line="360" w:lineRule="auto"/>
              <w:ind w:firstLine="480" w:firstLineChars="200"/>
              <w:rPr>
                <w:rFonts w:ascii="宋体" w:cs="宋体"/>
                <w:sz w:val="24"/>
              </w:rPr>
            </w:pPr>
            <w:r>
              <w:rPr>
                <w:rFonts w:ascii="宋体" w:cs="宋体"/>
                <w:sz w:val="24"/>
              </w:rPr>
              <w:t>从环境保护的角度，</w:t>
            </w:r>
            <w:r>
              <w:rPr>
                <w:rFonts w:hint="eastAsia" w:ascii="宋体" w:cs="宋体"/>
                <w:sz w:val="24"/>
              </w:rPr>
              <w:t>建设</w:t>
            </w:r>
            <w:r>
              <w:rPr>
                <w:rFonts w:ascii="宋体" w:cs="宋体"/>
                <w:sz w:val="24"/>
              </w:rPr>
              <w:t>项目</w:t>
            </w:r>
            <w:r>
              <w:rPr>
                <w:rFonts w:hint="eastAsia" w:ascii="宋体" w:cs="宋体"/>
                <w:sz w:val="24"/>
              </w:rPr>
              <w:t>环境影响</w:t>
            </w:r>
            <w:r>
              <w:rPr>
                <w:rFonts w:ascii="宋体" w:cs="宋体"/>
                <w:sz w:val="24"/>
              </w:rPr>
              <w:t>可行。</w:t>
            </w:r>
          </w:p>
        </w:tc>
      </w:tr>
    </w:tbl>
    <w:p w14:paraId="65DAFB9D">
      <w:pPr>
        <w:rPr>
          <w:rFonts w:ascii="宋体"/>
          <w:highlight w:val="green"/>
        </w:rPr>
      </w:pPr>
    </w:p>
    <w:p w14:paraId="7F448566">
      <w:pPr>
        <w:pStyle w:val="2"/>
        <w:ind w:left="420"/>
        <w:rPr>
          <w:highlight w:val="green"/>
        </w:rPr>
      </w:pPr>
    </w:p>
    <w:p w14:paraId="1158BD72">
      <w:pPr>
        <w:pStyle w:val="2"/>
        <w:ind w:left="420"/>
        <w:rPr>
          <w:highlight w:val="green"/>
        </w:rPr>
        <w:sectPr>
          <w:pgSz w:w="11906" w:h="16838"/>
          <w:pgMar w:top="1701" w:right="1531" w:bottom="1701" w:left="1531" w:header="851" w:footer="851" w:gutter="0"/>
          <w:cols w:space="720" w:num="1"/>
          <w:docGrid w:linePitch="312" w:charSpace="0"/>
        </w:sectPr>
      </w:pPr>
    </w:p>
    <w:p w14:paraId="1CF3AE86">
      <w:pPr>
        <w:pStyle w:val="19"/>
        <w:adjustRightInd w:val="0"/>
        <w:snapToGrid w:val="0"/>
        <w:spacing w:before="0" w:beforeAutospacing="0" w:after="0" w:afterAutospacing="0" w:line="360" w:lineRule="auto"/>
        <w:outlineLvl w:val="0"/>
        <w:rPr>
          <w:rFonts w:ascii="黑体" w:hAnsi="黑体" w:eastAsia="黑体"/>
          <w:snapToGrid w:val="0"/>
          <w:sz w:val="32"/>
          <w:szCs w:val="32"/>
        </w:rPr>
      </w:pPr>
      <w:r>
        <w:rPr>
          <w:rFonts w:hint="eastAsia" w:ascii="黑体" w:hAnsi="黑体" w:eastAsia="黑体"/>
          <w:snapToGrid w:val="0"/>
          <w:sz w:val="32"/>
          <w:szCs w:val="32"/>
        </w:rPr>
        <w:t>附表</w:t>
      </w:r>
    </w:p>
    <w:p w14:paraId="4B7B0127">
      <w:pPr>
        <w:pStyle w:val="19"/>
        <w:adjustRightInd w:val="0"/>
        <w:snapToGrid w:val="0"/>
        <w:spacing w:before="0" w:beforeAutospacing="0" w:after="0" w:afterAutospacing="0" w:line="360" w:lineRule="auto"/>
        <w:jc w:val="center"/>
        <w:rPr>
          <w:rFonts w:ascii="黑体" w:hAnsi="黑体" w:eastAsia="黑体"/>
          <w:b/>
          <w:snapToGrid w:val="0"/>
          <w:sz w:val="38"/>
          <w:szCs w:val="38"/>
        </w:rPr>
      </w:pPr>
      <w:r>
        <w:rPr>
          <w:rFonts w:hint="eastAsia" w:ascii="黑体" w:hAnsi="黑体" w:eastAsia="黑体"/>
          <w:b/>
          <w:snapToGrid w:val="0"/>
          <w:sz w:val="38"/>
          <w:szCs w:val="38"/>
        </w:rPr>
        <w:t>建设项目污染物排放量汇总表</w:t>
      </w:r>
    </w:p>
    <w:tbl>
      <w:tblPr>
        <w:tblStyle w:val="23"/>
        <w:tblW w:w="13790"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1587"/>
        <w:gridCol w:w="1702"/>
        <w:gridCol w:w="1276"/>
        <w:gridCol w:w="1702"/>
        <w:gridCol w:w="1559"/>
        <w:gridCol w:w="1382"/>
        <w:gridCol w:w="1689"/>
        <w:gridCol w:w="1475"/>
      </w:tblGrid>
      <w:tr w14:paraId="0EECBF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418" w:type="dxa"/>
            <w:tcBorders>
              <w:top w:val="single" w:color="auto" w:sz="8" w:space="0"/>
              <w:left w:val="single" w:color="auto" w:sz="8" w:space="0"/>
              <w:bottom w:val="single" w:color="auto" w:sz="4" w:space="0"/>
              <w:right w:val="single" w:color="auto" w:sz="4" w:space="0"/>
              <w:tl2br w:val="single" w:color="auto" w:sz="4" w:space="0"/>
            </w:tcBorders>
            <w:shd w:val="clear" w:color="auto" w:fill="auto"/>
            <w:tcMar>
              <w:left w:w="28" w:type="dxa"/>
              <w:right w:w="28" w:type="dxa"/>
            </w:tcMar>
            <w:vAlign w:val="center"/>
          </w:tcPr>
          <w:p w14:paraId="7D03B24F">
            <w:pPr>
              <w:pStyle w:val="38"/>
              <w:widowControl/>
              <w:spacing w:beforeLines="0" w:afterLines="0" w:line="240" w:lineRule="auto"/>
              <w:jc w:val="right"/>
              <w:rPr>
                <w:rFonts w:ascii="Times New Roman" w:eastAsia="黑体"/>
                <w:spacing w:val="-6"/>
                <w:kern w:val="21"/>
                <w:szCs w:val="21"/>
              </w:rPr>
            </w:pPr>
            <w:r>
              <w:rPr>
                <w:rFonts w:ascii="Times New Roman" w:eastAsia="黑体"/>
                <w:snapToGrid w:val="0"/>
                <w:spacing w:val="-6"/>
                <w:kern w:val="21"/>
                <w:szCs w:val="21"/>
              </w:rPr>
              <w:t>项目</w:t>
            </w:r>
          </w:p>
          <w:p w14:paraId="11DC6A80">
            <w:pPr>
              <w:pStyle w:val="38"/>
              <w:widowControl/>
              <w:spacing w:beforeLines="0" w:afterLines="0" w:line="240" w:lineRule="auto"/>
              <w:jc w:val="left"/>
              <w:rPr>
                <w:rFonts w:ascii="Times New Roman" w:eastAsia="黑体"/>
                <w:spacing w:val="-6"/>
                <w:kern w:val="21"/>
                <w:szCs w:val="21"/>
              </w:rPr>
            </w:pPr>
            <w:r>
              <w:rPr>
                <w:rFonts w:ascii="Times New Roman" w:eastAsia="黑体"/>
                <w:snapToGrid w:val="0"/>
                <w:spacing w:val="-6"/>
                <w:kern w:val="21"/>
                <w:szCs w:val="21"/>
              </w:rPr>
              <w:t>分类</w:t>
            </w:r>
          </w:p>
        </w:tc>
        <w:tc>
          <w:tcPr>
            <w:tcW w:w="1587"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4FEE7642">
            <w:pPr>
              <w:pStyle w:val="38"/>
              <w:widowControl/>
              <w:spacing w:beforeLines="0" w:afterLines="0" w:line="240" w:lineRule="auto"/>
              <w:rPr>
                <w:rFonts w:ascii="Times New Roman" w:eastAsia="黑体"/>
                <w:spacing w:val="-6"/>
                <w:kern w:val="21"/>
                <w:szCs w:val="21"/>
              </w:rPr>
            </w:pPr>
            <w:r>
              <w:rPr>
                <w:rFonts w:ascii="Times New Roman" w:eastAsia="黑体"/>
                <w:snapToGrid w:val="0"/>
                <w:spacing w:val="-6"/>
                <w:kern w:val="21"/>
                <w:szCs w:val="21"/>
              </w:rPr>
              <w:t>污染物名称</w:t>
            </w:r>
          </w:p>
        </w:tc>
        <w:tc>
          <w:tcPr>
            <w:tcW w:w="1702"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0A3B9FF1">
            <w:pPr>
              <w:pStyle w:val="38"/>
              <w:widowControl/>
              <w:spacing w:beforeLines="0" w:afterLines="0" w:line="240" w:lineRule="auto"/>
              <w:rPr>
                <w:rFonts w:ascii="Times New Roman" w:eastAsia="黑体"/>
                <w:spacing w:val="-6"/>
                <w:kern w:val="21"/>
                <w:szCs w:val="21"/>
              </w:rPr>
            </w:pPr>
            <w:r>
              <w:rPr>
                <w:rFonts w:ascii="Times New Roman" w:eastAsia="黑体"/>
                <w:snapToGrid w:val="0"/>
                <w:spacing w:val="-6"/>
                <w:kern w:val="21"/>
                <w:szCs w:val="21"/>
              </w:rPr>
              <w:t>现有工程</w:t>
            </w:r>
          </w:p>
          <w:p w14:paraId="2C738B7C">
            <w:pPr>
              <w:pStyle w:val="38"/>
              <w:widowControl/>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hint="eastAsia" w:ascii="Times New Roman" w:eastAsia="黑体"/>
                <w:snapToGrid w:val="0"/>
                <w:spacing w:val="-6"/>
                <w:kern w:val="21"/>
                <w:szCs w:val="21"/>
              </w:rPr>
              <w:t>t/a</w:t>
            </w:r>
          </w:p>
        </w:tc>
        <w:tc>
          <w:tcPr>
            <w:tcW w:w="1276"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67BAF0F5">
            <w:pPr>
              <w:pStyle w:val="38"/>
              <w:widowControl/>
              <w:spacing w:beforeLines="0" w:afterLines="0" w:line="240" w:lineRule="auto"/>
              <w:rPr>
                <w:rFonts w:ascii="Times New Roman" w:eastAsia="黑体"/>
                <w:spacing w:val="-6"/>
                <w:kern w:val="21"/>
                <w:szCs w:val="21"/>
              </w:rPr>
            </w:pPr>
            <w:r>
              <w:rPr>
                <w:rFonts w:ascii="Times New Roman" w:eastAsia="黑体"/>
                <w:snapToGrid w:val="0"/>
                <w:spacing w:val="-6"/>
                <w:kern w:val="21"/>
                <w:szCs w:val="21"/>
              </w:rPr>
              <w:t>现有工程</w:t>
            </w:r>
          </w:p>
          <w:p w14:paraId="09BAC9D7">
            <w:pPr>
              <w:pStyle w:val="38"/>
              <w:widowControl/>
              <w:spacing w:beforeLines="0" w:afterLines="0" w:line="240" w:lineRule="auto"/>
              <w:rPr>
                <w:rFonts w:ascii="Times New Roman" w:eastAsia="黑体"/>
                <w:spacing w:val="-6"/>
                <w:kern w:val="21"/>
                <w:szCs w:val="21"/>
              </w:rPr>
            </w:pPr>
            <w:r>
              <w:rPr>
                <w:rFonts w:ascii="Times New Roman" w:eastAsia="黑体"/>
                <w:snapToGrid w:val="0"/>
                <w:spacing w:val="-6"/>
                <w:kern w:val="21"/>
                <w:szCs w:val="21"/>
              </w:rPr>
              <w:t>许可排放量</w:t>
            </w:r>
          </w:p>
          <w:p w14:paraId="5DDDE09F">
            <w:pPr>
              <w:pStyle w:val="38"/>
              <w:widowControl/>
              <w:spacing w:beforeLines="0" w:afterLines="0" w:line="240" w:lineRule="auto"/>
              <w:rPr>
                <w:rFonts w:ascii="Times New Roman" w:eastAsia="黑体"/>
                <w:snapToGrid w:val="0"/>
                <w:spacing w:val="-6"/>
                <w:kern w:val="21"/>
                <w:szCs w:val="21"/>
              </w:rPr>
            </w:pPr>
            <w:r>
              <w:rPr>
                <w:rFonts w:hint="eastAsia" w:ascii="Times New Roman" w:eastAsia="黑体"/>
                <w:snapToGrid w:val="0"/>
                <w:spacing w:val="-6"/>
                <w:kern w:val="21"/>
                <w:szCs w:val="21"/>
              </w:rPr>
              <w:t>t/a</w:t>
            </w:r>
          </w:p>
        </w:tc>
        <w:tc>
          <w:tcPr>
            <w:tcW w:w="1702"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23FF1159">
            <w:pPr>
              <w:pStyle w:val="38"/>
              <w:widowControl/>
              <w:spacing w:beforeLines="0" w:afterLines="0" w:line="240" w:lineRule="auto"/>
              <w:rPr>
                <w:rFonts w:ascii="Times New Roman" w:eastAsia="黑体"/>
                <w:spacing w:val="-6"/>
                <w:kern w:val="21"/>
                <w:szCs w:val="21"/>
              </w:rPr>
            </w:pPr>
            <w:r>
              <w:rPr>
                <w:rFonts w:ascii="Times New Roman" w:eastAsia="黑体"/>
                <w:snapToGrid w:val="0"/>
                <w:spacing w:val="-6"/>
                <w:kern w:val="21"/>
                <w:szCs w:val="21"/>
              </w:rPr>
              <w:t>在建工程</w:t>
            </w:r>
          </w:p>
          <w:p w14:paraId="0B495828">
            <w:pPr>
              <w:pStyle w:val="38"/>
              <w:widowControl/>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hint="eastAsia" w:ascii="Times New Roman" w:eastAsia="黑体"/>
                <w:snapToGrid w:val="0"/>
                <w:spacing w:val="-6"/>
                <w:kern w:val="21"/>
                <w:szCs w:val="21"/>
              </w:rPr>
              <w:t>t/a</w:t>
            </w:r>
          </w:p>
        </w:tc>
        <w:tc>
          <w:tcPr>
            <w:tcW w:w="1559"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17C79B53">
            <w:pPr>
              <w:pStyle w:val="38"/>
              <w:widowControl/>
              <w:spacing w:beforeLines="0" w:afterLines="0" w:line="240" w:lineRule="auto"/>
              <w:rPr>
                <w:rFonts w:ascii="Times New Roman" w:eastAsia="黑体"/>
                <w:spacing w:val="-6"/>
                <w:kern w:val="21"/>
                <w:szCs w:val="21"/>
              </w:rPr>
            </w:pPr>
            <w:r>
              <w:rPr>
                <w:rFonts w:ascii="Times New Roman" w:eastAsia="黑体"/>
                <w:snapToGrid w:val="0"/>
                <w:spacing w:val="-6"/>
                <w:kern w:val="21"/>
                <w:szCs w:val="21"/>
              </w:rPr>
              <w:t>本项目</w:t>
            </w:r>
          </w:p>
          <w:p w14:paraId="5F9E79BF">
            <w:pPr>
              <w:pStyle w:val="38"/>
              <w:widowControl/>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hint="eastAsia" w:ascii="Times New Roman" w:eastAsia="黑体"/>
                <w:snapToGrid w:val="0"/>
                <w:spacing w:val="-6"/>
                <w:kern w:val="21"/>
                <w:szCs w:val="21"/>
              </w:rPr>
              <w:t>t/a</w:t>
            </w:r>
          </w:p>
        </w:tc>
        <w:tc>
          <w:tcPr>
            <w:tcW w:w="1382"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5DB16FDF">
            <w:pPr>
              <w:pStyle w:val="38"/>
              <w:widowControl/>
              <w:spacing w:beforeLines="0" w:afterLines="0" w:line="240" w:lineRule="auto"/>
              <w:rPr>
                <w:rFonts w:ascii="Times New Roman" w:eastAsia="黑体"/>
                <w:spacing w:val="-16"/>
                <w:kern w:val="21"/>
                <w:szCs w:val="21"/>
              </w:rPr>
            </w:pPr>
            <w:r>
              <w:rPr>
                <w:rFonts w:ascii="Times New Roman" w:eastAsia="黑体"/>
                <w:snapToGrid w:val="0"/>
                <w:spacing w:val="-16"/>
                <w:kern w:val="21"/>
                <w:szCs w:val="21"/>
              </w:rPr>
              <w:t>以新带老削减量</w:t>
            </w:r>
          </w:p>
          <w:p w14:paraId="7B1DB5E5">
            <w:pPr>
              <w:pStyle w:val="38"/>
              <w:widowControl/>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（新建项目不填）</w:t>
            </w:r>
            <w:r>
              <w:rPr>
                <w:rFonts w:hint="eastAsia" w:ascii="Times New Roman" w:eastAsia="黑体"/>
                <w:snapToGrid w:val="0"/>
                <w:spacing w:val="-6"/>
                <w:kern w:val="21"/>
                <w:szCs w:val="21"/>
              </w:rPr>
              <w:t>t/a</w:t>
            </w:r>
          </w:p>
        </w:tc>
        <w:tc>
          <w:tcPr>
            <w:tcW w:w="1689"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3DD80402">
            <w:pPr>
              <w:pStyle w:val="38"/>
              <w:widowControl/>
              <w:spacing w:beforeLines="0" w:afterLines="0" w:line="240" w:lineRule="auto"/>
              <w:rPr>
                <w:rFonts w:ascii="Times New Roman" w:eastAsia="黑体"/>
                <w:spacing w:val="-16"/>
                <w:kern w:val="21"/>
                <w:szCs w:val="21"/>
              </w:rPr>
            </w:pPr>
            <w:r>
              <w:rPr>
                <w:rFonts w:ascii="Times New Roman" w:eastAsia="黑体"/>
                <w:snapToGrid w:val="0"/>
                <w:spacing w:val="-16"/>
                <w:kern w:val="21"/>
                <w:szCs w:val="21"/>
              </w:rPr>
              <w:t>本项目建成后</w:t>
            </w:r>
          </w:p>
          <w:p w14:paraId="231E9745">
            <w:pPr>
              <w:pStyle w:val="38"/>
              <w:widowControl/>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全厂排放量（固体废物产生量）</w:t>
            </w:r>
            <w:r>
              <w:rPr>
                <w:rFonts w:hint="eastAsia" w:ascii="Times New Roman" w:eastAsia="黑体"/>
                <w:snapToGrid w:val="0"/>
                <w:spacing w:val="-6"/>
                <w:kern w:val="21"/>
                <w:szCs w:val="21"/>
              </w:rPr>
              <w:t>t/a</w:t>
            </w:r>
          </w:p>
        </w:tc>
        <w:tc>
          <w:tcPr>
            <w:tcW w:w="1475" w:type="dxa"/>
            <w:tcBorders>
              <w:top w:val="single" w:color="auto" w:sz="8" w:space="0"/>
              <w:left w:val="single" w:color="auto" w:sz="4" w:space="0"/>
              <w:bottom w:val="single" w:color="auto" w:sz="4" w:space="0"/>
              <w:right w:val="single" w:color="auto" w:sz="8" w:space="0"/>
            </w:tcBorders>
            <w:shd w:val="clear" w:color="auto" w:fill="auto"/>
            <w:tcMar>
              <w:left w:w="28" w:type="dxa"/>
              <w:right w:w="28" w:type="dxa"/>
            </w:tcMar>
            <w:vAlign w:val="center"/>
          </w:tcPr>
          <w:p w14:paraId="679E0409">
            <w:pPr>
              <w:pStyle w:val="38"/>
              <w:widowControl/>
              <w:spacing w:beforeLines="0" w:afterLines="0" w:line="240" w:lineRule="auto"/>
              <w:rPr>
                <w:rFonts w:ascii="Times New Roman" w:eastAsia="黑体"/>
                <w:spacing w:val="-6"/>
                <w:kern w:val="21"/>
                <w:szCs w:val="21"/>
              </w:rPr>
            </w:pPr>
            <w:r>
              <w:rPr>
                <w:rFonts w:ascii="Times New Roman" w:eastAsia="黑体"/>
                <w:snapToGrid w:val="0"/>
                <w:spacing w:val="-6"/>
                <w:kern w:val="21"/>
                <w:szCs w:val="21"/>
              </w:rPr>
              <w:t>变化量</w:t>
            </w:r>
          </w:p>
          <w:p w14:paraId="340DC289">
            <w:pPr>
              <w:pStyle w:val="38"/>
              <w:widowControl/>
              <w:spacing w:beforeLines="0" w:afterLines="0" w:line="240" w:lineRule="auto"/>
              <w:rPr>
                <w:rFonts w:ascii="Times New Roman" w:eastAsia="黑体"/>
                <w:snapToGrid w:val="0"/>
                <w:spacing w:val="-6"/>
                <w:kern w:val="21"/>
                <w:szCs w:val="21"/>
              </w:rPr>
            </w:pPr>
            <w:r>
              <w:rPr>
                <w:rFonts w:hint="eastAsia" w:ascii="Times New Roman" w:eastAsia="黑体"/>
                <w:snapToGrid w:val="0"/>
                <w:spacing w:val="-6"/>
                <w:kern w:val="21"/>
                <w:szCs w:val="21"/>
              </w:rPr>
              <w:t>t/a</w:t>
            </w:r>
          </w:p>
        </w:tc>
      </w:tr>
      <w:tr w14:paraId="533FBC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1418" w:type="dxa"/>
            <w:vMerge w:val="restart"/>
            <w:tcBorders>
              <w:top w:val="single" w:color="auto" w:sz="4" w:space="0"/>
              <w:left w:val="single" w:color="auto" w:sz="8" w:space="0"/>
              <w:right w:val="single" w:color="auto" w:sz="4" w:space="0"/>
            </w:tcBorders>
            <w:shd w:val="clear" w:color="auto" w:fill="auto"/>
            <w:vAlign w:val="center"/>
          </w:tcPr>
          <w:p w14:paraId="2B7BD1D8">
            <w:pPr>
              <w:pStyle w:val="38"/>
              <w:widowControl/>
              <w:spacing w:beforeLines="0" w:afterLines="0" w:line="240" w:lineRule="auto"/>
              <w:rPr>
                <w:rFonts w:ascii="Times New Roman"/>
                <w:kern w:val="21"/>
                <w:szCs w:val="21"/>
              </w:rPr>
            </w:pPr>
            <w:r>
              <w:rPr>
                <w:rFonts w:ascii="Times New Roman"/>
                <w:snapToGrid w:val="0"/>
                <w:kern w:val="21"/>
                <w:szCs w:val="21"/>
              </w:rPr>
              <w:t>废气</w:t>
            </w: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482E095C">
            <w:pPr>
              <w:pStyle w:val="38"/>
              <w:widowControl/>
              <w:spacing w:beforeLines="0" w:afterLines="0" w:line="240" w:lineRule="auto"/>
              <w:rPr>
                <w:rFonts w:ascii="Times New Roman"/>
                <w:snapToGrid w:val="0"/>
                <w:kern w:val="21"/>
                <w:szCs w:val="21"/>
              </w:rPr>
            </w:pPr>
            <w:r>
              <w:rPr>
                <w:rFonts w:ascii="Times New Roman"/>
                <w:snapToGrid w:val="0"/>
                <w:kern w:val="21"/>
                <w:szCs w:val="21"/>
              </w:rPr>
              <w:t>颗粒物</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2929E99C">
            <w:pPr>
              <w:pStyle w:val="38"/>
              <w:widowControl/>
              <w:spacing w:beforeLines="0" w:afterLines="0" w:line="240" w:lineRule="auto"/>
              <w:rPr>
                <w:rFonts w:hint="default" w:ascii="Times New Roman" w:eastAsia="宋体"/>
                <w:snapToGrid w:val="0"/>
                <w:kern w:val="21"/>
                <w:szCs w:val="21"/>
                <w:lang w:val="en-US" w:eastAsia="zh-CN"/>
              </w:rPr>
            </w:pPr>
            <w:r>
              <w:rPr>
                <w:rFonts w:hint="eastAsia" w:ascii="Times New Roman"/>
                <w:snapToGrid w:val="0"/>
                <w:kern w:val="21"/>
                <w:szCs w:val="21"/>
                <w:lang w:val="en-US" w:eastAsia="zh-CN"/>
              </w:rPr>
              <w:t>0.018</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7F3E1AF">
            <w:pPr>
              <w:pStyle w:val="38"/>
              <w:widowControl/>
              <w:spacing w:beforeLines="0" w:afterLines="0" w:line="240" w:lineRule="auto"/>
              <w:rPr>
                <w:rFonts w:ascii="Times New Roman"/>
                <w:snapToGrid w:val="0"/>
                <w:kern w:val="21"/>
                <w:szCs w:val="21"/>
              </w:rPr>
            </w:pPr>
            <w:r>
              <w:rPr>
                <w:rFonts w:ascii="Times New Roman"/>
                <w:snapToGrid w:val="0"/>
                <w:kern w:val="21"/>
                <w:szCs w:val="21"/>
              </w:rPr>
              <w:t>/</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7225D282">
            <w:pPr>
              <w:pStyle w:val="38"/>
              <w:widowControl/>
              <w:spacing w:beforeLines="0" w:afterLines="0" w:line="240" w:lineRule="auto"/>
              <w:rPr>
                <w:rFonts w:ascii="Times New Roman"/>
                <w:snapToGrid w:val="0"/>
                <w:kern w:val="21"/>
                <w:szCs w:val="21"/>
              </w:rPr>
            </w:pPr>
            <w:r>
              <w:rPr>
                <w:rFonts w:ascii="Times New Roman"/>
                <w:snapToGrid w:val="0"/>
                <w:kern w:val="21"/>
                <w:szCs w:val="21"/>
              </w:rPr>
              <w:t>/</w:t>
            </w: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3009C08F">
            <w:pPr>
              <w:jc w:val="center"/>
              <w:rPr>
                <w:rFonts w:hint="default" w:eastAsia="宋体"/>
                <w:szCs w:val="21"/>
                <w:lang w:val="en-US" w:eastAsia="zh-CN"/>
              </w:rPr>
            </w:pPr>
            <w:r>
              <w:rPr>
                <w:rFonts w:hint="eastAsia"/>
                <w:szCs w:val="21"/>
                <w:lang w:val="en-US" w:eastAsia="zh-CN"/>
              </w:rPr>
              <w:t>0.039</w:t>
            </w: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012D0731">
            <w:pPr>
              <w:jc w:val="center"/>
              <w:rPr>
                <w:rFonts w:ascii="Times New Roman"/>
                <w:snapToGrid w:val="0"/>
                <w:kern w:val="21"/>
                <w:szCs w:val="21"/>
              </w:rPr>
            </w:pPr>
            <w:r>
              <w:rPr>
                <w:rFonts w:hint="eastAsia"/>
                <w:szCs w:val="21"/>
                <w:lang w:val="en-US" w:eastAsia="zh-CN"/>
              </w:rPr>
              <w:t>-0.039</w:t>
            </w: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3779A317">
            <w:pPr>
              <w:pStyle w:val="38"/>
              <w:widowControl/>
              <w:spacing w:beforeLines="0" w:afterLines="0" w:line="240" w:lineRule="auto"/>
              <w:rPr>
                <w:rFonts w:hint="default" w:ascii="Times New Roman" w:hAnsi="Times New Roman" w:eastAsia="宋体" w:cs="Times New Roman"/>
                <w:snapToGrid w:val="0"/>
                <w:kern w:val="21"/>
                <w:sz w:val="21"/>
                <w:szCs w:val="21"/>
                <w:lang w:val="en-US" w:eastAsia="zh-CN" w:bidi="ar-SA"/>
              </w:rPr>
            </w:pPr>
            <w:r>
              <w:rPr>
                <w:rFonts w:hint="eastAsia" w:ascii="Times New Roman"/>
                <w:snapToGrid w:val="0"/>
                <w:kern w:val="21"/>
                <w:szCs w:val="21"/>
                <w:lang w:val="en-US" w:eastAsia="zh-CN"/>
              </w:rPr>
              <w:t>0.018</w:t>
            </w: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50727D5A">
            <w:pPr>
              <w:jc w:val="center"/>
              <w:rPr>
                <w:rFonts w:hint="default" w:eastAsia="宋体"/>
                <w:szCs w:val="21"/>
                <w:lang w:val="en-US" w:eastAsia="zh-CN"/>
              </w:rPr>
            </w:pPr>
            <w:r>
              <w:rPr>
                <w:rFonts w:hint="eastAsia"/>
                <w:szCs w:val="21"/>
                <w:lang w:val="en-US" w:eastAsia="zh-CN"/>
              </w:rPr>
              <w:t>0</w:t>
            </w:r>
          </w:p>
        </w:tc>
      </w:tr>
      <w:tr w14:paraId="3E834A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1418" w:type="dxa"/>
            <w:vMerge w:val="continue"/>
            <w:tcBorders>
              <w:left w:val="single" w:color="auto" w:sz="8" w:space="0"/>
              <w:right w:val="single" w:color="auto" w:sz="4" w:space="0"/>
            </w:tcBorders>
            <w:shd w:val="clear" w:color="auto" w:fill="auto"/>
            <w:vAlign w:val="center"/>
          </w:tcPr>
          <w:p w14:paraId="4F2B01DF">
            <w:pPr>
              <w:pStyle w:val="38"/>
              <w:widowControl/>
              <w:spacing w:beforeLines="0" w:afterLines="0" w:line="240" w:lineRule="auto"/>
              <w:rPr>
                <w:rFonts w:ascii="Times New Roman"/>
                <w:snapToGrid w:val="0"/>
                <w:kern w:val="21"/>
                <w:szCs w:val="21"/>
              </w:rPr>
            </w:pP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3FF3B508">
            <w:pPr>
              <w:jc w:val="center"/>
              <w:rPr>
                <w:szCs w:val="21"/>
              </w:rPr>
            </w:pPr>
            <w:r>
              <w:rPr>
                <w:szCs w:val="21"/>
              </w:rPr>
              <w:t>SO</w:t>
            </w:r>
            <w:r>
              <w:rPr>
                <w:szCs w:val="21"/>
                <w:vertAlign w:val="subscript"/>
              </w:rPr>
              <w:t>2</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0374D8C4">
            <w:pPr>
              <w:pStyle w:val="38"/>
              <w:widowControl/>
              <w:spacing w:beforeLines="0" w:afterLines="0" w:line="240" w:lineRule="auto"/>
              <w:rPr>
                <w:rFonts w:hint="default" w:ascii="Times New Roman" w:eastAsia="宋体"/>
                <w:szCs w:val="21"/>
                <w:lang w:val="en-US" w:eastAsia="zh-CN"/>
              </w:rPr>
            </w:pPr>
            <w:r>
              <w:rPr>
                <w:rFonts w:hint="eastAsia" w:ascii="Times New Roman"/>
                <w:szCs w:val="21"/>
                <w:lang w:val="en-US" w:eastAsia="zh-CN"/>
              </w:rPr>
              <w:t>1.438</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4AC770C">
            <w:pPr>
              <w:pStyle w:val="38"/>
              <w:widowControl/>
              <w:spacing w:beforeLines="0" w:afterLines="0" w:line="240" w:lineRule="auto"/>
              <w:rPr>
                <w:rFonts w:ascii="Times New Roman"/>
                <w:szCs w:val="21"/>
              </w:rPr>
            </w:pPr>
            <w:r>
              <w:rPr>
                <w:rFonts w:ascii="Times New Roman"/>
                <w:szCs w:val="21"/>
              </w:rPr>
              <w:t>/</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575FE8C4">
            <w:pPr>
              <w:pStyle w:val="38"/>
              <w:widowControl/>
              <w:spacing w:beforeLines="0" w:afterLines="0" w:line="240" w:lineRule="auto"/>
              <w:rPr>
                <w:rFonts w:ascii="Times New Roman"/>
                <w:szCs w:val="21"/>
              </w:rPr>
            </w:pPr>
            <w:r>
              <w:rPr>
                <w:rFonts w:ascii="Times New Roman"/>
                <w:szCs w:val="21"/>
              </w:rPr>
              <w:t>/</w:t>
            </w: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15718624">
            <w:pPr>
              <w:jc w:val="center"/>
              <w:rPr>
                <w:rFonts w:hint="default" w:eastAsia="宋体"/>
                <w:szCs w:val="21"/>
                <w:lang w:val="en-US" w:eastAsia="zh-CN"/>
              </w:rPr>
            </w:pPr>
            <w:r>
              <w:rPr>
                <w:rFonts w:hint="eastAsia"/>
                <w:szCs w:val="21"/>
                <w:lang w:val="en-US" w:eastAsia="zh-CN"/>
              </w:rPr>
              <w:t>0.069</w:t>
            </w: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3F33CBE0">
            <w:pPr>
              <w:jc w:val="center"/>
              <w:rPr>
                <w:rFonts w:ascii="Times New Roman"/>
                <w:szCs w:val="21"/>
              </w:rPr>
            </w:pPr>
            <w:r>
              <w:rPr>
                <w:rFonts w:hint="eastAsia"/>
                <w:szCs w:val="21"/>
                <w:lang w:val="en-US" w:eastAsia="zh-CN"/>
              </w:rPr>
              <w:t>-0.069</w:t>
            </w: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41211E13">
            <w:pPr>
              <w:pStyle w:val="38"/>
              <w:widowControl/>
              <w:spacing w:beforeLines="0" w:afterLines="0" w:line="240" w:lineRule="auto"/>
              <w:rPr>
                <w:rFonts w:hint="default" w:ascii="Times New Roman" w:hAnsi="Times New Roman" w:eastAsia="宋体" w:cs="Times New Roman"/>
                <w:kern w:val="0"/>
                <w:sz w:val="21"/>
                <w:szCs w:val="21"/>
                <w:lang w:val="en-US" w:eastAsia="zh-CN" w:bidi="ar-SA"/>
              </w:rPr>
            </w:pPr>
            <w:r>
              <w:rPr>
                <w:rFonts w:hint="eastAsia" w:ascii="Times New Roman"/>
                <w:szCs w:val="21"/>
                <w:lang w:val="en-US" w:eastAsia="zh-CN"/>
              </w:rPr>
              <w:t>1.438</w:t>
            </w: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2E8BA69B">
            <w:pPr>
              <w:jc w:val="center"/>
              <w:rPr>
                <w:rFonts w:hint="default" w:eastAsia="宋体"/>
                <w:szCs w:val="21"/>
                <w:lang w:val="en-US" w:eastAsia="zh-CN"/>
              </w:rPr>
            </w:pPr>
            <w:r>
              <w:rPr>
                <w:rFonts w:hint="eastAsia"/>
                <w:szCs w:val="21"/>
                <w:lang w:val="en-US" w:eastAsia="zh-CN"/>
              </w:rPr>
              <w:t>0</w:t>
            </w:r>
          </w:p>
        </w:tc>
      </w:tr>
      <w:tr w14:paraId="60AC24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1418" w:type="dxa"/>
            <w:vMerge w:val="continue"/>
            <w:tcBorders>
              <w:left w:val="single" w:color="auto" w:sz="8" w:space="0"/>
              <w:right w:val="single" w:color="auto" w:sz="4" w:space="0"/>
            </w:tcBorders>
            <w:shd w:val="clear" w:color="auto" w:fill="auto"/>
            <w:vAlign w:val="center"/>
          </w:tcPr>
          <w:p w14:paraId="4DD845D3">
            <w:pPr>
              <w:pStyle w:val="38"/>
              <w:widowControl/>
              <w:spacing w:beforeLines="0" w:afterLines="0" w:line="240" w:lineRule="auto"/>
              <w:rPr>
                <w:rFonts w:ascii="Times New Roman"/>
                <w:snapToGrid w:val="0"/>
                <w:kern w:val="21"/>
                <w:szCs w:val="21"/>
              </w:rPr>
            </w:pP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7CFB9CD2">
            <w:pPr>
              <w:jc w:val="center"/>
              <w:rPr>
                <w:szCs w:val="21"/>
              </w:rPr>
            </w:pPr>
            <w:r>
              <w:rPr>
                <w:szCs w:val="21"/>
              </w:rPr>
              <w:t>NOx</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5BBC1714">
            <w:pPr>
              <w:pStyle w:val="38"/>
              <w:widowControl/>
              <w:spacing w:beforeLines="0" w:afterLines="0" w:line="240" w:lineRule="auto"/>
              <w:rPr>
                <w:rFonts w:hint="default" w:ascii="Times New Roman" w:eastAsiaTheme="minorEastAsia"/>
                <w:snapToGrid w:val="0"/>
                <w:kern w:val="21"/>
                <w:szCs w:val="21"/>
                <w:lang w:val="en-US" w:eastAsia="zh-CN"/>
              </w:rPr>
            </w:pPr>
            <w:r>
              <w:rPr>
                <w:rFonts w:hint="eastAsia" w:ascii="Times New Roman" w:eastAsiaTheme="minorEastAsia"/>
                <w:snapToGrid w:val="0"/>
                <w:kern w:val="21"/>
                <w:szCs w:val="21"/>
                <w:lang w:val="en-US" w:eastAsia="zh-CN"/>
              </w:rPr>
              <w:t>4.349</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59CE3E98">
            <w:pPr>
              <w:pStyle w:val="38"/>
              <w:widowControl/>
              <w:spacing w:beforeLines="0" w:afterLines="0" w:line="240" w:lineRule="auto"/>
              <w:rPr>
                <w:rFonts w:ascii="Times New Roman" w:eastAsiaTheme="minorEastAsia"/>
                <w:snapToGrid w:val="0"/>
                <w:kern w:val="21"/>
                <w:szCs w:val="21"/>
              </w:rPr>
            </w:pPr>
            <w:r>
              <w:rPr>
                <w:rFonts w:ascii="Times New Roman" w:eastAsiaTheme="minorEastAsia"/>
                <w:snapToGrid w:val="0"/>
                <w:kern w:val="21"/>
                <w:szCs w:val="21"/>
              </w:rPr>
              <w:t>/</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58442F60">
            <w:pPr>
              <w:pStyle w:val="38"/>
              <w:widowControl/>
              <w:spacing w:beforeLines="0" w:afterLines="0" w:line="240" w:lineRule="auto"/>
              <w:rPr>
                <w:rFonts w:ascii="Times New Roman" w:eastAsiaTheme="minorEastAsia"/>
                <w:snapToGrid w:val="0"/>
                <w:kern w:val="21"/>
                <w:szCs w:val="21"/>
              </w:rPr>
            </w:pPr>
            <w:r>
              <w:rPr>
                <w:rFonts w:ascii="Times New Roman" w:eastAsiaTheme="minorEastAsia"/>
                <w:snapToGrid w:val="0"/>
                <w:kern w:val="21"/>
                <w:szCs w:val="21"/>
              </w:rPr>
              <w:t>/</w:t>
            </w: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4ADA4DC4">
            <w:pPr>
              <w:jc w:val="center"/>
              <w:rPr>
                <w:rFonts w:hint="default" w:eastAsia="宋体"/>
                <w:szCs w:val="21"/>
                <w:lang w:val="en-US" w:eastAsia="zh-CN"/>
              </w:rPr>
            </w:pPr>
            <w:r>
              <w:rPr>
                <w:rFonts w:hint="eastAsia"/>
                <w:szCs w:val="21"/>
                <w:lang w:val="en-US" w:eastAsia="zh-CN"/>
              </w:rPr>
              <w:t>0.265</w:t>
            </w: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33E63484">
            <w:pPr>
              <w:jc w:val="center"/>
              <w:rPr>
                <w:rFonts w:ascii="Times New Roman" w:eastAsiaTheme="minorEastAsia"/>
                <w:snapToGrid w:val="0"/>
                <w:kern w:val="21"/>
                <w:szCs w:val="21"/>
              </w:rPr>
            </w:pPr>
            <w:r>
              <w:rPr>
                <w:rFonts w:hint="eastAsia"/>
                <w:szCs w:val="21"/>
                <w:lang w:val="en-US" w:eastAsia="zh-CN"/>
              </w:rPr>
              <w:t>-0.265</w:t>
            </w: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21797D67">
            <w:pPr>
              <w:pStyle w:val="38"/>
              <w:widowControl/>
              <w:spacing w:beforeLines="0" w:afterLines="0" w:line="240" w:lineRule="auto"/>
              <w:rPr>
                <w:rFonts w:hint="default" w:ascii="Times New Roman" w:hAnsi="Times New Roman" w:cs="Times New Roman" w:eastAsiaTheme="minorEastAsia"/>
                <w:snapToGrid w:val="0"/>
                <w:kern w:val="21"/>
                <w:sz w:val="21"/>
                <w:szCs w:val="21"/>
                <w:lang w:val="en-US" w:eastAsia="zh-CN" w:bidi="ar-SA"/>
              </w:rPr>
            </w:pPr>
            <w:r>
              <w:rPr>
                <w:rFonts w:hint="eastAsia" w:ascii="Times New Roman" w:eastAsiaTheme="minorEastAsia"/>
                <w:snapToGrid w:val="0"/>
                <w:kern w:val="21"/>
                <w:szCs w:val="21"/>
                <w:lang w:val="en-US" w:eastAsia="zh-CN"/>
              </w:rPr>
              <w:t>4.349</w:t>
            </w: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4CCC9CE7">
            <w:pPr>
              <w:jc w:val="center"/>
              <w:rPr>
                <w:rFonts w:hint="default" w:eastAsia="宋体"/>
                <w:szCs w:val="21"/>
                <w:lang w:val="en-US" w:eastAsia="zh-CN"/>
              </w:rPr>
            </w:pPr>
            <w:r>
              <w:rPr>
                <w:rFonts w:hint="eastAsia"/>
                <w:szCs w:val="21"/>
                <w:lang w:val="en-US" w:eastAsia="zh-CN"/>
              </w:rPr>
              <w:t>0</w:t>
            </w:r>
          </w:p>
        </w:tc>
      </w:tr>
      <w:tr w14:paraId="36ED69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418" w:type="dxa"/>
            <w:vMerge w:val="continue"/>
            <w:tcBorders>
              <w:left w:val="single" w:color="auto" w:sz="8" w:space="0"/>
              <w:right w:val="single" w:color="auto" w:sz="4" w:space="0"/>
            </w:tcBorders>
            <w:shd w:val="clear" w:color="auto" w:fill="auto"/>
            <w:vAlign w:val="center"/>
          </w:tcPr>
          <w:p w14:paraId="470159DB">
            <w:pPr>
              <w:pStyle w:val="38"/>
              <w:widowControl/>
              <w:spacing w:beforeLines="0" w:afterLines="0" w:line="240" w:lineRule="auto"/>
              <w:rPr>
                <w:rFonts w:ascii="Times New Roman"/>
                <w:snapToGrid w:val="0"/>
                <w:kern w:val="21"/>
                <w:szCs w:val="21"/>
              </w:rPr>
            </w:pP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19E0FD1A">
            <w:pPr>
              <w:jc w:val="center"/>
              <w:rPr>
                <w:rFonts w:hint="default" w:eastAsia="宋体"/>
                <w:szCs w:val="21"/>
                <w:lang w:val="en-US" w:eastAsia="zh-CN"/>
              </w:rPr>
            </w:pPr>
            <w:r>
              <w:rPr>
                <w:rFonts w:hint="eastAsia"/>
                <w:szCs w:val="21"/>
                <w:lang w:val="en-US" w:eastAsia="zh-CN"/>
              </w:rPr>
              <w:t>烟气黑度</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675AA06A">
            <w:pPr>
              <w:pStyle w:val="38"/>
              <w:widowControl/>
              <w:spacing w:beforeLines="0" w:afterLines="0" w:line="240" w:lineRule="auto"/>
              <w:rPr>
                <w:rFonts w:ascii="Times New Roman"/>
                <w:snapToGrid w:val="0"/>
                <w:kern w:val="21"/>
                <w:szCs w:val="21"/>
              </w:rPr>
            </w:pPr>
            <w:r>
              <w:rPr>
                <w:rFonts w:hint="eastAsia" w:ascii="Times New Roman" w:hAnsi="Times New Roman"/>
                <w:color w:val="auto"/>
                <w:sz w:val="21"/>
                <w:szCs w:val="21"/>
                <w:lang w:bidi="ar"/>
              </w:rPr>
              <w:t>≤1级</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AC8F7C6">
            <w:pPr>
              <w:pStyle w:val="38"/>
              <w:widowControl/>
              <w:spacing w:beforeLines="0" w:afterLines="0" w:line="240" w:lineRule="auto"/>
              <w:rPr>
                <w:rFonts w:ascii="Times New Roman"/>
                <w:snapToGrid w:val="0"/>
                <w:kern w:val="21"/>
                <w:szCs w:val="21"/>
              </w:rPr>
            </w:pPr>
            <w:r>
              <w:rPr>
                <w:rFonts w:ascii="Times New Roman"/>
                <w:snapToGrid w:val="0"/>
                <w:kern w:val="21"/>
                <w:szCs w:val="21"/>
              </w:rPr>
              <w:t>/</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2AD624AC">
            <w:pPr>
              <w:pStyle w:val="38"/>
              <w:widowControl/>
              <w:spacing w:beforeLines="0" w:afterLines="0" w:line="240" w:lineRule="auto"/>
              <w:rPr>
                <w:rFonts w:ascii="Times New Roman"/>
                <w:snapToGrid w:val="0"/>
                <w:kern w:val="21"/>
                <w:szCs w:val="21"/>
              </w:rPr>
            </w:pPr>
            <w:r>
              <w:rPr>
                <w:rFonts w:ascii="Times New Roman"/>
                <w:snapToGrid w:val="0"/>
                <w:kern w:val="21"/>
                <w:szCs w:val="21"/>
              </w:rPr>
              <w:t>/</w:t>
            </w: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7449A7BC">
            <w:pPr>
              <w:jc w:val="center"/>
              <w:rPr>
                <w:rFonts w:hint="default" w:eastAsia="宋体"/>
                <w:szCs w:val="21"/>
                <w:lang w:val="en-US" w:eastAsia="zh-CN"/>
              </w:rPr>
            </w:pPr>
            <w:r>
              <w:rPr>
                <w:rFonts w:hint="eastAsia" w:ascii="Times New Roman" w:hAnsi="Times New Roman"/>
                <w:color w:val="auto"/>
                <w:sz w:val="21"/>
                <w:szCs w:val="21"/>
                <w:lang w:bidi="ar"/>
              </w:rPr>
              <w:t>≤1级</w:t>
            </w: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48B4BB8D">
            <w:pPr>
              <w:pStyle w:val="38"/>
              <w:widowControl/>
              <w:spacing w:beforeLines="0" w:afterLines="0" w:line="240" w:lineRule="auto"/>
              <w:rPr>
                <w:rFonts w:ascii="Times New Roman"/>
                <w:snapToGrid w:val="0"/>
                <w:kern w:val="21"/>
                <w:szCs w:val="21"/>
              </w:rPr>
            </w:pPr>
            <w:r>
              <w:rPr>
                <w:rFonts w:ascii="Times New Roman"/>
                <w:snapToGrid w:val="0"/>
                <w:kern w:val="21"/>
                <w:szCs w:val="21"/>
              </w:rPr>
              <w:t>/</w:t>
            </w: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588BEB8F">
            <w:pPr>
              <w:jc w:val="center"/>
              <w:rPr>
                <w:szCs w:val="21"/>
              </w:rPr>
            </w:pPr>
            <w:r>
              <w:rPr>
                <w:rFonts w:hint="eastAsia" w:ascii="Times New Roman" w:hAnsi="Times New Roman"/>
                <w:color w:val="auto"/>
                <w:sz w:val="21"/>
                <w:szCs w:val="21"/>
                <w:lang w:bidi="ar"/>
              </w:rPr>
              <w:t>≤1级</w:t>
            </w: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0AD8B6E7">
            <w:pPr>
              <w:jc w:val="center"/>
              <w:rPr>
                <w:rFonts w:hint="eastAsia" w:eastAsia="宋体"/>
                <w:szCs w:val="21"/>
                <w:lang w:val="en-US" w:eastAsia="zh-CN"/>
              </w:rPr>
            </w:pPr>
            <w:r>
              <w:rPr>
                <w:rFonts w:hint="eastAsia"/>
                <w:szCs w:val="21"/>
                <w:lang w:val="en-US" w:eastAsia="zh-CN"/>
              </w:rPr>
              <w:t>/</w:t>
            </w:r>
          </w:p>
        </w:tc>
      </w:tr>
      <w:tr w14:paraId="0D4B37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1418" w:type="dxa"/>
            <w:vMerge w:val="restart"/>
            <w:tcBorders>
              <w:top w:val="single" w:color="auto" w:sz="4" w:space="0"/>
              <w:left w:val="single" w:color="auto" w:sz="8" w:space="0"/>
              <w:bottom w:val="single" w:color="auto" w:sz="4" w:space="0"/>
              <w:right w:val="single" w:color="auto" w:sz="4" w:space="0"/>
            </w:tcBorders>
            <w:shd w:val="clear" w:color="auto" w:fill="auto"/>
            <w:vAlign w:val="center"/>
          </w:tcPr>
          <w:p w14:paraId="4CEB91F8">
            <w:pPr>
              <w:pStyle w:val="38"/>
              <w:widowControl/>
              <w:spacing w:beforeLines="0" w:afterLines="0" w:line="240" w:lineRule="auto"/>
              <w:rPr>
                <w:rFonts w:ascii="Times New Roman"/>
                <w:kern w:val="21"/>
                <w:szCs w:val="21"/>
              </w:rPr>
            </w:pPr>
            <w:r>
              <w:rPr>
                <w:rFonts w:ascii="Times New Roman"/>
                <w:snapToGrid w:val="0"/>
                <w:kern w:val="21"/>
                <w:szCs w:val="21"/>
              </w:rPr>
              <w:t>废水</w:t>
            </w: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044BA925">
            <w:pPr>
              <w:jc w:val="center"/>
              <w:rPr>
                <w:rFonts w:ascii="Times New Roman" w:hAnsi="Times New Roman" w:eastAsia="宋体" w:cs="Times New Roman"/>
                <w:kern w:val="2"/>
                <w:sz w:val="21"/>
                <w:szCs w:val="21"/>
                <w:lang w:val="en-US" w:eastAsia="zh-CN" w:bidi="ar-SA"/>
              </w:rPr>
            </w:pPr>
            <w:r>
              <w:rPr>
                <w:szCs w:val="21"/>
              </w:rPr>
              <w:t>COD</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65A49FF2">
            <w:pPr>
              <w:pStyle w:val="38"/>
              <w:widowControl/>
              <w:spacing w:beforeLines="0" w:afterLines="0" w:line="240" w:lineRule="auto"/>
              <w:rPr>
                <w:rFonts w:hint="default" w:ascii="Times New Roman" w:hAnsi="Times New Roman" w:eastAsia="宋体" w:cs="Times New Roman"/>
                <w:snapToGrid w:val="0"/>
                <w:kern w:val="21"/>
                <w:sz w:val="21"/>
                <w:szCs w:val="21"/>
                <w:lang w:val="en-US" w:eastAsia="zh-CN" w:bidi="ar-SA"/>
              </w:rPr>
            </w:pPr>
            <w:r>
              <w:rPr>
                <w:rFonts w:hint="eastAsia" w:ascii="Times New Roman"/>
                <w:snapToGrid w:val="0"/>
                <w:kern w:val="21"/>
                <w:szCs w:val="21"/>
                <w:lang w:val="en-US" w:eastAsia="zh-CN"/>
              </w:rPr>
              <w:t>4.05</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7798E6E5">
            <w:pPr>
              <w:pStyle w:val="38"/>
              <w:widowControl/>
              <w:spacing w:beforeLines="0" w:afterLines="0" w:line="240" w:lineRule="auto"/>
              <w:rPr>
                <w:rFonts w:ascii="Times New Roman" w:hAnsi="Times New Roman" w:eastAsia="宋体" w:cs="Times New Roman"/>
                <w:snapToGrid w:val="0"/>
                <w:kern w:val="21"/>
                <w:sz w:val="21"/>
                <w:szCs w:val="21"/>
                <w:lang w:val="en-US" w:eastAsia="zh-CN" w:bidi="ar-SA"/>
              </w:rPr>
            </w:pPr>
            <w:r>
              <w:rPr>
                <w:rFonts w:ascii="Times New Roman"/>
                <w:snapToGrid w:val="0"/>
                <w:kern w:val="21"/>
                <w:szCs w:val="21"/>
              </w:rPr>
              <w:t>/</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3FDED32E">
            <w:pPr>
              <w:pStyle w:val="38"/>
              <w:widowControl/>
              <w:spacing w:beforeLines="0" w:afterLines="0" w:line="240" w:lineRule="auto"/>
              <w:rPr>
                <w:rFonts w:ascii="Times New Roman" w:hAnsi="Times New Roman" w:eastAsia="宋体" w:cs="Times New Roman"/>
                <w:snapToGrid w:val="0"/>
                <w:kern w:val="21"/>
                <w:sz w:val="21"/>
                <w:szCs w:val="21"/>
                <w:lang w:val="en-US" w:eastAsia="zh-CN" w:bidi="ar-SA"/>
              </w:rPr>
            </w:pPr>
            <w:r>
              <w:rPr>
                <w:rFonts w:ascii="Times New Roman"/>
                <w:snapToGrid w:val="0"/>
                <w:kern w:val="21"/>
                <w:szCs w:val="21"/>
              </w:rPr>
              <w:t>/</w:t>
            </w: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62586C71">
            <w:pPr>
              <w:pStyle w:val="38"/>
              <w:widowControl/>
              <w:spacing w:beforeLines="0" w:afterLines="0" w:line="240" w:lineRule="auto"/>
              <w:rPr>
                <w:rFonts w:hint="default" w:ascii="Times New Roman" w:hAnsi="Times New Roman" w:eastAsia="宋体" w:cs="Times New Roman"/>
                <w:bCs/>
                <w:kern w:val="0"/>
                <w:sz w:val="21"/>
                <w:szCs w:val="21"/>
                <w:lang w:val="en-US" w:eastAsia="zh-CN" w:bidi="ar-SA"/>
              </w:rPr>
            </w:pPr>
            <w:r>
              <w:rPr>
                <w:rFonts w:hint="eastAsia" w:ascii="Times New Roman"/>
                <w:bCs/>
                <w:szCs w:val="21"/>
                <w:lang w:val="en-US" w:eastAsia="zh-CN"/>
              </w:rPr>
              <w:t>0.011</w:t>
            </w: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754517FE">
            <w:pPr>
              <w:pStyle w:val="38"/>
              <w:widowControl/>
              <w:spacing w:beforeLines="0" w:afterLines="0" w:line="240" w:lineRule="auto"/>
              <w:rPr>
                <w:rFonts w:ascii="Times New Roman" w:hAnsi="Times New Roman" w:eastAsia="宋体" w:cs="Times New Roman"/>
                <w:snapToGrid w:val="0"/>
                <w:kern w:val="21"/>
                <w:sz w:val="21"/>
                <w:szCs w:val="21"/>
                <w:lang w:val="en-US" w:eastAsia="zh-CN" w:bidi="ar-SA"/>
              </w:rPr>
            </w:pPr>
            <w:r>
              <w:rPr>
                <w:rFonts w:hint="eastAsia" w:ascii="Times New Roman"/>
                <w:bCs/>
                <w:szCs w:val="21"/>
                <w:lang w:val="en-US" w:eastAsia="zh-CN"/>
              </w:rPr>
              <w:t>-0.011</w:t>
            </w: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76B66F85">
            <w:pPr>
              <w:pStyle w:val="38"/>
              <w:widowControl/>
              <w:spacing w:beforeLines="0" w:afterLines="0" w:line="240" w:lineRule="auto"/>
              <w:rPr>
                <w:rFonts w:hint="default" w:ascii="Times New Roman" w:hAnsi="Times New Roman" w:eastAsia="宋体" w:cs="Times New Roman"/>
                <w:snapToGrid w:val="0"/>
                <w:kern w:val="21"/>
                <w:sz w:val="21"/>
                <w:szCs w:val="21"/>
                <w:lang w:val="en-US" w:eastAsia="zh-CN" w:bidi="ar-SA"/>
              </w:rPr>
            </w:pPr>
            <w:r>
              <w:rPr>
                <w:rFonts w:hint="eastAsia" w:ascii="Times New Roman"/>
                <w:snapToGrid w:val="0"/>
                <w:kern w:val="21"/>
                <w:szCs w:val="21"/>
                <w:lang w:val="en-US" w:eastAsia="zh-CN"/>
              </w:rPr>
              <w:t>4.05</w:t>
            </w: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4FE13215">
            <w:pPr>
              <w:pStyle w:val="38"/>
              <w:widowControl/>
              <w:spacing w:beforeLines="0" w:afterLines="0" w:line="240" w:lineRule="auto"/>
              <w:rPr>
                <w:rFonts w:hint="default" w:ascii="Times New Roman" w:eastAsia="宋体"/>
                <w:snapToGrid w:val="0"/>
                <w:kern w:val="21"/>
                <w:szCs w:val="21"/>
                <w:lang w:val="en-US" w:eastAsia="zh-CN"/>
              </w:rPr>
            </w:pPr>
            <w:r>
              <w:rPr>
                <w:rFonts w:hint="eastAsia" w:ascii="Times New Roman"/>
                <w:snapToGrid w:val="0"/>
                <w:kern w:val="21"/>
                <w:szCs w:val="21"/>
                <w:lang w:val="en-US" w:eastAsia="zh-CN"/>
              </w:rPr>
              <w:t>+0.011</w:t>
            </w:r>
          </w:p>
        </w:tc>
      </w:tr>
      <w:tr w14:paraId="53B49E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1418" w:type="dxa"/>
            <w:vMerge w:val="continue"/>
            <w:tcBorders>
              <w:left w:val="single" w:color="auto" w:sz="8" w:space="0"/>
              <w:right w:val="single" w:color="auto" w:sz="4" w:space="0"/>
            </w:tcBorders>
            <w:shd w:val="clear" w:color="auto" w:fill="auto"/>
            <w:vAlign w:val="center"/>
          </w:tcPr>
          <w:p w14:paraId="66629903">
            <w:pPr>
              <w:pStyle w:val="38"/>
              <w:widowControl/>
              <w:spacing w:beforeLines="0" w:afterLines="0" w:line="240" w:lineRule="auto"/>
              <w:rPr>
                <w:rFonts w:ascii="Times New Roman"/>
                <w:snapToGrid w:val="0"/>
                <w:kern w:val="21"/>
                <w:szCs w:val="21"/>
              </w:rPr>
            </w:pP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5CE3A9EA">
            <w:pPr>
              <w:jc w:val="center"/>
              <w:rPr>
                <w:rFonts w:hint="eastAsia" w:eastAsia="宋体"/>
                <w:szCs w:val="21"/>
                <w:lang w:val="en-US" w:eastAsia="zh-CN"/>
              </w:rPr>
            </w:pPr>
            <w:r>
              <w:rPr>
                <w:rFonts w:hint="eastAsia"/>
                <w:szCs w:val="21"/>
                <w:lang w:val="en-US" w:eastAsia="zh-CN"/>
              </w:rPr>
              <w:t>氨氮</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1113F212">
            <w:pPr>
              <w:pStyle w:val="38"/>
              <w:widowControl/>
              <w:spacing w:beforeLines="0" w:afterLines="0" w:line="240" w:lineRule="auto"/>
              <w:rPr>
                <w:rFonts w:hint="default" w:ascii="Times New Roman"/>
                <w:snapToGrid w:val="0"/>
                <w:kern w:val="21"/>
                <w:szCs w:val="21"/>
                <w:lang w:val="en-US" w:eastAsia="zh-CN"/>
              </w:rPr>
            </w:pPr>
            <w:r>
              <w:rPr>
                <w:rFonts w:hint="eastAsia" w:ascii="Times New Roman"/>
                <w:snapToGrid w:val="0"/>
                <w:kern w:val="21"/>
                <w:szCs w:val="21"/>
                <w:lang w:val="en-US" w:eastAsia="zh-CN"/>
              </w:rPr>
              <w:t>0.65</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509E1A70">
            <w:pPr>
              <w:pStyle w:val="38"/>
              <w:widowControl/>
              <w:spacing w:beforeLines="0" w:afterLines="0" w:line="240" w:lineRule="auto"/>
              <w:rPr>
                <w:rFonts w:ascii="Times New Roman" w:hAnsi="Times New Roman" w:eastAsia="宋体" w:cs="Times New Roman"/>
                <w:snapToGrid w:val="0"/>
                <w:kern w:val="21"/>
                <w:sz w:val="21"/>
                <w:szCs w:val="21"/>
                <w:lang w:val="en-US" w:eastAsia="zh-CN" w:bidi="ar-SA"/>
              </w:rPr>
            </w:pPr>
            <w:r>
              <w:rPr>
                <w:rFonts w:ascii="Times New Roman"/>
                <w:snapToGrid w:val="0"/>
                <w:kern w:val="21"/>
                <w:szCs w:val="21"/>
              </w:rPr>
              <w:t>/</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111E7B24">
            <w:pPr>
              <w:pStyle w:val="38"/>
              <w:widowControl/>
              <w:spacing w:beforeLines="0" w:afterLines="0" w:line="240" w:lineRule="auto"/>
              <w:rPr>
                <w:rFonts w:ascii="Times New Roman" w:hAnsi="Times New Roman" w:eastAsia="宋体" w:cs="Times New Roman"/>
                <w:snapToGrid w:val="0"/>
                <w:kern w:val="21"/>
                <w:sz w:val="21"/>
                <w:szCs w:val="21"/>
                <w:lang w:val="en-US" w:eastAsia="zh-CN" w:bidi="ar-SA"/>
              </w:rPr>
            </w:pPr>
            <w:r>
              <w:rPr>
                <w:rFonts w:ascii="Times New Roman"/>
                <w:snapToGrid w:val="0"/>
                <w:kern w:val="21"/>
                <w:szCs w:val="21"/>
              </w:rPr>
              <w:t>/</w:t>
            </w: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2CDCE01B">
            <w:pPr>
              <w:pStyle w:val="38"/>
              <w:widowControl/>
              <w:spacing w:beforeLines="0" w:afterLines="0" w:line="240" w:lineRule="auto"/>
              <w:rPr>
                <w:rFonts w:hint="eastAsia" w:ascii="Times New Roman" w:hAnsi="Times New Roman" w:eastAsia="宋体" w:cs="Times New Roman"/>
                <w:snapToGrid w:val="0"/>
                <w:kern w:val="21"/>
                <w:sz w:val="21"/>
                <w:szCs w:val="21"/>
                <w:lang w:val="en-US" w:eastAsia="zh-CN" w:bidi="ar-SA"/>
              </w:rPr>
            </w:pPr>
            <w:r>
              <w:rPr>
                <w:rFonts w:ascii="Times New Roman"/>
                <w:snapToGrid w:val="0"/>
                <w:kern w:val="21"/>
                <w:szCs w:val="21"/>
              </w:rPr>
              <w:t>/</w:t>
            </w: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4DFDB59C">
            <w:pPr>
              <w:pStyle w:val="38"/>
              <w:widowControl/>
              <w:spacing w:beforeLines="0" w:afterLines="0" w:line="240" w:lineRule="auto"/>
              <w:rPr>
                <w:rFonts w:ascii="Times New Roman" w:hAnsi="Times New Roman" w:eastAsia="宋体" w:cs="Times New Roman"/>
                <w:snapToGrid w:val="0"/>
                <w:kern w:val="21"/>
                <w:sz w:val="21"/>
                <w:szCs w:val="21"/>
                <w:lang w:val="en-US" w:eastAsia="zh-CN" w:bidi="ar-SA"/>
              </w:rPr>
            </w:pPr>
            <w:r>
              <w:rPr>
                <w:rFonts w:ascii="Times New Roman"/>
                <w:snapToGrid w:val="0"/>
                <w:kern w:val="21"/>
                <w:szCs w:val="21"/>
              </w:rPr>
              <w:t>/</w:t>
            </w: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6CE3F023">
            <w:pPr>
              <w:pStyle w:val="38"/>
              <w:widowControl/>
              <w:spacing w:beforeLines="0" w:afterLines="0" w:line="240" w:lineRule="auto"/>
              <w:rPr>
                <w:rFonts w:hint="eastAsia" w:ascii="Times New Roman" w:hAnsi="Times New Roman" w:eastAsia="宋体" w:cs="Times New Roman"/>
                <w:snapToGrid w:val="0"/>
                <w:kern w:val="21"/>
                <w:sz w:val="21"/>
                <w:szCs w:val="21"/>
                <w:lang w:val="en-US" w:eastAsia="zh-CN" w:bidi="ar-SA"/>
              </w:rPr>
            </w:pPr>
            <w:r>
              <w:rPr>
                <w:rFonts w:hint="eastAsia" w:ascii="Times New Roman"/>
                <w:snapToGrid w:val="0"/>
                <w:kern w:val="21"/>
                <w:szCs w:val="21"/>
                <w:lang w:val="en-US" w:eastAsia="zh-CN"/>
              </w:rPr>
              <w:t>0.65</w:t>
            </w: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7B989B04">
            <w:pPr>
              <w:pStyle w:val="38"/>
              <w:widowControl/>
              <w:spacing w:beforeLines="0" w:afterLines="0" w:line="240" w:lineRule="auto"/>
              <w:rPr>
                <w:rFonts w:hint="default" w:ascii="Times New Roman" w:hAnsi="Times New Roman" w:eastAsia="宋体" w:cs="Times New Roman"/>
                <w:snapToGrid w:val="0"/>
                <w:kern w:val="21"/>
                <w:sz w:val="21"/>
                <w:szCs w:val="21"/>
                <w:lang w:val="en-US" w:eastAsia="zh-CN" w:bidi="ar-SA"/>
              </w:rPr>
            </w:pPr>
            <w:r>
              <w:rPr>
                <w:rFonts w:hint="eastAsia" w:ascii="Times New Roman" w:hAnsi="Times New Roman" w:cs="Times New Roman"/>
                <w:snapToGrid w:val="0"/>
                <w:kern w:val="21"/>
                <w:sz w:val="21"/>
                <w:szCs w:val="21"/>
                <w:lang w:val="en-US" w:eastAsia="zh-CN" w:bidi="ar-SA"/>
              </w:rPr>
              <w:t>+0.000</w:t>
            </w:r>
          </w:p>
        </w:tc>
      </w:tr>
      <w:tr w14:paraId="211BBA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1418" w:type="dxa"/>
            <w:vMerge w:val="continue"/>
            <w:tcBorders>
              <w:left w:val="single" w:color="auto" w:sz="8" w:space="0"/>
              <w:right w:val="single" w:color="auto" w:sz="4" w:space="0"/>
            </w:tcBorders>
            <w:shd w:val="clear" w:color="auto" w:fill="auto"/>
            <w:vAlign w:val="center"/>
          </w:tcPr>
          <w:p w14:paraId="6E74147A">
            <w:pPr>
              <w:pStyle w:val="38"/>
              <w:widowControl/>
              <w:spacing w:beforeLines="0" w:afterLines="0" w:line="240" w:lineRule="auto"/>
              <w:rPr>
                <w:rFonts w:ascii="Times New Roman"/>
                <w:snapToGrid w:val="0"/>
                <w:kern w:val="21"/>
                <w:szCs w:val="21"/>
              </w:rPr>
            </w:pP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66E4A433">
            <w:pPr>
              <w:jc w:val="center"/>
              <w:rPr>
                <w:rFonts w:hint="default"/>
                <w:szCs w:val="21"/>
                <w:lang w:val="en-US" w:eastAsia="zh-CN"/>
              </w:rPr>
            </w:pPr>
            <w:r>
              <w:rPr>
                <w:rFonts w:hint="eastAsia"/>
                <w:szCs w:val="21"/>
                <w:lang w:val="en-US" w:eastAsia="zh-CN"/>
              </w:rPr>
              <w:t>BOD</w:t>
            </w:r>
            <w:r>
              <w:rPr>
                <w:rFonts w:hint="eastAsia"/>
                <w:szCs w:val="21"/>
                <w:vertAlign w:val="subscript"/>
                <w:lang w:val="en-US" w:eastAsia="zh-CN"/>
              </w:rPr>
              <w:t>5</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75B991AD">
            <w:pPr>
              <w:pStyle w:val="38"/>
              <w:widowControl/>
              <w:spacing w:beforeLines="0" w:afterLines="0" w:line="240" w:lineRule="auto"/>
              <w:rPr>
                <w:rFonts w:hint="default" w:ascii="Times New Roman"/>
                <w:snapToGrid w:val="0"/>
                <w:kern w:val="21"/>
                <w:szCs w:val="21"/>
                <w:lang w:val="en-US" w:eastAsia="zh-CN"/>
              </w:rPr>
            </w:pPr>
            <w:r>
              <w:rPr>
                <w:rFonts w:hint="eastAsia" w:ascii="Times New Roman"/>
                <w:snapToGrid w:val="0"/>
                <w:kern w:val="21"/>
                <w:szCs w:val="21"/>
                <w:lang w:val="en-US" w:eastAsia="zh-CN"/>
              </w:rPr>
              <w:t>0.81</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02CB4C56">
            <w:pPr>
              <w:pStyle w:val="38"/>
              <w:widowControl/>
              <w:spacing w:beforeLines="0" w:afterLines="0" w:line="240" w:lineRule="auto"/>
              <w:rPr>
                <w:rFonts w:ascii="Times New Roman" w:hAnsi="Times New Roman" w:eastAsia="宋体" w:cs="Times New Roman"/>
                <w:snapToGrid w:val="0"/>
                <w:kern w:val="21"/>
                <w:sz w:val="21"/>
                <w:szCs w:val="21"/>
                <w:lang w:val="en-US" w:eastAsia="zh-CN" w:bidi="ar-SA"/>
              </w:rPr>
            </w:pPr>
            <w:r>
              <w:rPr>
                <w:rFonts w:ascii="Times New Roman"/>
                <w:snapToGrid w:val="0"/>
                <w:kern w:val="21"/>
                <w:szCs w:val="21"/>
              </w:rPr>
              <w:t>/</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75D5FFB2">
            <w:pPr>
              <w:pStyle w:val="38"/>
              <w:widowControl/>
              <w:spacing w:beforeLines="0" w:afterLines="0" w:line="240" w:lineRule="auto"/>
              <w:rPr>
                <w:rFonts w:ascii="Times New Roman" w:hAnsi="Times New Roman" w:eastAsia="宋体" w:cs="Times New Roman"/>
                <w:snapToGrid w:val="0"/>
                <w:kern w:val="21"/>
                <w:sz w:val="21"/>
                <w:szCs w:val="21"/>
                <w:lang w:val="en-US" w:eastAsia="zh-CN" w:bidi="ar-SA"/>
              </w:rPr>
            </w:pPr>
            <w:r>
              <w:rPr>
                <w:rFonts w:ascii="Times New Roman"/>
                <w:snapToGrid w:val="0"/>
                <w:kern w:val="21"/>
                <w:szCs w:val="21"/>
              </w:rPr>
              <w:t>/</w:t>
            </w: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2D066F46">
            <w:pPr>
              <w:pStyle w:val="38"/>
              <w:widowControl/>
              <w:spacing w:beforeLines="0" w:afterLines="0" w:line="240" w:lineRule="auto"/>
              <w:rPr>
                <w:rFonts w:hint="eastAsia" w:ascii="Times New Roman" w:hAnsi="Times New Roman" w:eastAsia="宋体" w:cs="Times New Roman"/>
                <w:snapToGrid w:val="0"/>
                <w:kern w:val="21"/>
                <w:sz w:val="21"/>
                <w:szCs w:val="21"/>
                <w:lang w:val="en-US" w:eastAsia="zh-CN" w:bidi="ar-SA"/>
              </w:rPr>
            </w:pPr>
            <w:r>
              <w:rPr>
                <w:rFonts w:ascii="Times New Roman"/>
                <w:snapToGrid w:val="0"/>
                <w:kern w:val="21"/>
                <w:szCs w:val="21"/>
              </w:rPr>
              <w:t>/</w:t>
            </w: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1543DB6A">
            <w:pPr>
              <w:pStyle w:val="38"/>
              <w:widowControl/>
              <w:spacing w:beforeLines="0" w:afterLines="0" w:line="240" w:lineRule="auto"/>
              <w:rPr>
                <w:rFonts w:ascii="Times New Roman" w:hAnsi="Times New Roman" w:eastAsia="宋体" w:cs="Times New Roman"/>
                <w:snapToGrid w:val="0"/>
                <w:kern w:val="21"/>
                <w:sz w:val="21"/>
                <w:szCs w:val="21"/>
                <w:lang w:val="en-US" w:eastAsia="zh-CN" w:bidi="ar-SA"/>
              </w:rPr>
            </w:pPr>
            <w:r>
              <w:rPr>
                <w:rFonts w:ascii="Times New Roman"/>
                <w:snapToGrid w:val="0"/>
                <w:kern w:val="21"/>
                <w:szCs w:val="21"/>
              </w:rPr>
              <w:t>/</w:t>
            </w: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09D7A864">
            <w:pPr>
              <w:pStyle w:val="38"/>
              <w:widowControl/>
              <w:spacing w:beforeLines="0" w:afterLines="0" w:line="240" w:lineRule="auto"/>
              <w:rPr>
                <w:rFonts w:hint="eastAsia" w:ascii="Times New Roman" w:hAnsi="Times New Roman" w:eastAsia="宋体" w:cs="Times New Roman"/>
                <w:snapToGrid w:val="0"/>
                <w:kern w:val="21"/>
                <w:sz w:val="21"/>
                <w:szCs w:val="21"/>
                <w:lang w:val="en-US" w:eastAsia="zh-CN" w:bidi="ar-SA"/>
              </w:rPr>
            </w:pPr>
            <w:r>
              <w:rPr>
                <w:rFonts w:hint="eastAsia" w:ascii="Times New Roman"/>
                <w:snapToGrid w:val="0"/>
                <w:kern w:val="21"/>
                <w:szCs w:val="21"/>
                <w:lang w:val="en-US" w:eastAsia="zh-CN"/>
              </w:rPr>
              <w:t>0.81</w:t>
            </w: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620E7FBB">
            <w:pPr>
              <w:pStyle w:val="38"/>
              <w:widowControl/>
              <w:spacing w:beforeLines="0" w:afterLines="0" w:line="240" w:lineRule="auto"/>
              <w:rPr>
                <w:rFonts w:hint="eastAsia" w:ascii="Times New Roman" w:hAnsi="Times New Roman" w:eastAsia="宋体" w:cs="Times New Roman"/>
                <w:snapToGrid w:val="0"/>
                <w:kern w:val="21"/>
                <w:sz w:val="21"/>
                <w:szCs w:val="21"/>
                <w:lang w:val="en-US" w:eastAsia="zh-CN" w:bidi="ar-SA"/>
              </w:rPr>
            </w:pPr>
            <w:r>
              <w:rPr>
                <w:rFonts w:hint="eastAsia" w:ascii="Times New Roman" w:hAnsi="Times New Roman" w:cs="Times New Roman"/>
                <w:snapToGrid w:val="0"/>
                <w:kern w:val="21"/>
                <w:sz w:val="21"/>
                <w:szCs w:val="21"/>
                <w:lang w:val="en-US" w:eastAsia="zh-CN" w:bidi="ar-SA"/>
              </w:rPr>
              <w:t>+0.000</w:t>
            </w:r>
          </w:p>
        </w:tc>
      </w:tr>
      <w:tr w14:paraId="283044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1418" w:type="dxa"/>
            <w:vMerge w:val="continue"/>
            <w:tcBorders>
              <w:left w:val="single" w:color="auto" w:sz="8" w:space="0"/>
              <w:right w:val="single" w:color="auto" w:sz="4" w:space="0"/>
            </w:tcBorders>
            <w:shd w:val="clear" w:color="auto" w:fill="auto"/>
            <w:vAlign w:val="center"/>
          </w:tcPr>
          <w:p w14:paraId="074E532A">
            <w:pPr>
              <w:pStyle w:val="38"/>
              <w:widowControl/>
              <w:spacing w:beforeLines="0" w:afterLines="0" w:line="240" w:lineRule="auto"/>
              <w:rPr>
                <w:rFonts w:ascii="Times New Roman"/>
                <w:snapToGrid w:val="0"/>
                <w:kern w:val="21"/>
                <w:szCs w:val="21"/>
              </w:rPr>
            </w:pP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64404B51">
            <w:pPr>
              <w:jc w:val="center"/>
              <w:rPr>
                <w:rFonts w:ascii="Times New Roman" w:hAnsi="Times New Roman" w:eastAsia="宋体" w:cs="Times New Roman"/>
                <w:kern w:val="2"/>
                <w:sz w:val="21"/>
                <w:szCs w:val="21"/>
                <w:lang w:val="en-US" w:eastAsia="zh-CN" w:bidi="ar-SA"/>
              </w:rPr>
            </w:pPr>
            <w:r>
              <w:rPr>
                <w:szCs w:val="21"/>
              </w:rPr>
              <w:t>SS</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11965179">
            <w:pPr>
              <w:pStyle w:val="38"/>
              <w:widowControl/>
              <w:spacing w:beforeLines="0" w:afterLines="0" w:line="240" w:lineRule="auto"/>
              <w:rPr>
                <w:rFonts w:hint="default" w:ascii="Times New Roman" w:hAnsi="Times New Roman" w:eastAsia="宋体" w:cs="Times New Roman"/>
                <w:snapToGrid w:val="0"/>
                <w:kern w:val="21"/>
                <w:sz w:val="21"/>
                <w:szCs w:val="21"/>
                <w:lang w:val="en-US" w:eastAsia="zh-CN" w:bidi="ar-SA"/>
              </w:rPr>
            </w:pPr>
            <w:r>
              <w:rPr>
                <w:rFonts w:hint="eastAsia" w:ascii="Times New Roman" w:cs="Times New Roman"/>
                <w:snapToGrid w:val="0"/>
                <w:kern w:val="21"/>
                <w:sz w:val="21"/>
                <w:szCs w:val="21"/>
                <w:lang w:val="en-US" w:eastAsia="zh-CN" w:bidi="ar-SA"/>
              </w:rPr>
              <w:t>0.81</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EC049C6">
            <w:pPr>
              <w:pStyle w:val="38"/>
              <w:widowControl/>
              <w:spacing w:beforeLines="0" w:afterLines="0" w:line="240" w:lineRule="auto"/>
              <w:rPr>
                <w:rFonts w:ascii="Times New Roman" w:hAnsi="Times New Roman" w:eastAsia="宋体" w:cs="Times New Roman"/>
                <w:snapToGrid w:val="0"/>
                <w:kern w:val="21"/>
                <w:sz w:val="21"/>
                <w:szCs w:val="21"/>
                <w:lang w:val="en-US" w:eastAsia="zh-CN" w:bidi="ar-SA"/>
              </w:rPr>
            </w:pPr>
            <w:r>
              <w:rPr>
                <w:rFonts w:ascii="Times New Roman"/>
                <w:snapToGrid w:val="0"/>
                <w:kern w:val="21"/>
                <w:szCs w:val="21"/>
              </w:rPr>
              <w:t>/</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41DB2153">
            <w:pPr>
              <w:pStyle w:val="38"/>
              <w:widowControl/>
              <w:spacing w:beforeLines="0" w:afterLines="0" w:line="240" w:lineRule="auto"/>
              <w:rPr>
                <w:rFonts w:ascii="Times New Roman" w:hAnsi="Times New Roman" w:eastAsia="宋体" w:cs="Times New Roman"/>
                <w:snapToGrid w:val="0"/>
                <w:kern w:val="21"/>
                <w:sz w:val="21"/>
                <w:szCs w:val="21"/>
                <w:lang w:val="en-US" w:eastAsia="zh-CN" w:bidi="ar-SA"/>
              </w:rPr>
            </w:pPr>
            <w:r>
              <w:rPr>
                <w:rFonts w:ascii="Times New Roman"/>
                <w:snapToGrid w:val="0"/>
                <w:kern w:val="21"/>
                <w:szCs w:val="21"/>
              </w:rPr>
              <w:t>/</w:t>
            </w: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0E9A3251">
            <w:pPr>
              <w:pStyle w:val="38"/>
              <w:widowControl/>
              <w:spacing w:beforeLines="0" w:afterLines="0" w:line="240" w:lineRule="auto"/>
              <w:rPr>
                <w:rFonts w:hint="default" w:ascii="Times New Roman" w:hAnsi="Times New Roman" w:eastAsia="宋体" w:cs="Times New Roman"/>
                <w:bCs/>
                <w:kern w:val="0"/>
                <w:sz w:val="21"/>
                <w:szCs w:val="21"/>
                <w:lang w:val="en-US" w:eastAsia="zh-CN" w:bidi="ar-SA"/>
              </w:rPr>
            </w:pPr>
            <w:r>
              <w:rPr>
                <w:rFonts w:hint="eastAsia" w:ascii="Times New Roman"/>
                <w:bCs/>
                <w:szCs w:val="21"/>
                <w:lang w:val="en-US" w:eastAsia="zh-CN"/>
              </w:rPr>
              <w:t>0.002</w:t>
            </w: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4C88F3A4">
            <w:pPr>
              <w:pStyle w:val="38"/>
              <w:widowControl/>
              <w:spacing w:beforeLines="0" w:afterLines="0" w:line="240" w:lineRule="auto"/>
              <w:rPr>
                <w:rFonts w:ascii="Times New Roman" w:hAnsi="Times New Roman" w:eastAsia="宋体" w:cs="Times New Roman"/>
                <w:snapToGrid w:val="0"/>
                <w:kern w:val="21"/>
                <w:sz w:val="21"/>
                <w:szCs w:val="21"/>
                <w:lang w:val="en-US" w:eastAsia="zh-CN" w:bidi="ar-SA"/>
              </w:rPr>
            </w:pPr>
            <w:r>
              <w:rPr>
                <w:rFonts w:hint="eastAsia" w:ascii="Times New Roman"/>
                <w:bCs/>
                <w:szCs w:val="21"/>
                <w:lang w:val="en-US" w:eastAsia="zh-CN"/>
              </w:rPr>
              <w:t>-0.002</w:t>
            </w: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3CF7A67B">
            <w:pPr>
              <w:pStyle w:val="38"/>
              <w:widowControl/>
              <w:spacing w:beforeLines="0" w:afterLines="0" w:line="240" w:lineRule="auto"/>
              <w:rPr>
                <w:rFonts w:hint="default" w:ascii="Times New Roman" w:hAnsi="Times New Roman" w:eastAsia="宋体" w:cs="Times New Roman"/>
                <w:snapToGrid w:val="0"/>
                <w:kern w:val="21"/>
                <w:sz w:val="21"/>
                <w:szCs w:val="21"/>
                <w:lang w:val="en-US" w:eastAsia="zh-CN" w:bidi="ar-SA"/>
              </w:rPr>
            </w:pPr>
            <w:r>
              <w:rPr>
                <w:rFonts w:hint="eastAsia" w:ascii="Times New Roman" w:cs="Times New Roman"/>
                <w:snapToGrid w:val="0"/>
                <w:kern w:val="21"/>
                <w:sz w:val="21"/>
                <w:szCs w:val="21"/>
                <w:lang w:val="en-US" w:eastAsia="zh-CN" w:bidi="ar-SA"/>
              </w:rPr>
              <w:t>0.81</w:t>
            </w: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03BA969A">
            <w:pPr>
              <w:pStyle w:val="38"/>
              <w:widowControl/>
              <w:spacing w:beforeLines="0" w:afterLines="0" w:line="240" w:lineRule="auto"/>
              <w:rPr>
                <w:rFonts w:hint="default" w:ascii="Times New Roman"/>
                <w:bCs/>
                <w:szCs w:val="21"/>
                <w:lang w:val="en-US"/>
              </w:rPr>
            </w:pPr>
            <w:r>
              <w:rPr>
                <w:rFonts w:hint="eastAsia" w:ascii="Times New Roman" w:hAnsi="Times New Roman" w:cs="Times New Roman"/>
                <w:snapToGrid w:val="0"/>
                <w:kern w:val="21"/>
                <w:sz w:val="21"/>
                <w:szCs w:val="21"/>
                <w:lang w:val="en-US" w:eastAsia="zh-CN" w:bidi="ar-SA"/>
              </w:rPr>
              <w:t>+0.0</w:t>
            </w:r>
            <w:r>
              <w:rPr>
                <w:rFonts w:hint="eastAsia" w:ascii="Times New Roman" w:cs="Times New Roman"/>
                <w:snapToGrid w:val="0"/>
                <w:kern w:val="21"/>
                <w:sz w:val="21"/>
                <w:szCs w:val="21"/>
                <w:lang w:val="en-US" w:eastAsia="zh-CN" w:bidi="ar-SA"/>
              </w:rPr>
              <w:t>02</w:t>
            </w:r>
          </w:p>
        </w:tc>
      </w:tr>
      <w:tr w14:paraId="3457A1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418" w:type="dxa"/>
            <w:vMerge w:val="restart"/>
            <w:tcBorders>
              <w:top w:val="single" w:color="auto" w:sz="4" w:space="0"/>
              <w:left w:val="single" w:color="auto" w:sz="8" w:space="0"/>
              <w:right w:val="single" w:color="auto" w:sz="4" w:space="0"/>
            </w:tcBorders>
            <w:shd w:val="clear" w:color="auto" w:fill="auto"/>
            <w:vAlign w:val="center"/>
          </w:tcPr>
          <w:p w14:paraId="799BBAFA">
            <w:pPr>
              <w:pStyle w:val="38"/>
              <w:widowControl/>
              <w:spacing w:beforeLines="0" w:afterLines="0" w:line="240" w:lineRule="auto"/>
              <w:rPr>
                <w:rFonts w:ascii="Times New Roman"/>
                <w:kern w:val="21"/>
                <w:szCs w:val="21"/>
              </w:rPr>
            </w:pPr>
            <w:r>
              <w:rPr>
                <w:rFonts w:ascii="Times New Roman"/>
                <w:snapToGrid w:val="0"/>
                <w:kern w:val="21"/>
                <w:szCs w:val="21"/>
              </w:rPr>
              <w:t>一般工业</w:t>
            </w:r>
          </w:p>
          <w:p w14:paraId="6660F95C">
            <w:pPr>
              <w:pStyle w:val="38"/>
              <w:widowControl/>
              <w:spacing w:beforeLines="0" w:afterLines="0" w:line="240" w:lineRule="auto"/>
              <w:rPr>
                <w:rFonts w:ascii="Times New Roman"/>
                <w:kern w:val="21"/>
                <w:szCs w:val="21"/>
              </w:rPr>
            </w:pPr>
            <w:r>
              <w:rPr>
                <w:rFonts w:ascii="Times New Roman"/>
                <w:snapToGrid w:val="0"/>
                <w:kern w:val="21"/>
                <w:szCs w:val="21"/>
              </w:rPr>
              <w:t>固体废物</w:t>
            </w: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314B3808">
            <w:pPr>
              <w:pStyle w:val="38"/>
              <w:widowControl/>
              <w:spacing w:beforeLines="0" w:afterLines="0" w:line="240" w:lineRule="auto"/>
              <w:rPr>
                <w:rFonts w:hint="default" w:ascii="Times New Roman" w:eastAsia="宋体"/>
                <w:snapToGrid w:val="0"/>
                <w:kern w:val="21"/>
                <w:szCs w:val="21"/>
                <w:lang w:val="en-US" w:eastAsia="zh-CN"/>
              </w:rPr>
            </w:pPr>
            <w:r>
              <w:rPr>
                <w:rFonts w:hint="eastAsia" w:ascii="Times New Roman"/>
                <w:snapToGrid w:val="0"/>
                <w:kern w:val="21"/>
                <w:szCs w:val="21"/>
                <w:lang w:val="en-US" w:eastAsia="zh-CN"/>
              </w:rPr>
              <w:t>废离子交换树脂</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2DB15D2E">
            <w:pPr>
              <w:pStyle w:val="38"/>
              <w:widowControl/>
              <w:spacing w:beforeLines="0" w:afterLines="0" w:line="240" w:lineRule="auto"/>
              <w:rPr>
                <w:rFonts w:hint="default" w:ascii="Times New Roman" w:eastAsia="宋体"/>
                <w:snapToGrid w:val="0"/>
                <w:kern w:val="21"/>
                <w:szCs w:val="21"/>
                <w:lang w:val="en-US" w:eastAsia="zh-CN"/>
              </w:rPr>
            </w:pPr>
            <w:r>
              <w:rPr>
                <w:rFonts w:hint="eastAsia" w:ascii="Times New Roman"/>
                <w:snapToGrid w:val="0"/>
                <w:kern w:val="21"/>
                <w:szCs w:val="21"/>
                <w:lang w:val="en-US" w:eastAsia="zh-CN"/>
              </w:rPr>
              <w:t>0.01</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08507220">
            <w:pPr>
              <w:pStyle w:val="38"/>
              <w:widowControl/>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1136E2E3">
            <w:pPr>
              <w:pStyle w:val="38"/>
              <w:widowControl/>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01AAC6DB">
            <w:pPr>
              <w:pStyle w:val="38"/>
              <w:widowControl/>
              <w:spacing w:beforeLines="0" w:afterLines="0" w:line="240" w:lineRule="auto"/>
              <w:rPr>
                <w:rFonts w:hint="default" w:ascii="Times New Roman" w:eastAsiaTheme="minorEastAsia"/>
                <w:snapToGrid w:val="0"/>
                <w:kern w:val="21"/>
                <w:szCs w:val="21"/>
                <w:lang w:val="en-US" w:eastAsia="zh-CN"/>
              </w:rPr>
            </w:pPr>
            <w:r>
              <w:rPr>
                <w:rFonts w:hint="eastAsia" w:ascii="Times New Roman" w:eastAsiaTheme="minorEastAsia"/>
                <w:snapToGrid w:val="0"/>
                <w:kern w:val="21"/>
                <w:szCs w:val="21"/>
                <w:lang w:val="en-US" w:eastAsia="zh-CN"/>
              </w:rPr>
              <w:t>0.01</w:t>
            </w: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0F9B6F5E">
            <w:pPr>
              <w:pStyle w:val="38"/>
              <w:widowControl/>
              <w:spacing w:beforeLines="0" w:afterLines="0" w:line="240" w:lineRule="auto"/>
              <w:rPr>
                <w:rFonts w:ascii="Times New Roman"/>
                <w:snapToGrid w:val="0"/>
                <w:kern w:val="21"/>
                <w:szCs w:val="21"/>
              </w:rPr>
            </w:pPr>
            <w:r>
              <w:rPr>
                <w:rFonts w:hint="eastAsia" w:ascii="Times New Roman" w:eastAsiaTheme="minorEastAsia"/>
                <w:snapToGrid w:val="0"/>
                <w:kern w:val="21"/>
                <w:szCs w:val="21"/>
                <w:lang w:val="en-US" w:eastAsia="zh-CN"/>
              </w:rPr>
              <w:t>-0.01</w:t>
            </w: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590C1848">
            <w:pPr>
              <w:pStyle w:val="38"/>
              <w:widowControl/>
              <w:spacing w:beforeLines="0" w:afterLines="0" w:line="240" w:lineRule="auto"/>
              <w:rPr>
                <w:rFonts w:hint="default" w:ascii="Times New Roman" w:hAnsi="Times New Roman" w:cs="Times New Roman" w:eastAsiaTheme="minorEastAsia"/>
                <w:snapToGrid w:val="0"/>
                <w:kern w:val="21"/>
                <w:sz w:val="21"/>
                <w:szCs w:val="21"/>
                <w:lang w:val="en-US" w:eastAsia="zh-CN" w:bidi="ar-SA"/>
              </w:rPr>
            </w:pPr>
            <w:r>
              <w:rPr>
                <w:rFonts w:hint="eastAsia" w:ascii="Times New Roman" w:eastAsiaTheme="minorEastAsia"/>
                <w:snapToGrid w:val="0"/>
                <w:kern w:val="21"/>
                <w:szCs w:val="21"/>
                <w:lang w:val="en-US" w:eastAsia="zh-CN"/>
              </w:rPr>
              <w:t>0.01</w:t>
            </w: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400C564D">
            <w:pPr>
              <w:pStyle w:val="38"/>
              <w:widowControl/>
              <w:spacing w:beforeLines="0" w:afterLines="0" w:line="240" w:lineRule="auto"/>
              <w:rPr>
                <w:rFonts w:hint="default" w:ascii="Times New Roman" w:eastAsiaTheme="minorEastAsia"/>
                <w:snapToGrid w:val="0"/>
                <w:kern w:val="21"/>
                <w:szCs w:val="21"/>
                <w:lang w:val="en-US" w:eastAsia="zh-CN"/>
              </w:rPr>
            </w:pPr>
            <w:r>
              <w:rPr>
                <w:rFonts w:hint="eastAsia" w:ascii="Times New Roman" w:eastAsiaTheme="minorEastAsia"/>
                <w:snapToGrid w:val="0"/>
                <w:kern w:val="21"/>
                <w:szCs w:val="21"/>
                <w:lang w:val="en-US" w:eastAsia="zh-CN"/>
              </w:rPr>
              <w:t>+0.01</w:t>
            </w:r>
          </w:p>
        </w:tc>
      </w:tr>
      <w:tr w14:paraId="777BF9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418" w:type="dxa"/>
            <w:vMerge w:val="continue"/>
            <w:tcBorders>
              <w:left w:val="single" w:color="auto" w:sz="8" w:space="0"/>
              <w:right w:val="single" w:color="auto" w:sz="4" w:space="0"/>
            </w:tcBorders>
            <w:shd w:val="clear" w:color="auto" w:fill="auto"/>
            <w:vAlign w:val="center"/>
          </w:tcPr>
          <w:p w14:paraId="09BB62E4">
            <w:pPr>
              <w:pStyle w:val="38"/>
              <w:widowControl/>
              <w:spacing w:beforeLines="0" w:afterLines="0" w:line="240" w:lineRule="auto"/>
              <w:rPr>
                <w:rFonts w:ascii="Times New Roman"/>
                <w:snapToGrid w:val="0"/>
                <w:kern w:val="21"/>
                <w:szCs w:val="21"/>
              </w:rPr>
            </w:pP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7FD4D9F6">
            <w:pPr>
              <w:pStyle w:val="38"/>
              <w:widowControl/>
              <w:spacing w:beforeLines="0" w:afterLines="0" w:line="240" w:lineRule="auto"/>
              <w:rPr>
                <w:rFonts w:hint="default" w:ascii="Times New Roman"/>
                <w:snapToGrid w:val="0"/>
                <w:kern w:val="21"/>
                <w:szCs w:val="21"/>
                <w:lang w:val="en-US" w:eastAsia="zh-CN"/>
              </w:rPr>
            </w:pPr>
            <w:r>
              <w:rPr>
                <w:rFonts w:hint="eastAsia" w:ascii="Times New Roman"/>
                <w:snapToGrid w:val="0"/>
                <w:kern w:val="21"/>
                <w:szCs w:val="21"/>
                <w:lang w:val="en-US" w:eastAsia="zh-CN"/>
              </w:rPr>
              <w:t>锅炉炉灰</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078EF318">
            <w:pPr>
              <w:pStyle w:val="38"/>
              <w:widowControl/>
              <w:spacing w:beforeLines="0" w:afterLines="0" w:line="240" w:lineRule="auto"/>
              <w:rPr>
                <w:rFonts w:hint="default" w:ascii="Times New Roman"/>
                <w:snapToGrid w:val="0"/>
                <w:kern w:val="21"/>
                <w:szCs w:val="21"/>
                <w:lang w:val="en-US" w:eastAsia="zh-CN"/>
              </w:rPr>
            </w:pPr>
            <w:r>
              <w:rPr>
                <w:rFonts w:hint="eastAsia" w:ascii="Times New Roman"/>
                <w:snapToGrid w:val="0"/>
                <w:kern w:val="21"/>
                <w:szCs w:val="21"/>
                <w:lang w:val="en-US" w:eastAsia="zh-CN"/>
              </w:rPr>
              <w:t>5</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2A70D78E">
            <w:pPr>
              <w:pStyle w:val="38"/>
              <w:widowControl/>
              <w:spacing w:beforeLines="0" w:afterLines="0" w:line="240" w:lineRule="auto"/>
              <w:rPr>
                <w:rFonts w:hint="eastAsia" w:ascii="Times New Roman" w:hAnsi="Times New Roman" w:eastAsia="宋体" w:cs="Times New Roman"/>
                <w:snapToGrid w:val="0"/>
                <w:kern w:val="21"/>
                <w:sz w:val="21"/>
                <w:szCs w:val="21"/>
                <w:lang w:val="en-US" w:eastAsia="zh-CN" w:bidi="ar-SA"/>
              </w:rPr>
            </w:pPr>
            <w:r>
              <w:rPr>
                <w:rFonts w:hint="eastAsia" w:ascii="Times New Roman"/>
                <w:snapToGrid w:val="0"/>
                <w:kern w:val="21"/>
                <w:szCs w:val="21"/>
              </w:rPr>
              <w:t>/</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60F512B2">
            <w:pPr>
              <w:pStyle w:val="38"/>
              <w:widowControl/>
              <w:spacing w:beforeLines="0" w:afterLines="0" w:line="240" w:lineRule="auto"/>
              <w:rPr>
                <w:rFonts w:hint="eastAsia" w:ascii="Times New Roman" w:hAnsi="Times New Roman" w:eastAsia="宋体" w:cs="Times New Roman"/>
                <w:snapToGrid w:val="0"/>
                <w:kern w:val="21"/>
                <w:sz w:val="21"/>
                <w:szCs w:val="21"/>
                <w:lang w:val="en-US" w:eastAsia="zh-CN" w:bidi="ar-SA"/>
              </w:rPr>
            </w:pPr>
            <w:r>
              <w:rPr>
                <w:rFonts w:hint="eastAsia" w:ascii="Times New Roman"/>
                <w:snapToGrid w:val="0"/>
                <w:kern w:val="21"/>
                <w:szCs w:val="21"/>
              </w:rPr>
              <w:t>/</w:t>
            </w: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14E2677F">
            <w:pPr>
              <w:pStyle w:val="38"/>
              <w:widowControl/>
              <w:spacing w:beforeLines="0" w:afterLines="0" w:line="240" w:lineRule="auto"/>
              <w:rPr>
                <w:rFonts w:hint="eastAsia" w:ascii="Times New Roman" w:hAnsi="Times New Roman" w:eastAsia="宋体" w:cs="Times New Roman"/>
                <w:snapToGrid w:val="0"/>
                <w:kern w:val="21"/>
                <w:sz w:val="21"/>
                <w:szCs w:val="21"/>
                <w:lang w:val="en-US" w:eastAsia="zh-CN" w:bidi="ar-SA"/>
              </w:rPr>
            </w:pPr>
            <w:r>
              <w:rPr>
                <w:rFonts w:hint="eastAsia" w:ascii="Times New Roman"/>
                <w:snapToGrid w:val="0"/>
                <w:kern w:val="21"/>
                <w:szCs w:val="21"/>
              </w:rPr>
              <w:t>/</w:t>
            </w: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3E8DA16F">
            <w:pPr>
              <w:pStyle w:val="38"/>
              <w:widowControl/>
              <w:spacing w:beforeLines="0" w:afterLines="0" w:line="240" w:lineRule="auto"/>
              <w:rPr>
                <w:rFonts w:hint="eastAsia" w:ascii="Times New Roman" w:hAnsi="Times New Roman" w:eastAsia="宋体" w:cs="Times New Roman"/>
                <w:snapToGrid w:val="0"/>
                <w:kern w:val="21"/>
                <w:sz w:val="21"/>
                <w:szCs w:val="21"/>
                <w:lang w:val="en-US" w:eastAsia="zh-CN" w:bidi="ar-SA"/>
              </w:rPr>
            </w:pPr>
            <w:r>
              <w:rPr>
                <w:rFonts w:hint="eastAsia" w:ascii="Times New Roman"/>
                <w:snapToGrid w:val="0"/>
                <w:kern w:val="21"/>
                <w:szCs w:val="21"/>
              </w:rPr>
              <w:t>/</w:t>
            </w: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52E24CBB">
            <w:pPr>
              <w:pStyle w:val="38"/>
              <w:widowControl/>
              <w:spacing w:beforeLines="0" w:afterLines="0" w:line="240" w:lineRule="auto"/>
              <w:rPr>
                <w:rFonts w:hint="default" w:ascii="Times New Roman" w:eastAsiaTheme="minorEastAsia"/>
                <w:snapToGrid w:val="0"/>
                <w:kern w:val="21"/>
                <w:szCs w:val="21"/>
                <w:lang w:val="en-US" w:eastAsia="zh-CN"/>
              </w:rPr>
            </w:pPr>
            <w:r>
              <w:rPr>
                <w:rFonts w:hint="eastAsia" w:ascii="Times New Roman" w:eastAsiaTheme="minorEastAsia"/>
                <w:snapToGrid w:val="0"/>
                <w:kern w:val="21"/>
                <w:szCs w:val="21"/>
                <w:lang w:val="en-US" w:eastAsia="zh-CN"/>
              </w:rPr>
              <w:t>5</w:t>
            </w: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15AA04BA">
            <w:pPr>
              <w:pStyle w:val="38"/>
              <w:widowControl/>
              <w:spacing w:beforeLines="0" w:afterLines="0" w:line="240" w:lineRule="auto"/>
              <w:rPr>
                <w:rFonts w:hint="eastAsia" w:ascii="Times New Roman" w:eastAsiaTheme="minorEastAsia"/>
                <w:snapToGrid w:val="0"/>
                <w:kern w:val="21"/>
                <w:szCs w:val="21"/>
                <w:lang w:val="en-US" w:eastAsia="zh-CN"/>
              </w:rPr>
            </w:pPr>
            <w:r>
              <w:rPr>
                <w:rFonts w:hint="eastAsia" w:ascii="Times New Roman" w:hAnsi="Times New Roman" w:cs="Times New Roman"/>
                <w:snapToGrid w:val="0"/>
                <w:kern w:val="21"/>
                <w:sz w:val="21"/>
                <w:szCs w:val="21"/>
                <w:lang w:val="en-US" w:eastAsia="zh-CN" w:bidi="ar-SA"/>
              </w:rPr>
              <w:t>+0.000</w:t>
            </w:r>
          </w:p>
        </w:tc>
      </w:tr>
      <w:tr w14:paraId="7350F5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1418" w:type="dxa"/>
            <w:vMerge w:val="restart"/>
            <w:tcBorders>
              <w:top w:val="single" w:color="auto" w:sz="4" w:space="0"/>
              <w:left w:val="single" w:color="auto" w:sz="8" w:space="0"/>
              <w:right w:val="single" w:color="auto" w:sz="4" w:space="0"/>
            </w:tcBorders>
            <w:shd w:val="clear" w:color="auto" w:fill="auto"/>
            <w:vAlign w:val="center"/>
          </w:tcPr>
          <w:p w14:paraId="38A2642C">
            <w:pPr>
              <w:pStyle w:val="38"/>
              <w:widowControl/>
              <w:spacing w:beforeLines="0" w:afterLines="0" w:line="240" w:lineRule="auto"/>
              <w:rPr>
                <w:rFonts w:ascii="Times New Roman"/>
                <w:kern w:val="21"/>
                <w:szCs w:val="21"/>
              </w:rPr>
            </w:pPr>
            <w:r>
              <w:rPr>
                <w:rFonts w:ascii="Times New Roman"/>
                <w:snapToGrid w:val="0"/>
                <w:kern w:val="21"/>
                <w:szCs w:val="21"/>
              </w:rPr>
              <w:t>危险废物</w:t>
            </w: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48E9C779">
            <w:pPr>
              <w:jc w:val="center"/>
              <w:rPr>
                <w:rFonts w:hint="eastAsia" w:eastAsia="宋体"/>
                <w:snapToGrid w:val="0"/>
                <w:kern w:val="21"/>
                <w:szCs w:val="21"/>
                <w:lang w:val="en-US" w:eastAsia="zh-CN"/>
              </w:rPr>
            </w:pPr>
            <w:r>
              <w:rPr>
                <w:rFonts w:hint="eastAsia"/>
                <w:snapToGrid w:val="0"/>
                <w:kern w:val="21"/>
                <w:szCs w:val="21"/>
                <w:lang w:val="en-US" w:eastAsia="zh-CN"/>
              </w:rPr>
              <w:t>废机油</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4B963E7B">
            <w:pPr>
              <w:pStyle w:val="38"/>
              <w:widowControl/>
              <w:spacing w:beforeLines="0" w:afterLines="0" w:line="240" w:lineRule="auto"/>
              <w:rPr>
                <w:rFonts w:hint="default" w:ascii="Times New Roman" w:eastAsia="宋体"/>
                <w:snapToGrid w:val="0"/>
                <w:kern w:val="21"/>
                <w:szCs w:val="21"/>
                <w:lang w:val="en-US" w:eastAsia="zh-CN"/>
              </w:rPr>
            </w:pPr>
            <w:r>
              <w:rPr>
                <w:rFonts w:hint="eastAsia" w:ascii="Times New Roman"/>
                <w:snapToGrid w:val="0"/>
                <w:kern w:val="21"/>
                <w:szCs w:val="21"/>
                <w:lang w:val="en-US" w:eastAsia="zh-CN"/>
              </w:rPr>
              <w:t>2t/a</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5DE7C023">
            <w:pPr>
              <w:pStyle w:val="38"/>
              <w:widowControl/>
              <w:spacing w:beforeLines="0" w:afterLines="0" w:line="240" w:lineRule="auto"/>
              <w:rPr>
                <w:rFonts w:ascii="Times New Roman" w:hAnsi="Times New Roman" w:eastAsia="宋体" w:cs="Times New Roman"/>
                <w:snapToGrid w:val="0"/>
                <w:kern w:val="21"/>
                <w:sz w:val="21"/>
                <w:szCs w:val="21"/>
                <w:lang w:val="en-US" w:eastAsia="zh-CN" w:bidi="ar-SA"/>
              </w:rPr>
            </w:pPr>
            <w:r>
              <w:rPr>
                <w:rFonts w:ascii="Times New Roman"/>
                <w:snapToGrid w:val="0"/>
                <w:kern w:val="21"/>
                <w:szCs w:val="21"/>
              </w:rPr>
              <w:t>/</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1EC2D52F">
            <w:pPr>
              <w:pStyle w:val="38"/>
              <w:widowControl/>
              <w:spacing w:beforeLines="0" w:afterLines="0" w:line="240" w:lineRule="auto"/>
              <w:rPr>
                <w:rFonts w:ascii="Times New Roman" w:hAnsi="Times New Roman" w:eastAsia="宋体" w:cs="Times New Roman"/>
                <w:snapToGrid w:val="0"/>
                <w:kern w:val="21"/>
                <w:sz w:val="21"/>
                <w:szCs w:val="21"/>
                <w:lang w:val="en-US" w:eastAsia="zh-CN" w:bidi="ar-SA"/>
              </w:rPr>
            </w:pPr>
            <w:r>
              <w:rPr>
                <w:rFonts w:ascii="Times New Roman"/>
                <w:snapToGrid w:val="0"/>
                <w:kern w:val="21"/>
                <w:szCs w:val="21"/>
              </w:rPr>
              <w:t>/</w:t>
            </w: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33793714">
            <w:pPr>
              <w:pStyle w:val="38"/>
              <w:widowControl/>
              <w:spacing w:beforeLines="0" w:afterLines="0" w:line="240" w:lineRule="auto"/>
              <w:rPr>
                <w:rFonts w:hint="default" w:eastAsia="宋体"/>
                <w:snapToGrid w:val="0"/>
                <w:kern w:val="21"/>
                <w:szCs w:val="21"/>
                <w:lang w:val="en-US" w:eastAsia="zh-CN"/>
              </w:rPr>
            </w:pPr>
            <w:r>
              <w:rPr>
                <w:rFonts w:hint="eastAsia" w:ascii="Times New Roman"/>
                <w:snapToGrid w:val="0"/>
                <w:kern w:val="21"/>
                <w:szCs w:val="21"/>
                <w:lang w:val="en-US" w:eastAsia="zh-CN"/>
              </w:rPr>
              <w:t>0.01t/a</w:t>
            </w: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4C42CD49">
            <w:pPr>
              <w:pStyle w:val="38"/>
              <w:widowControl/>
              <w:spacing w:beforeLines="0" w:afterLines="0" w:line="240" w:lineRule="auto"/>
              <w:rPr>
                <w:rFonts w:ascii="Times New Roman"/>
                <w:snapToGrid w:val="0"/>
                <w:kern w:val="21"/>
                <w:szCs w:val="21"/>
              </w:rPr>
            </w:pPr>
            <w:r>
              <w:rPr>
                <w:rFonts w:ascii="Times New Roman"/>
                <w:snapToGrid w:val="0"/>
                <w:kern w:val="21"/>
                <w:szCs w:val="21"/>
              </w:rPr>
              <w:t>/</w:t>
            </w: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39CA4D40">
            <w:pPr>
              <w:pStyle w:val="38"/>
              <w:widowControl/>
              <w:spacing w:beforeLines="0" w:afterLines="0" w:line="240" w:lineRule="auto"/>
              <w:rPr>
                <w:rFonts w:hint="default" w:ascii="Times New Roman" w:hAnsi="Times New Roman" w:eastAsia="宋体" w:cs="Times New Roman"/>
                <w:snapToGrid w:val="0"/>
                <w:kern w:val="21"/>
                <w:sz w:val="21"/>
                <w:szCs w:val="21"/>
                <w:lang w:val="en-US" w:eastAsia="zh-CN" w:bidi="ar-SA"/>
              </w:rPr>
            </w:pPr>
            <w:r>
              <w:rPr>
                <w:rFonts w:hint="eastAsia" w:ascii="Times New Roman"/>
                <w:snapToGrid w:val="0"/>
                <w:kern w:val="21"/>
                <w:szCs w:val="21"/>
                <w:lang w:val="en-US" w:eastAsia="zh-CN"/>
              </w:rPr>
              <w:t>2.01t/a</w:t>
            </w: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21026106">
            <w:pPr>
              <w:pStyle w:val="38"/>
              <w:widowControl/>
              <w:spacing w:beforeLines="0" w:afterLines="0" w:line="240" w:lineRule="auto"/>
              <w:rPr>
                <w:rFonts w:hint="default" w:ascii="Times New Roman" w:hAnsi="Times New Roman" w:eastAsia="宋体" w:cs="Times New Roman"/>
                <w:snapToGrid w:val="0"/>
                <w:kern w:val="21"/>
                <w:sz w:val="21"/>
                <w:szCs w:val="21"/>
                <w:lang w:val="en-US" w:eastAsia="zh-CN" w:bidi="ar-SA"/>
              </w:rPr>
            </w:pPr>
            <w:r>
              <w:rPr>
                <w:rFonts w:hint="eastAsia" w:ascii="Times New Roman" w:hAnsi="Times New Roman" w:cs="Times New Roman"/>
                <w:snapToGrid w:val="0"/>
                <w:kern w:val="21"/>
                <w:sz w:val="21"/>
                <w:szCs w:val="21"/>
                <w:lang w:val="en-US" w:eastAsia="zh-CN" w:bidi="ar-SA"/>
              </w:rPr>
              <w:t>+0.0</w:t>
            </w:r>
            <w:r>
              <w:rPr>
                <w:rFonts w:hint="eastAsia" w:ascii="Times New Roman" w:cs="Times New Roman"/>
                <w:snapToGrid w:val="0"/>
                <w:kern w:val="21"/>
                <w:sz w:val="21"/>
                <w:szCs w:val="21"/>
                <w:lang w:val="en-US" w:eastAsia="zh-CN" w:bidi="ar-SA"/>
              </w:rPr>
              <w:t>1</w:t>
            </w:r>
          </w:p>
        </w:tc>
      </w:tr>
      <w:tr w14:paraId="041351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1418" w:type="dxa"/>
            <w:vMerge w:val="continue"/>
            <w:tcBorders>
              <w:left w:val="single" w:color="auto" w:sz="8" w:space="0"/>
              <w:bottom w:val="single" w:color="auto" w:sz="8" w:space="0"/>
              <w:right w:val="single" w:color="auto" w:sz="4" w:space="0"/>
            </w:tcBorders>
            <w:shd w:val="clear" w:color="auto" w:fill="auto"/>
            <w:vAlign w:val="center"/>
          </w:tcPr>
          <w:p w14:paraId="7940801B">
            <w:pPr>
              <w:pStyle w:val="38"/>
              <w:widowControl/>
              <w:spacing w:beforeLines="0" w:afterLines="0" w:line="240" w:lineRule="auto"/>
              <w:rPr>
                <w:rFonts w:ascii="Times New Roman"/>
                <w:snapToGrid w:val="0"/>
                <w:kern w:val="21"/>
                <w:szCs w:val="21"/>
              </w:rPr>
            </w:pP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2752AD5D">
            <w:pPr>
              <w:jc w:val="center"/>
              <w:rPr>
                <w:rFonts w:hint="eastAsia" w:eastAsia="宋体"/>
                <w:snapToGrid w:val="0"/>
                <w:kern w:val="21"/>
                <w:szCs w:val="21"/>
                <w:lang w:val="en-US" w:eastAsia="zh-CN"/>
              </w:rPr>
            </w:pPr>
            <w:r>
              <w:rPr>
                <w:rFonts w:hint="eastAsia"/>
                <w:snapToGrid w:val="0"/>
                <w:kern w:val="21"/>
                <w:szCs w:val="21"/>
                <w:lang w:val="en-US" w:eastAsia="zh-CN"/>
              </w:rPr>
              <w:t>废机油桶</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22C85206">
            <w:pPr>
              <w:pStyle w:val="38"/>
              <w:widowControl/>
              <w:spacing w:beforeLines="0" w:afterLines="0" w:line="240" w:lineRule="auto"/>
              <w:rPr>
                <w:rFonts w:hint="default" w:ascii="Times New Roman" w:eastAsia="宋体"/>
                <w:snapToGrid w:val="0"/>
                <w:kern w:val="21"/>
                <w:szCs w:val="21"/>
                <w:lang w:val="en-US" w:eastAsia="zh-CN"/>
              </w:rPr>
            </w:pPr>
            <w:r>
              <w:rPr>
                <w:rFonts w:hint="eastAsia" w:ascii="Times New Roman"/>
                <w:snapToGrid w:val="0"/>
                <w:kern w:val="21"/>
                <w:szCs w:val="21"/>
                <w:lang w:val="en-US" w:eastAsia="zh-CN"/>
              </w:rPr>
              <w:t>0.5t/a</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1140481">
            <w:pPr>
              <w:pStyle w:val="38"/>
              <w:widowControl/>
              <w:spacing w:beforeLines="0" w:afterLines="0" w:line="240" w:lineRule="auto"/>
              <w:rPr>
                <w:rFonts w:ascii="Times New Roman" w:hAnsi="Times New Roman" w:eastAsia="宋体" w:cs="Times New Roman"/>
                <w:snapToGrid w:val="0"/>
                <w:kern w:val="21"/>
                <w:sz w:val="21"/>
                <w:szCs w:val="21"/>
                <w:lang w:val="en-US" w:eastAsia="zh-CN" w:bidi="ar-SA"/>
              </w:rPr>
            </w:pPr>
            <w:r>
              <w:rPr>
                <w:rFonts w:hint="eastAsia" w:ascii="Times New Roman"/>
                <w:snapToGrid w:val="0"/>
                <w:kern w:val="21"/>
                <w:szCs w:val="21"/>
              </w:rPr>
              <w:t>/</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5E5FD265">
            <w:pPr>
              <w:pStyle w:val="38"/>
              <w:widowControl/>
              <w:spacing w:beforeLines="0" w:afterLines="0" w:line="240" w:lineRule="auto"/>
              <w:rPr>
                <w:rFonts w:ascii="Times New Roman" w:hAnsi="Times New Roman" w:eastAsia="宋体" w:cs="Times New Roman"/>
                <w:snapToGrid w:val="0"/>
                <w:kern w:val="21"/>
                <w:sz w:val="21"/>
                <w:szCs w:val="21"/>
                <w:lang w:val="en-US" w:eastAsia="zh-CN" w:bidi="ar-SA"/>
              </w:rPr>
            </w:pPr>
            <w:r>
              <w:rPr>
                <w:rFonts w:hint="eastAsia" w:ascii="Times New Roman"/>
                <w:snapToGrid w:val="0"/>
                <w:kern w:val="21"/>
                <w:szCs w:val="21"/>
              </w:rPr>
              <w:t>/</w:t>
            </w: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55F06180">
            <w:pPr>
              <w:pStyle w:val="38"/>
              <w:widowControl/>
              <w:spacing w:beforeLines="0" w:afterLines="0" w:line="240" w:lineRule="auto"/>
              <w:rPr>
                <w:rFonts w:hint="default" w:eastAsia="宋体"/>
                <w:snapToGrid w:val="0"/>
                <w:kern w:val="21"/>
                <w:szCs w:val="21"/>
                <w:lang w:val="en-US" w:eastAsia="zh-CN"/>
              </w:rPr>
            </w:pPr>
            <w:r>
              <w:rPr>
                <w:rFonts w:hint="eastAsia" w:ascii="Times New Roman"/>
                <w:snapToGrid w:val="0"/>
                <w:kern w:val="21"/>
                <w:szCs w:val="21"/>
                <w:lang w:val="en-US" w:eastAsia="zh-CN"/>
              </w:rPr>
              <w:t>0.1t/a</w:t>
            </w: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48C8BC66">
            <w:pPr>
              <w:pStyle w:val="38"/>
              <w:widowControl/>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393D1D7C">
            <w:pPr>
              <w:pStyle w:val="38"/>
              <w:widowControl/>
              <w:spacing w:beforeLines="0" w:afterLines="0" w:line="240" w:lineRule="auto"/>
              <w:rPr>
                <w:rFonts w:hint="default" w:ascii="Times New Roman" w:hAnsi="Times New Roman" w:eastAsia="宋体" w:cs="Times New Roman"/>
                <w:snapToGrid w:val="0"/>
                <w:kern w:val="21"/>
                <w:sz w:val="21"/>
                <w:szCs w:val="21"/>
                <w:lang w:val="en-US" w:eastAsia="zh-CN" w:bidi="ar-SA"/>
              </w:rPr>
            </w:pPr>
            <w:r>
              <w:rPr>
                <w:rFonts w:hint="eastAsia" w:ascii="Times New Roman"/>
                <w:snapToGrid w:val="0"/>
                <w:kern w:val="21"/>
                <w:szCs w:val="21"/>
                <w:lang w:val="en-US" w:eastAsia="zh-CN"/>
              </w:rPr>
              <w:t>0.6t/a</w:t>
            </w: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668D4E9D">
            <w:pPr>
              <w:pStyle w:val="38"/>
              <w:widowControl/>
              <w:spacing w:beforeLines="0" w:afterLines="0" w:line="240" w:lineRule="auto"/>
              <w:rPr>
                <w:rFonts w:hint="eastAsia" w:ascii="Times New Roman" w:hAnsi="Times New Roman" w:eastAsia="宋体" w:cs="Times New Roman"/>
                <w:snapToGrid w:val="0"/>
                <w:kern w:val="21"/>
                <w:sz w:val="21"/>
                <w:szCs w:val="21"/>
                <w:lang w:val="en-US" w:eastAsia="zh-CN" w:bidi="ar-SA"/>
              </w:rPr>
            </w:pPr>
            <w:r>
              <w:rPr>
                <w:rFonts w:hint="eastAsia" w:ascii="Times New Roman" w:hAnsi="Times New Roman" w:cs="Times New Roman"/>
                <w:snapToGrid w:val="0"/>
                <w:kern w:val="21"/>
                <w:sz w:val="21"/>
                <w:szCs w:val="21"/>
                <w:lang w:val="en-US" w:eastAsia="zh-CN" w:bidi="ar-SA"/>
              </w:rPr>
              <w:t>+0.</w:t>
            </w:r>
            <w:r>
              <w:rPr>
                <w:rFonts w:hint="eastAsia" w:ascii="Times New Roman" w:cs="Times New Roman"/>
                <w:snapToGrid w:val="0"/>
                <w:kern w:val="21"/>
                <w:sz w:val="21"/>
                <w:szCs w:val="21"/>
                <w:lang w:val="en-US" w:eastAsia="zh-CN" w:bidi="ar-SA"/>
              </w:rPr>
              <w:t>1</w:t>
            </w:r>
          </w:p>
        </w:tc>
      </w:tr>
    </w:tbl>
    <w:p w14:paraId="18F3B093">
      <w:pPr>
        <w:pStyle w:val="38"/>
        <w:spacing w:before="192" w:beforeLines="80" w:after="24"/>
        <w:jc w:val="left"/>
        <w:rPr>
          <w:rFonts w:hAnsi="宋体"/>
          <w:snapToGrid w:val="0"/>
          <w:color w:val="000000"/>
          <w:spacing w:val="-6"/>
          <w:kern w:val="21"/>
          <w:szCs w:val="21"/>
        </w:rPr>
      </w:pPr>
      <w:r>
        <w:rPr>
          <w:rFonts w:hAnsi="宋体"/>
          <w:snapToGrid w:val="0"/>
          <w:color w:val="000000"/>
          <w:kern w:val="21"/>
          <w:szCs w:val="21"/>
        </w:rPr>
        <w:t>注：</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3 \* GB3 \* MERGEFORMAT </w:instrText>
      </w:r>
      <w:r>
        <w:rPr>
          <w:rFonts w:hAnsi="宋体"/>
          <w:snapToGrid w:val="0"/>
          <w:color w:val="000000"/>
          <w:spacing w:val="-6"/>
          <w:kern w:val="21"/>
          <w:szCs w:val="21"/>
        </w:rPr>
        <w:fldChar w:fldCharType="separate"/>
      </w:r>
      <w:r>
        <w:rPr>
          <w:rFonts w:hint="eastAsia" w:hAnsi="宋体"/>
          <w:szCs w:val="21"/>
        </w:rPr>
        <w:t>③</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4 \* GB3 \* MERGEFORMAT </w:instrText>
      </w:r>
      <w:r>
        <w:rPr>
          <w:rFonts w:hAnsi="宋体"/>
          <w:snapToGrid w:val="0"/>
          <w:color w:val="000000"/>
          <w:spacing w:val="-6"/>
          <w:kern w:val="21"/>
          <w:szCs w:val="21"/>
        </w:rPr>
        <w:fldChar w:fldCharType="separate"/>
      </w:r>
      <w:r>
        <w:rPr>
          <w:rFonts w:hint="eastAsia" w:hAnsi="宋体"/>
          <w:szCs w:val="21"/>
        </w:rPr>
        <w:t>④</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5 \* GB3 \* MERGEFORMAT </w:instrText>
      </w:r>
      <w:r>
        <w:rPr>
          <w:rFonts w:hAnsi="宋体"/>
          <w:snapToGrid w:val="0"/>
          <w:color w:val="000000"/>
          <w:spacing w:val="-16"/>
          <w:kern w:val="21"/>
          <w:szCs w:val="21"/>
        </w:rPr>
        <w:fldChar w:fldCharType="separate"/>
      </w:r>
      <w:r>
        <w:rPr>
          <w:rFonts w:hint="eastAsia" w:hAnsi="宋体"/>
          <w:szCs w:val="21"/>
        </w:rPr>
        <w:t>⑤</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7 \* GB3 \* MERGEFORMAT </w:instrText>
      </w:r>
      <w:r>
        <w:rPr>
          <w:rFonts w:hAnsi="宋体"/>
          <w:snapToGrid w:val="0"/>
          <w:color w:val="000000"/>
          <w:spacing w:val="-6"/>
          <w:kern w:val="21"/>
          <w:szCs w:val="21"/>
        </w:rPr>
        <w:fldChar w:fldCharType="separate"/>
      </w:r>
      <w:r>
        <w:rPr>
          <w:rFonts w:hint="eastAsia" w:hAnsi="宋体"/>
          <w:szCs w:val="21"/>
        </w:rPr>
        <w:t>⑦</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p>
    <w:p w14:paraId="4AB0BA5F">
      <w:r>
        <w:br w:type="page"/>
      </w:r>
    </w:p>
    <w:p w14:paraId="2B3F837E">
      <w:pPr>
        <w:pStyle w:val="20"/>
      </w:pPr>
      <w:r>
        <w:drawing>
          <wp:inline distT="0" distB="0" distL="114300" distR="114300">
            <wp:extent cx="6560185" cy="5077460"/>
            <wp:effectExtent l="0" t="0" r="12065" b="889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0"/>
                    <a:stretch>
                      <a:fillRect/>
                    </a:stretch>
                  </pic:blipFill>
                  <pic:spPr>
                    <a:xfrm>
                      <a:off x="0" y="0"/>
                      <a:ext cx="6560185" cy="5077460"/>
                    </a:xfrm>
                    <a:prstGeom prst="rect">
                      <a:avLst/>
                    </a:prstGeom>
                    <a:noFill/>
                    <a:ln>
                      <a:noFill/>
                    </a:ln>
                  </pic:spPr>
                </pic:pic>
              </a:graphicData>
            </a:graphic>
          </wp:inline>
        </w:drawing>
      </w:r>
    </w:p>
    <w:p w14:paraId="0E64587E">
      <w:pPr>
        <w:rPr>
          <w:highlight w:val="green"/>
        </w:rPr>
      </w:pPr>
    </w:p>
    <w:p w14:paraId="4F8ED84B">
      <w:pPr>
        <w:pStyle w:val="2"/>
        <w:jc w:val="center"/>
        <w:rPr>
          <w:rFonts w:hint="eastAsia" w:ascii="Times New Roman" w:hAnsi="Times New Roman" w:eastAsia="宋体" w:cs="Times New Roman"/>
          <w:b/>
          <w:bCs/>
          <w:w w:val="100"/>
          <w:highlight w:val="green"/>
          <w:lang w:val="en-US" w:eastAsia="zh-CN"/>
        </w:rPr>
      </w:pPr>
      <w:r>
        <w:rPr>
          <w:rFonts w:hint="default" w:ascii="Times New Roman" w:hAnsi="Times New Roman" w:cs="Times New Roman"/>
          <w:b/>
          <w:bCs/>
          <w:color w:val="auto"/>
          <w:spacing w:val="3"/>
          <w:w w:val="100"/>
          <w:sz w:val="30"/>
        </w:rPr>
        <w:t>附图1 建设项目地理位置</w:t>
      </w:r>
      <w:r>
        <w:rPr>
          <w:rFonts w:hint="eastAsia" w:ascii="Times New Roman" w:hAnsi="Times New Roman" w:cs="Times New Roman"/>
          <w:b/>
          <w:bCs/>
          <w:color w:val="auto"/>
          <w:spacing w:val="3"/>
          <w:w w:val="100"/>
          <w:sz w:val="30"/>
          <w:lang w:val="en-US" w:eastAsia="zh-CN"/>
        </w:rPr>
        <w:t>图</w:t>
      </w:r>
    </w:p>
    <w:p w14:paraId="1CF3F42C">
      <w:pPr>
        <w:pStyle w:val="2"/>
        <w:jc w:val="center"/>
        <w:rPr>
          <w:rFonts w:hint="eastAsia" w:eastAsia="宋体"/>
          <w:highlight w:val="none"/>
          <w:lang w:eastAsia="zh-CN"/>
        </w:rPr>
      </w:pPr>
      <w:r>
        <w:rPr>
          <w:rFonts w:hint="eastAsia" w:eastAsia="宋体"/>
          <w:highlight w:val="none"/>
          <w:lang w:eastAsia="zh-CN"/>
        </w:rPr>
        <w:drawing>
          <wp:inline distT="0" distB="0" distL="114300" distR="114300">
            <wp:extent cx="7265670" cy="5137150"/>
            <wp:effectExtent l="0" t="0" r="11430" b="6350"/>
            <wp:docPr id="9" name="图片 9" descr="平面布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平面布置"/>
                    <pic:cNvPicPr>
                      <a:picLocks noChangeAspect="1"/>
                    </pic:cNvPicPr>
                  </pic:nvPicPr>
                  <pic:blipFill>
                    <a:blip r:embed="rId21"/>
                    <a:stretch>
                      <a:fillRect/>
                    </a:stretch>
                  </pic:blipFill>
                  <pic:spPr>
                    <a:xfrm>
                      <a:off x="0" y="0"/>
                      <a:ext cx="7265670" cy="5137150"/>
                    </a:xfrm>
                    <a:prstGeom prst="rect">
                      <a:avLst/>
                    </a:prstGeom>
                  </pic:spPr>
                </pic:pic>
              </a:graphicData>
            </a:graphic>
          </wp:inline>
        </w:drawing>
      </w:r>
    </w:p>
    <w:p w14:paraId="290DA538">
      <w:pPr>
        <w:pStyle w:val="2"/>
        <w:jc w:val="center"/>
        <w:rPr>
          <w:rFonts w:hint="eastAsia" w:ascii="Times New Roman" w:hAnsi="Times New Roman" w:cs="Times New Roman"/>
          <w:b/>
          <w:bCs/>
          <w:color w:val="auto"/>
          <w:spacing w:val="3"/>
          <w:w w:val="100"/>
          <w:sz w:val="30"/>
          <w:lang w:val="en-US" w:eastAsia="zh-CN"/>
        </w:rPr>
      </w:pPr>
      <w:bookmarkStart w:id="21" w:name="OLE_LINK11"/>
      <w:r>
        <w:rPr>
          <w:rFonts w:hint="default" w:ascii="Times New Roman" w:hAnsi="Times New Roman" w:cs="Times New Roman"/>
          <w:b/>
          <w:bCs/>
          <w:color w:val="auto"/>
          <w:spacing w:val="3"/>
          <w:w w:val="100"/>
          <w:sz w:val="30"/>
        </w:rPr>
        <w:t>附图</w:t>
      </w:r>
      <w:r>
        <w:rPr>
          <w:rFonts w:hint="eastAsia" w:ascii="Times New Roman" w:hAnsi="Times New Roman" w:cs="Times New Roman"/>
          <w:b/>
          <w:bCs/>
          <w:color w:val="auto"/>
          <w:spacing w:val="3"/>
          <w:w w:val="100"/>
          <w:sz w:val="30"/>
          <w:lang w:val="en-US" w:eastAsia="zh-CN"/>
        </w:rPr>
        <w:t>2</w:t>
      </w:r>
      <w:r>
        <w:rPr>
          <w:rFonts w:hint="default" w:ascii="Times New Roman" w:hAnsi="Times New Roman" w:cs="Times New Roman"/>
          <w:b/>
          <w:bCs/>
          <w:color w:val="auto"/>
          <w:spacing w:val="3"/>
          <w:w w:val="100"/>
          <w:sz w:val="30"/>
        </w:rPr>
        <w:t xml:space="preserve"> </w:t>
      </w:r>
      <w:r>
        <w:rPr>
          <w:rFonts w:hint="eastAsia" w:ascii="Times New Roman" w:hAnsi="Times New Roman" w:cs="Times New Roman"/>
          <w:b/>
          <w:bCs/>
          <w:color w:val="auto"/>
          <w:spacing w:val="3"/>
          <w:w w:val="100"/>
          <w:sz w:val="30"/>
          <w:lang w:val="en-US" w:eastAsia="zh-CN"/>
        </w:rPr>
        <w:t>平面布置图</w:t>
      </w:r>
      <w:bookmarkEnd w:id="21"/>
    </w:p>
    <w:p w14:paraId="69CF2B02">
      <w:pPr>
        <w:jc w:val="center"/>
        <w:rPr>
          <w:rFonts w:hint="eastAsia" w:ascii="Times New Roman" w:hAnsi="Times New Roman" w:cs="Times New Roman"/>
          <w:b/>
          <w:bCs/>
          <w:color w:val="auto"/>
          <w:spacing w:val="3"/>
          <w:w w:val="100"/>
          <w:sz w:val="30"/>
          <w:lang w:val="en-US" w:eastAsia="zh-CN"/>
        </w:rPr>
      </w:pPr>
      <w:r>
        <w:rPr>
          <w:rFonts w:hint="eastAsia" w:ascii="Times New Roman" w:hAnsi="Times New Roman" w:cs="Times New Roman"/>
          <w:b/>
          <w:bCs/>
          <w:color w:val="auto"/>
          <w:spacing w:val="3"/>
          <w:w w:val="100"/>
          <w:sz w:val="30"/>
          <w:lang w:val="en-US" w:eastAsia="zh-CN"/>
        </w:rPr>
        <w:drawing>
          <wp:inline distT="0" distB="0" distL="114300" distR="114300">
            <wp:extent cx="7245985" cy="5122545"/>
            <wp:effectExtent l="0" t="0" r="12065" b="1905"/>
            <wp:docPr id="13" name="图片 13" descr="保护目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保护目标"/>
                    <pic:cNvPicPr>
                      <a:picLocks noChangeAspect="1"/>
                    </pic:cNvPicPr>
                  </pic:nvPicPr>
                  <pic:blipFill>
                    <a:blip r:embed="rId22"/>
                    <a:stretch>
                      <a:fillRect/>
                    </a:stretch>
                  </pic:blipFill>
                  <pic:spPr>
                    <a:xfrm>
                      <a:off x="0" y="0"/>
                      <a:ext cx="7245985" cy="5122545"/>
                    </a:xfrm>
                    <a:prstGeom prst="rect">
                      <a:avLst/>
                    </a:prstGeom>
                  </pic:spPr>
                </pic:pic>
              </a:graphicData>
            </a:graphic>
          </wp:inline>
        </w:drawing>
      </w:r>
    </w:p>
    <w:p w14:paraId="7CD5AFCC">
      <w:pPr>
        <w:pStyle w:val="20"/>
        <w:rPr>
          <w:rFonts w:hint="eastAsia"/>
          <w:lang w:val="en-US" w:eastAsia="zh-CN"/>
        </w:rPr>
      </w:pPr>
      <w:r>
        <w:rPr>
          <w:rFonts w:hint="default" w:ascii="Times New Roman" w:hAnsi="Times New Roman" w:cs="Times New Roman"/>
          <w:b/>
          <w:bCs/>
          <w:color w:val="auto"/>
          <w:spacing w:val="3"/>
          <w:w w:val="100"/>
          <w:sz w:val="30"/>
        </w:rPr>
        <w:t>附图</w:t>
      </w:r>
      <w:r>
        <w:rPr>
          <w:rFonts w:hint="eastAsia" w:ascii="Times New Roman" w:hAnsi="Times New Roman" w:cs="Times New Roman"/>
          <w:b/>
          <w:bCs/>
          <w:color w:val="auto"/>
          <w:spacing w:val="3"/>
          <w:w w:val="100"/>
          <w:sz w:val="30"/>
          <w:lang w:val="en-US" w:eastAsia="zh-CN"/>
        </w:rPr>
        <w:t>3</w:t>
      </w:r>
      <w:r>
        <w:rPr>
          <w:rFonts w:hint="default" w:ascii="Times New Roman" w:hAnsi="Times New Roman" w:cs="Times New Roman"/>
          <w:b/>
          <w:bCs/>
          <w:color w:val="auto"/>
          <w:spacing w:val="3"/>
          <w:w w:val="100"/>
          <w:sz w:val="30"/>
        </w:rPr>
        <w:t xml:space="preserve"> </w:t>
      </w:r>
      <w:r>
        <w:rPr>
          <w:rFonts w:hint="eastAsia" w:ascii="Times New Roman" w:hAnsi="Times New Roman" w:cs="Times New Roman"/>
          <w:b/>
          <w:bCs/>
          <w:color w:val="auto"/>
          <w:spacing w:val="3"/>
          <w:w w:val="100"/>
          <w:sz w:val="30"/>
          <w:lang w:val="en-US" w:eastAsia="zh-CN"/>
        </w:rPr>
        <w:t>保护目标分布图</w:t>
      </w:r>
    </w:p>
    <w:p w14:paraId="1BF71F5F">
      <w:pPr>
        <w:jc w:val="center"/>
        <w:rPr>
          <w:rFonts w:hint="eastAsia" w:ascii="Times New Roman" w:hAnsi="Times New Roman" w:cs="Times New Roman"/>
          <w:b/>
          <w:bCs/>
          <w:color w:val="auto"/>
          <w:spacing w:val="3"/>
          <w:w w:val="100"/>
          <w:sz w:val="30"/>
          <w:lang w:val="en-US" w:eastAsia="zh-CN"/>
        </w:rPr>
      </w:pPr>
      <w:r>
        <w:drawing>
          <wp:inline distT="0" distB="0" distL="114300" distR="114300">
            <wp:extent cx="7219950" cy="5124450"/>
            <wp:effectExtent l="0" t="0" r="0"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23"/>
                    <a:stretch>
                      <a:fillRect/>
                    </a:stretch>
                  </pic:blipFill>
                  <pic:spPr>
                    <a:xfrm>
                      <a:off x="0" y="0"/>
                      <a:ext cx="7219950" cy="5124450"/>
                    </a:xfrm>
                    <a:prstGeom prst="rect">
                      <a:avLst/>
                    </a:prstGeom>
                    <a:noFill/>
                    <a:ln>
                      <a:noFill/>
                    </a:ln>
                  </pic:spPr>
                </pic:pic>
              </a:graphicData>
            </a:graphic>
          </wp:inline>
        </w:drawing>
      </w:r>
    </w:p>
    <w:p w14:paraId="510CA563">
      <w:pPr>
        <w:pStyle w:val="2"/>
        <w:jc w:val="center"/>
        <w:rPr>
          <w:rFonts w:hint="eastAsia" w:ascii="Times New Roman" w:hAnsi="Times New Roman" w:cs="Times New Roman"/>
          <w:b/>
          <w:bCs/>
          <w:color w:val="auto"/>
          <w:spacing w:val="3"/>
          <w:w w:val="100"/>
          <w:sz w:val="30"/>
          <w:lang w:val="en-US" w:eastAsia="zh-CN"/>
        </w:rPr>
        <w:sectPr>
          <w:footerReference r:id="rId6" w:type="default"/>
          <w:pgSz w:w="16838" w:h="11906" w:orient="landscape"/>
          <w:pgMar w:top="1531" w:right="1701" w:bottom="1531" w:left="1701" w:header="851" w:footer="851" w:gutter="0"/>
          <w:cols w:space="720" w:num="1"/>
          <w:docGrid w:linePitch="312" w:charSpace="0"/>
        </w:sectPr>
      </w:pPr>
      <w:r>
        <w:rPr>
          <w:rFonts w:hint="default" w:ascii="Times New Roman" w:hAnsi="Times New Roman" w:cs="Times New Roman"/>
          <w:b/>
          <w:bCs/>
          <w:color w:val="auto"/>
          <w:spacing w:val="3"/>
          <w:w w:val="100"/>
          <w:sz w:val="30"/>
        </w:rPr>
        <w:t>附图</w:t>
      </w:r>
      <w:r>
        <w:rPr>
          <w:rFonts w:hint="eastAsia" w:ascii="Times New Roman" w:hAnsi="Times New Roman" w:cs="Times New Roman"/>
          <w:b/>
          <w:bCs/>
          <w:color w:val="auto"/>
          <w:spacing w:val="3"/>
          <w:w w:val="100"/>
          <w:sz w:val="30"/>
          <w:lang w:val="en-US" w:eastAsia="zh-CN"/>
        </w:rPr>
        <w:t>4</w:t>
      </w:r>
      <w:r>
        <w:rPr>
          <w:rFonts w:hint="default" w:ascii="Times New Roman" w:hAnsi="Times New Roman" w:cs="Times New Roman"/>
          <w:b/>
          <w:bCs/>
          <w:color w:val="auto"/>
          <w:spacing w:val="3"/>
          <w:w w:val="100"/>
          <w:sz w:val="30"/>
        </w:rPr>
        <w:t xml:space="preserve"> </w:t>
      </w:r>
      <w:r>
        <w:rPr>
          <w:rFonts w:hint="eastAsia" w:ascii="Times New Roman" w:hAnsi="Times New Roman" w:cs="Times New Roman"/>
          <w:b/>
          <w:bCs/>
          <w:color w:val="auto"/>
          <w:spacing w:val="3"/>
          <w:w w:val="100"/>
          <w:sz w:val="30"/>
          <w:lang w:val="en-US" w:eastAsia="zh-CN"/>
        </w:rPr>
        <w:t>项目选址与生态红线位置关系图</w:t>
      </w:r>
    </w:p>
    <w:p w14:paraId="3769E2CE">
      <w:pPr>
        <w:pStyle w:val="2"/>
        <w:ind w:left="0" w:leftChars="0" w:firstLine="0" w:firstLineChars="0"/>
        <w:jc w:val="both"/>
        <w:rPr>
          <w:rFonts w:hint="eastAsia" w:ascii="Times New Roman" w:hAnsi="Times New Roman" w:eastAsia="宋体" w:cs="Times New Roman"/>
          <w:b/>
          <w:bCs/>
          <w:color w:val="auto"/>
          <w:spacing w:val="3"/>
          <w:w w:val="100"/>
          <w:sz w:val="30"/>
          <w:lang w:val="en-US" w:eastAsia="zh-CN"/>
        </w:rPr>
      </w:pPr>
      <w:r>
        <w:drawing>
          <wp:inline distT="0" distB="0" distL="114300" distR="114300">
            <wp:extent cx="5276850" cy="7305675"/>
            <wp:effectExtent l="0" t="0" r="0" b="9525"/>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24"/>
                    <a:stretch>
                      <a:fillRect/>
                    </a:stretch>
                  </pic:blipFill>
                  <pic:spPr>
                    <a:xfrm>
                      <a:off x="0" y="0"/>
                      <a:ext cx="5276850" cy="7305675"/>
                    </a:xfrm>
                    <a:prstGeom prst="rect">
                      <a:avLst/>
                    </a:prstGeom>
                    <a:noFill/>
                    <a:ln>
                      <a:noFill/>
                    </a:ln>
                  </pic:spPr>
                </pic:pic>
              </a:graphicData>
            </a:graphic>
          </wp:inline>
        </w:drawing>
      </w:r>
      <w:r>
        <w:drawing>
          <wp:inline distT="0" distB="0" distL="114300" distR="114300">
            <wp:extent cx="5476875" cy="7448550"/>
            <wp:effectExtent l="0" t="0" r="9525" b="0"/>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25"/>
                    <a:stretch>
                      <a:fillRect/>
                    </a:stretch>
                  </pic:blipFill>
                  <pic:spPr>
                    <a:xfrm>
                      <a:off x="0" y="0"/>
                      <a:ext cx="5476875" cy="7448550"/>
                    </a:xfrm>
                    <a:prstGeom prst="rect">
                      <a:avLst/>
                    </a:prstGeom>
                    <a:noFill/>
                    <a:ln>
                      <a:noFill/>
                    </a:ln>
                  </pic:spPr>
                </pic:pic>
              </a:graphicData>
            </a:graphic>
          </wp:inline>
        </w:drawing>
      </w:r>
      <w:r>
        <w:rPr>
          <w:rFonts w:hint="eastAsia" w:ascii="Times New Roman" w:hAnsi="Times New Roman" w:eastAsia="宋体" w:cs="Times New Roman"/>
          <w:b/>
          <w:bCs/>
          <w:color w:val="auto"/>
          <w:spacing w:val="3"/>
          <w:w w:val="100"/>
          <w:sz w:val="30"/>
          <w:lang w:val="en-US" w:eastAsia="zh-CN"/>
        </w:rPr>
        <w:drawing>
          <wp:inline distT="0" distB="0" distL="114300" distR="114300">
            <wp:extent cx="5608320" cy="7713345"/>
            <wp:effectExtent l="0" t="0" r="11430" b="1905"/>
            <wp:docPr id="16" name="图片 16" descr="qq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qq 001"/>
                    <pic:cNvPicPr>
                      <a:picLocks noChangeAspect="1"/>
                    </pic:cNvPicPr>
                  </pic:nvPicPr>
                  <pic:blipFill>
                    <a:blip r:embed="rId26"/>
                    <a:stretch>
                      <a:fillRect/>
                    </a:stretch>
                  </pic:blipFill>
                  <pic:spPr>
                    <a:xfrm>
                      <a:off x="0" y="0"/>
                      <a:ext cx="5608320" cy="7713345"/>
                    </a:xfrm>
                    <a:prstGeom prst="rect">
                      <a:avLst/>
                    </a:prstGeom>
                  </pic:spPr>
                </pic:pic>
              </a:graphicData>
            </a:graphic>
          </wp:inline>
        </w:drawing>
      </w:r>
      <w:r>
        <w:rPr>
          <w:rFonts w:hint="eastAsia" w:ascii="Times New Roman" w:hAnsi="Times New Roman" w:eastAsia="宋体" w:cs="Times New Roman"/>
          <w:b/>
          <w:bCs/>
          <w:color w:val="auto"/>
          <w:spacing w:val="3"/>
          <w:w w:val="100"/>
          <w:sz w:val="30"/>
          <w:lang w:val="en-US" w:eastAsia="zh-CN"/>
        </w:rPr>
        <w:drawing>
          <wp:inline distT="0" distB="0" distL="114300" distR="114300">
            <wp:extent cx="5608320" cy="7713345"/>
            <wp:effectExtent l="0" t="0" r="11430" b="1905"/>
            <wp:docPr id="17" name="图片 17"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01"/>
                    <pic:cNvPicPr>
                      <a:picLocks noChangeAspect="1"/>
                    </pic:cNvPicPr>
                  </pic:nvPicPr>
                  <pic:blipFill>
                    <a:blip r:embed="rId27"/>
                    <a:stretch>
                      <a:fillRect/>
                    </a:stretch>
                  </pic:blipFill>
                  <pic:spPr>
                    <a:xfrm>
                      <a:off x="0" y="0"/>
                      <a:ext cx="5608320" cy="7713345"/>
                    </a:xfrm>
                    <a:prstGeom prst="rect">
                      <a:avLst/>
                    </a:prstGeom>
                  </pic:spPr>
                </pic:pic>
              </a:graphicData>
            </a:graphic>
          </wp:inline>
        </w:drawing>
      </w:r>
      <w:r>
        <w:rPr>
          <w:rFonts w:hint="eastAsia" w:ascii="Times New Roman" w:hAnsi="Times New Roman" w:eastAsia="宋体" w:cs="Times New Roman"/>
          <w:b/>
          <w:bCs/>
          <w:color w:val="auto"/>
          <w:spacing w:val="3"/>
          <w:w w:val="100"/>
          <w:sz w:val="30"/>
          <w:lang w:val="en-US" w:eastAsia="zh-CN"/>
        </w:rPr>
        <w:drawing>
          <wp:inline distT="0" distB="0" distL="114300" distR="114300">
            <wp:extent cx="5608320" cy="7713345"/>
            <wp:effectExtent l="0" t="0" r="11430" b="1905"/>
            <wp:docPr id="19" name="图片 19"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002"/>
                    <pic:cNvPicPr>
                      <a:picLocks noChangeAspect="1"/>
                    </pic:cNvPicPr>
                  </pic:nvPicPr>
                  <pic:blipFill>
                    <a:blip r:embed="rId28"/>
                    <a:stretch>
                      <a:fillRect/>
                    </a:stretch>
                  </pic:blipFill>
                  <pic:spPr>
                    <a:xfrm>
                      <a:off x="0" y="0"/>
                      <a:ext cx="5608320" cy="7713345"/>
                    </a:xfrm>
                    <a:prstGeom prst="rect">
                      <a:avLst/>
                    </a:prstGeom>
                  </pic:spPr>
                </pic:pic>
              </a:graphicData>
            </a:graphic>
          </wp:inline>
        </w:drawing>
      </w:r>
      <w:r>
        <w:rPr>
          <w:rFonts w:hint="eastAsia" w:ascii="Times New Roman" w:hAnsi="Times New Roman" w:eastAsia="宋体" w:cs="Times New Roman"/>
          <w:b/>
          <w:bCs/>
          <w:color w:val="auto"/>
          <w:spacing w:val="3"/>
          <w:w w:val="100"/>
          <w:sz w:val="30"/>
          <w:lang w:val="en-US" w:eastAsia="zh-CN"/>
        </w:rPr>
        <w:drawing>
          <wp:inline distT="0" distB="0" distL="114300" distR="114300">
            <wp:extent cx="5608320" cy="7713345"/>
            <wp:effectExtent l="0" t="0" r="11430" b="1905"/>
            <wp:docPr id="23" name="图片 23"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014"/>
                    <pic:cNvPicPr>
                      <a:picLocks noChangeAspect="1"/>
                    </pic:cNvPicPr>
                  </pic:nvPicPr>
                  <pic:blipFill>
                    <a:blip r:embed="rId29"/>
                    <a:stretch>
                      <a:fillRect/>
                    </a:stretch>
                  </pic:blipFill>
                  <pic:spPr>
                    <a:xfrm>
                      <a:off x="0" y="0"/>
                      <a:ext cx="5608320" cy="7713345"/>
                    </a:xfrm>
                    <a:prstGeom prst="rect">
                      <a:avLst/>
                    </a:prstGeom>
                  </pic:spPr>
                </pic:pic>
              </a:graphicData>
            </a:graphic>
          </wp:inline>
        </w:drawing>
      </w:r>
      <w:r>
        <w:rPr>
          <w:rFonts w:hint="eastAsia" w:ascii="Times New Roman" w:hAnsi="Times New Roman" w:eastAsia="宋体" w:cs="Times New Roman"/>
          <w:b/>
          <w:bCs/>
          <w:color w:val="auto"/>
          <w:spacing w:val="3"/>
          <w:w w:val="100"/>
          <w:sz w:val="30"/>
          <w:lang w:val="en-US" w:eastAsia="zh-CN"/>
        </w:rPr>
        <w:drawing>
          <wp:inline distT="0" distB="0" distL="114300" distR="114300">
            <wp:extent cx="5608320" cy="7713345"/>
            <wp:effectExtent l="0" t="0" r="11430" b="1905"/>
            <wp:docPr id="22" name="图片 22"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015"/>
                    <pic:cNvPicPr>
                      <a:picLocks noChangeAspect="1"/>
                    </pic:cNvPicPr>
                  </pic:nvPicPr>
                  <pic:blipFill>
                    <a:blip r:embed="rId30"/>
                    <a:stretch>
                      <a:fillRect/>
                    </a:stretch>
                  </pic:blipFill>
                  <pic:spPr>
                    <a:xfrm>
                      <a:off x="0" y="0"/>
                      <a:ext cx="5608320" cy="7713345"/>
                    </a:xfrm>
                    <a:prstGeom prst="rect">
                      <a:avLst/>
                    </a:prstGeom>
                  </pic:spPr>
                </pic:pic>
              </a:graphicData>
            </a:graphic>
          </wp:inline>
        </w:drawing>
      </w:r>
      <w:r>
        <w:rPr>
          <w:rFonts w:hint="eastAsia" w:ascii="Times New Roman" w:hAnsi="Times New Roman" w:eastAsia="宋体" w:cs="Times New Roman"/>
          <w:b/>
          <w:bCs/>
          <w:color w:val="auto"/>
          <w:spacing w:val="3"/>
          <w:w w:val="100"/>
          <w:sz w:val="30"/>
          <w:lang w:val="en-US" w:eastAsia="zh-CN"/>
        </w:rPr>
        <w:drawing>
          <wp:inline distT="0" distB="0" distL="114300" distR="114300">
            <wp:extent cx="5608320" cy="7713345"/>
            <wp:effectExtent l="0" t="0" r="11430" b="1905"/>
            <wp:docPr id="21" name="图片 21"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016"/>
                    <pic:cNvPicPr>
                      <a:picLocks noChangeAspect="1"/>
                    </pic:cNvPicPr>
                  </pic:nvPicPr>
                  <pic:blipFill>
                    <a:blip r:embed="rId31"/>
                    <a:stretch>
                      <a:fillRect/>
                    </a:stretch>
                  </pic:blipFill>
                  <pic:spPr>
                    <a:xfrm>
                      <a:off x="0" y="0"/>
                      <a:ext cx="5608320" cy="7713345"/>
                    </a:xfrm>
                    <a:prstGeom prst="rect">
                      <a:avLst/>
                    </a:prstGeom>
                  </pic:spPr>
                </pic:pic>
              </a:graphicData>
            </a:graphic>
          </wp:inline>
        </w:drawing>
      </w:r>
      <w:r>
        <w:rPr>
          <w:rFonts w:hint="eastAsia" w:ascii="Times New Roman" w:hAnsi="Times New Roman" w:eastAsia="宋体" w:cs="Times New Roman"/>
          <w:b/>
          <w:bCs/>
          <w:color w:val="auto"/>
          <w:spacing w:val="3"/>
          <w:w w:val="100"/>
          <w:sz w:val="30"/>
          <w:lang w:val="en-US" w:eastAsia="zh-CN"/>
        </w:rPr>
        <w:drawing>
          <wp:inline distT="0" distB="0" distL="114300" distR="114300">
            <wp:extent cx="5608320" cy="7713345"/>
            <wp:effectExtent l="0" t="0" r="11430" b="1905"/>
            <wp:docPr id="20" name="图片 20"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017"/>
                    <pic:cNvPicPr>
                      <a:picLocks noChangeAspect="1"/>
                    </pic:cNvPicPr>
                  </pic:nvPicPr>
                  <pic:blipFill>
                    <a:blip r:embed="rId32"/>
                    <a:stretch>
                      <a:fillRect/>
                    </a:stretch>
                  </pic:blipFill>
                  <pic:spPr>
                    <a:xfrm>
                      <a:off x="0" y="0"/>
                      <a:ext cx="5608320" cy="7713345"/>
                    </a:xfrm>
                    <a:prstGeom prst="rect">
                      <a:avLst/>
                    </a:prstGeom>
                  </pic:spPr>
                </pic:pic>
              </a:graphicData>
            </a:graphic>
          </wp:inline>
        </w:drawing>
      </w:r>
      <w:r>
        <w:drawing>
          <wp:inline distT="0" distB="0" distL="114300" distR="114300">
            <wp:extent cx="5553075" cy="7848600"/>
            <wp:effectExtent l="0" t="0" r="9525" b="0"/>
            <wp:docPr id="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pic:cNvPicPr>
                      <a:picLocks noChangeAspect="1"/>
                    </pic:cNvPicPr>
                  </pic:nvPicPr>
                  <pic:blipFill>
                    <a:blip r:embed="rId33"/>
                    <a:stretch>
                      <a:fillRect/>
                    </a:stretch>
                  </pic:blipFill>
                  <pic:spPr>
                    <a:xfrm>
                      <a:off x="0" y="0"/>
                      <a:ext cx="5553075" cy="7848600"/>
                    </a:xfrm>
                    <a:prstGeom prst="rect">
                      <a:avLst/>
                    </a:prstGeom>
                    <a:noFill/>
                    <a:ln>
                      <a:noFill/>
                    </a:ln>
                  </pic:spPr>
                </pic:pic>
              </a:graphicData>
            </a:graphic>
          </wp:inline>
        </w:drawing>
      </w:r>
      <w:r>
        <w:drawing>
          <wp:inline distT="0" distB="0" distL="114300" distR="114300">
            <wp:extent cx="5514975" cy="7829550"/>
            <wp:effectExtent l="0" t="0" r="9525" b="0"/>
            <wp:docPr id="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pic:cNvPicPr>
                      <a:picLocks noChangeAspect="1"/>
                    </pic:cNvPicPr>
                  </pic:nvPicPr>
                  <pic:blipFill>
                    <a:blip r:embed="rId34"/>
                    <a:stretch>
                      <a:fillRect/>
                    </a:stretch>
                  </pic:blipFill>
                  <pic:spPr>
                    <a:xfrm>
                      <a:off x="0" y="0"/>
                      <a:ext cx="5514975" cy="7829550"/>
                    </a:xfrm>
                    <a:prstGeom prst="rect">
                      <a:avLst/>
                    </a:prstGeom>
                    <a:noFill/>
                    <a:ln>
                      <a:noFill/>
                    </a:ln>
                  </pic:spPr>
                </pic:pic>
              </a:graphicData>
            </a:graphic>
          </wp:inline>
        </w:drawing>
      </w:r>
      <w:r>
        <w:drawing>
          <wp:inline distT="0" distB="0" distL="114300" distR="114300">
            <wp:extent cx="5534025" cy="7829550"/>
            <wp:effectExtent l="0" t="0" r="9525" b="0"/>
            <wp:docPr id="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
                    <pic:cNvPicPr>
                      <a:picLocks noChangeAspect="1"/>
                    </pic:cNvPicPr>
                  </pic:nvPicPr>
                  <pic:blipFill>
                    <a:blip r:embed="rId35"/>
                    <a:stretch>
                      <a:fillRect/>
                    </a:stretch>
                  </pic:blipFill>
                  <pic:spPr>
                    <a:xfrm>
                      <a:off x="0" y="0"/>
                      <a:ext cx="5534025" cy="7829550"/>
                    </a:xfrm>
                    <a:prstGeom prst="rect">
                      <a:avLst/>
                    </a:prstGeom>
                    <a:noFill/>
                    <a:ln>
                      <a:noFill/>
                    </a:ln>
                  </pic:spPr>
                </pic:pic>
              </a:graphicData>
            </a:graphic>
          </wp:inline>
        </w:drawing>
      </w:r>
      <w:r>
        <w:rPr>
          <w:rFonts w:hint="eastAsia" w:ascii="Times New Roman" w:hAnsi="Times New Roman" w:eastAsia="宋体" w:cs="Times New Roman"/>
          <w:b/>
          <w:bCs/>
          <w:color w:val="auto"/>
          <w:spacing w:val="3"/>
          <w:w w:val="100"/>
          <w:sz w:val="30"/>
          <w:lang w:val="en-US" w:eastAsia="zh-CN"/>
        </w:rPr>
        <w:drawing>
          <wp:inline distT="0" distB="0" distL="114300" distR="114300">
            <wp:extent cx="5608320" cy="7713345"/>
            <wp:effectExtent l="0" t="0" r="11430" b="1905"/>
            <wp:docPr id="42" name="图片 42" descr="2016年环评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2016年环评 (1)"/>
                    <pic:cNvPicPr>
                      <a:picLocks noChangeAspect="1"/>
                    </pic:cNvPicPr>
                  </pic:nvPicPr>
                  <pic:blipFill>
                    <a:blip r:embed="rId36"/>
                    <a:stretch>
                      <a:fillRect/>
                    </a:stretch>
                  </pic:blipFill>
                  <pic:spPr>
                    <a:xfrm>
                      <a:off x="0" y="0"/>
                      <a:ext cx="5608320" cy="7713345"/>
                    </a:xfrm>
                    <a:prstGeom prst="rect">
                      <a:avLst/>
                    </a:prstGeom>
                  </pic:spPr>
                </pic:pic>
              </a:graphicData>
            </a:graphic>
          </wp:inline>
        </w:drawing>
      </w:r>
      <w:r>
        <w:rPr>
          <w:rFonts w:hint="eastAsia" w:ascii="Times New Roman" w:hAnsi="Times New Roman" w:eastAsia="宋体" w:cs="Times New Roman"/>
          <w:b/>
          <w:bCs/>
          <w:color w:val="auto"/>
          <w:spacing w:val="3"/>
          <w:w w:val="100"/>
          <w:sz w:val="30"/>
          <w:lang w:val="en-US" w:eastAsia="zh-CN"/>
        </w:rPr>
        <w:drawing>
          <wp:inline distT="0" distB="0" distL="114300" distR="114300">
            <wp:extent cx="5608320" cy="7713345"/>
            <wp:effectExtent l="0" t="0" r="11430" b="1905"/>
            <wp:docPr id="41" name="图片 41" descr="2016年环评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2016年环评 (2)"/>
                    <pic:cNvPicPr>
                      <a:picLocks noChangeAspect="1"/>
                    </pic:cNvPicPr>
                  </pic:nvPicPr>
                  <pic:blipFill>
                    <a:blip r:embed="rId37"/>
                    <a:stretch>
                      <a:fillRect/>
                    </a:stretch>
                  </pic:blipFill>
                  <pic:spPr>
                    <a:xfrm>
                      <a:off x="0" y="0"/>
                      <a:ext cx="5608320" cy="7713345"/>
                    </a:xfrm>
                    <a:prstGeom prst="rect">
                      <a:avLst/>
                    </a:prstGeom>
                  </pic:spPr>
                </pic:pic>
              </a:graphicData>
            </a:graphic>
          </wp:inline>
        </w:drawing>
      </w:r>
      <w:r>
        <w:rPr>
          <w:rFonts w:hint="eastAsia" w:ascii="Times New Roman" w:hAnsi="Times New Roman" w:eastAsia="宋体" w:cs="Times New Roman"/>
          <w:b/>
          <w:bCs/>
          <w:color w:val="auto"/>
          <w:spacing w:val="3"/>
          <w:w w:val="100"/>
          <w:sz w:val="30"/>
          <w:lang w:val="en-US" w:eastAsia="zh-CN"/>
        </w:rPr>
        <w:drawing>
          <wp:inline distT="0" distB="0" distL="114300" distR="114300">
            <wp:extent cx="5608320" cy="7713345"/>
            <wp:effectExtent l="0" t="0" r="11430" b="1905"/>
            <wp:docPr id="40" name="图片 40" descr="2016年环评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2016年环评 (3)"/>
                    <pic:cNvPicPr>
                      <a:picLocks noChangeAspect="1"/>
                    </pic:cNvPicPr>
                  </pic:nvPicPr>
                  <pic:blipFill>
                    <a:blip r:embed="rId38"/>
                    <a:stretch>
                      <a:fillRect/>
                    </a:stretch>
                  </pic:blipFill>
                  <pic:spPr>
                    <a:xfrm>
                      <a:off x="0" y="0"/>
                      <a:ext cx="5608320" cy="7713345"/>
                    </a:xfrm>
                    <a:prstGeom prst="rect">
                      <a:avLst/>
                    </a:prstGeom>
                  </pic:spPr>
                </pic:pic>
              </a:graphicData>
            </a:graphic>
          </wp:inline>
        </w:drawing>
      </w:r>
      <w:r>
        <w:rPr>
          <w:rFonts w:hint="eastAsia" w:ascii="Times New Roman" w:hAnsi="Times New Roman" w:eastAsia="宋体" w:cs="Times New Roman"/>
          <w:b/>
          <w:bCs/>
          <w:color w:val="auto"/>
          <w:spacing w:val="3"/>
          <w:w w:val="100"/>
          <w:sz w:val="30"/>
          <w:lang w:val="en-US" w:eastAsia="zh-CN"/>
        </w:rPr>
        <w:drawing>
          <wp:inline distT="0" distB="0" distL="114300" distR="114300">
            <wp:extent cx="7799070" cy="5612765"/>
            <wp:effectExtent l="0" t="0" r="6985" b="11430"/>
            <wp:docPr id="45" name="图片 45"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001"/>
                    <pic:cNvPicPr>
                      <a:picLocks noChangeAspect="1"/>
                    </pic:cNvPicPr>
                  </pic:nvPicPr>
                  <pic:blipFill>
                    <a:blip r:embed="rId39"/>
                    <a:stretch>
                      <a:fillRect/>
                    </a:stretch>
                  </pic:blipFill>
                  <pic:spPr>
                    <a:xfrm rot="5400000">
                      <a:off x="0" y="0"/>
                      <a:ext cx="7799070" cy="5612765"/>
                    </a:xfrm>
                    <a:prstGeom prst="rect">
                      <a:avLst/>
                    </a:prstGeom>
                  </pic:spPr>
                </pic:pic>
              </a:graphicData>
            </a:graphic>
          </wp:inline>
        </w:drawing>
      </w:r>
      <w:r>
        <w:rPr>
          <w:rFonts w:hint="eastAsia" w:ascii="Times New Roman" w:hAnsi="Times New Roman" w:eastAsia="宋体" w:cs="Times New Roman"/>
          <w:b/>
          <w:bCs/>
          <w:color w:val="auto"/>
          <w:spacing w:val="3"/>
          <w:w w:val="100"/>
          <w:sz w:val="30"/>
          <w:lang w:val="en-US" w:eastAsia="zh-CN"/>
        </w:rPr>
        <w:drawing>
          <wp:inline distT="0" distB="0" distL="114300" distR="114300">
            <wp:extent cx="8130540" cy="5615305"/>
            <wp:effectExtent l="0" t="0" r="4445" b="3810"/>
            <wp:docPr id="44" name="图片 44"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002"/>
                    <pic:cNvPicPr>
                      <a:picLocks noChangeAspect="1"/>
                    </pic:cNvPicPr>
                  </pic:nvPicPr>
                  <pic:blipFill>
                    <a:blip r:embed="rId40"/>
                    <a:stretch>
                      <a:fillRect/>
                    </a:stretch>
                  </pic:blipFill>
                  <pic:spPr>
                    <a:xfrm rot="16200000">
                      <a:off x="0" y="0"/>
                      <a:ext cx="8130540" cy="5615305"/>
                    </a:xfrm>
                    <a:prstGeom prst="rect">
                      <a:avLst/>
                    </a:prstGeom>
                  </pic:spPr>
                </pic:pic>
              </a:graphicData>
            </a:graphic>
          </wp:inline>
        </w:drawing>
      </w:r>
      <w:r>
        <w:rPr>
          <w:rFonts w:hint="eastAsia" w:ascii="Times New Roman" w:hAnsi="Times New Roman" w:eastAsia="宋体" w:cs="Times New Roman"/>
          <w:b/>
          <w:bCs/>
          <w:color w:val="auto"/>
          <w:spacing w:val="3"/>
          <w:w w:val="100"/>
          <w:sz w:val="30"/>
          <w:lang w:val="en-US" w:eastAsia="zh-CN"/>
        </w:rPr>
        <w:drawing>
          <wp:inline distT="0" distB="0" distL="114300" distR="114300">
            <wp:extent cx="8280400" cy="5608955"/>
            <wp:effectExtent l="0" t="0" r="10795" b="6350"/>
            <wp:docPr id="43" name="图片 43"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003"/>
                    <pic:cNvPicPr>
                      <a:picLocks noChangeAspect="1"/>
                    </pic:cNvPicPr>
                  </pic:nvPicPr>
                  <pic:blipFill>
                    <a:blip r:embed="rId41"/>
                    <a:stretch>
                      <a:fillRect/>
                    </a:stretch>
                  </pic:blipFill>
                  <pic:spPr>
                    <a:xfrm rot="5400000">
                      <a:off x="0" y="0"/>
                      <a:ext cx="8280400" cy="5608955"/>
                    </a:xfrm>
                    <a:prstGeom prst="rect">
                      <a:avLst/>
                    </a:prstGeom>
                  </pic:spPr>
                </pic:pic>
              </a:graphicData>
            </a:graphic>
          </wp:inline>
        </w:drawing>
      </w:r>
      <w:r>
        <w:rPr>
          <w:rFonts w:hint="eastAsia" w:ascii="Times New Roman" w:hAnsi="Times New Roman" w:eastAsia="宋体" w:cs="Times New Roman"/>
          <w:b/>
          <w:bCs/>
          <w:color w:val="auto"/>
          <w:spacing w:val="3"/>
          <w:w w:val="100"/>
          <w:sz w:val="30"/>
          <w:lang w:val="en-US" w:eastAsia="zh-CN"/>
        </w:rPr>
        <w:drawing>
          <wp:inline distT="0" distB="0" distL="114300" distR="114300">
            <wp:extent cx="5610860" cy="7938135"/>
            <wp:effectExtent l="0" t="0" r="8890" b="5715"/>
            <wp:docPr id="49" name="图片 49" descr="竣工验收报告（资助验收）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竣工验收报告（资助验收） (3)"/>
                    <pic:cNvPicPr>
                      <a:picLocks noChangeAspect="1"/>
                    </pic:cNvPicPr>
                  </pic:nvPicPr>
                  <pic:blipFill>
                    <a:blip r:embed="rId42"/>
                    <a:stretch>
                      <a:fillRect/>
                    </a:stretch>
                  </pic:blipFill>
                  <pic:spPr>
                    <a:xfrm>
                      <a:off x="0" y="0"/>
                      <a:ext cx="5610860" cy="7938135"/>
                    </a:xfrm>
                    <a:prstGeom prst="rect">
                      <a:avLst/>
                    </a:prstGeom>
                  </pic:spPr>
                </pic:pic>
              </a:graphicData>
            </a:graphic>
          </wp:inline>
        </w:drawing>
      </w:r>
      <w:r>
        <w:rPr>
          <w:rFonts w:hint="eastAsia" w:ascii="Times New Roman" w:hAnsi="Times New Roman" w:eastAsia="宋体" w:cs="Times New Roman"/>
          <w:b/>
          <w:bCs/>
          <w:color w:val="auto"/>
          <w:spacing w:val="3"/>
          <w:w w:val="100"/>
          <w:sz w:val="30"/>
          <w:lang w:val="en-US" w:eastAsia="zh-CN"/>
        </w:rPr>
        <w:drawing>
          <wp:inline distT="0" distB="0" distL="114300" distR="114300">
            <wp:extent cx="5611495" cy="7831455"/>
            <wp:effectExtent l="0" t="0" r="8255" b="17145"/>
            <wp:docPr id="48" name="图片 48" descr="竣工验收报告（资助验收）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竣工验收报告（资助验收） (4)"/>
                    <pic:cNvPicPr>
                      <a:picLocks noChangeAspect="1"/>
                    </pic:cNvPicPr>
                  </pic:nvPicPr>
                  <pic:blipFill>
                    <a:blip r:embed="rId43"/>
                    <a:stretch>
                      <a:fillRect/>
                    </a:stretch>
                  </pic:blipFill>
                  <pic:spPr>
                    <a:xfrm>
                      <a:off x="0" y="0"/>
                      <a:ext cx="5611495" cy="7831455"/>
                    </a:xfrm>
                    <a:prstGeom prst="rect">
                      <a:avLst/>
                    </a:prstGeom>
                  </pic:spPr>
                </pic:pic>
              </a:graphicData>
            </a:graphic>
          </wp:inline>
        </w:drawing>
      </w:r>
      <w:r>
        <w:rPr>
          <w:rFonts w:hint="eastAsia" w:ascii="Times New Roman" w:hAnsi="Times New Roman" w:eastAsia="宋体" w:cs="Times New Roman"/>
          <w:b/>
          <w:bCs/>
          <w:color w:val="auto"/>
          <w:spacing w:val="3"/>
          <w:w w:val="100"/>
          <w:sz w:val="30"/>
          <w:lang w:val="en-US" w:eastAsia="zh-CN"/>
        </w:rPr>
        <w:drawing>
          <wp:inline distT="0" distB="0" distL="114300" distR="114300">
            <wp:extent cx="5615305" cy="7799070"/>
            <wp:effectExtent l="0" t="0" r="4445" b="11430"/>
            <wp:docPr id="47" name="图片 47" descr="竣工验收报告（资助验收）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竣工验收报告（资助验收） (5)"/>
                    <pic:cNvPicPr>
                      <a:picLocks noChangeAspect="1"/>
                    </pic:cNvPicPr>
                  </pic:nvPicPr>
                  <pic:blipFill>
                    <a:blip r:embed="rId44"/>
                    <a:stretch>
                      <a:fillRect/>
                    </a:stretch>
                  </pic:blipFill>
                  <pic:spPr>
                    <a:xfrm>
                      <a:off x="0" y="0"/>
                      <a:ext cx="5615305" cy="7799070"/>
                    </a:xfrm>
                    <a:prstGeom prst="rect">
                      <a:avLst/>
                    </a:prstGeom>
                  </pic:spPr>
                </pic:pic>
              </a:graphicData>
            </a:graphic>
          </wp:inline>
        </w:drawing>
      </w:r>
      <w:r>
        <w:rPr>
          <w:rFonts w:hint="eastAsia" w:ascii="Times New Roman" w:hAnsi="Times New Roman" w:eastAsia="宋体" w:cs="Times New Roman"/>
          <w:b/>
          <w:bCs/>
          <w:color w:val="auto"/>
          <w:spacing w:val="3"/>
          <w:w w:val="100"/>
          <w:sz w:val="30"/>
          <w:lang w:val="en-US" w:eastAsia="zh-CN"/>
        </w:rPr>
        <w:drawing>
          <wp:inline distT="0" distB="0" distL="114300" distR="114300">
            <wp:extent cx="5611495" cy="7724140"/>
            <wp:effectExtent l="0" t="0" r="8255" b="10160"/>
            <wp:docPr id="46" name="图片 46" descr="竣工验收报告（资助验收）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竣工验收报告（资助验收） (6)"/>
                    <pic:cNvPicPr>
                      <a:picLocks noChangeAspect="1"/>
                    </pic:cNvPicPr>
                  </pic:nvPicPr>
                  <pic:blipFill>
                    <a:blip r:embed="rId45"/>
                    <a:stretch>
                      <a:fillRect/>
                    </a:stretch>
                  </pic:blipFill>
                  <pic:spPr>
                    <a:xfrm>
                      <a:off x="0" y="0"/>
                      <a:ext cx="5611495" cy="7724140"/>
                    </a:xfrm>
                    <a:prstGeom prst="rect">
                      <a:avLst/>
                    </a:prstGeom>
                  </pic:spPr>
                </pic:pic>
              </a:graphicData>
            </a:graphic>
          </wp:inline>
        </w:drawing>
      </w:r>
      <w:r>
        <w:rPr>
          <w:rFonts w:hint="eastAsia" w:ascii="Times New Roman" w:hAnsi="Times New Roman" w:eastAsia="宋体" w:cs="Times New Roman"/>
          <w:b/>
          <w:bCs/>
          <w:color w:val="auto"/>
          <w:spacing w:val="3"/>
          <w:w w:val="100"/>
          <w:sz w:val="30"/>
          <w:lang w:val="en-US" w:eastAsia="zh-CN"/>
        </w:rPr>
        <w:drawing>
          <wp:inline distT="0" distB="0" distL="114300" distR="114300">
            <wp:extent cx="5613400" cy="7906385"/>
            <wp:effectExtent l="0" t="0" r="6350" b="18415"/>
            <wp:docPr id="51" name="图片 51" descr="竣工验收报告（资助验收）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竣工验收报告（资助验收） (1)"/>
                    <pic:cNvPicPr>
                      <a:picLocks noChangeAspect="1"/>
                    </pic:cNvPicPr>
                  </pic:nvPicPr>
                  <pic:blipFill>
                    <a:blip r:embed="rId46"/>
                    <a:stretch>
                      <a:fillRect/>
                    </a:stretch>
                  </pic:blipFill>
                  <pic:spPr>
                    <a:xfrm>
                      <a:off x="0" y="0"/>
                      <a:ext cx="5613400" cy="7906385"/>
                    </a:xfrm>
                    <a:prstGeom prst="rect">
                      <a:avLst/>
                    </a:prstGeom>
                  </pic:spPr>
                </pic:pic>
              </a:graphicData>
            </a:graphic>
          </wp:inline>
        </w:drawing>
      </w:r>
      <w:r>
        <w:rPr>
          <w:rFonts w:hint="eastAsia" w:ascii="Times New Roman" w:hAnsi="Times New Roman" w:eastAsia="宋体" w:cs="Times New Roman"/>
          <w:b/>
          <w:bCs/>
          <w:color w:val="auto"/>
          <w:spacing w:val="3"/>
          <w:w w:val="100"/>
          <w:sz w:val="30"/>
          <w:lang w:val="en-US" w:eastAsia="zh-CN"/>
        </w:rPr>
        <w:drawing>
          <wp:inline distT="0" distB="0" distL="114300" distR="114300">
            <wp:extent cx="7814945" cy="5523865"/>
            <wp:effectExtent l="0" t="0" r="635" b="14605"/>
            <wp:docPr id="50" name="图片 50" descr="竣工验收报告（资助验收）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竣工验收报告（资助验收） (2)"/>
                    <pic:cNvPicPr>
                      <a:picLocks noChangeAspect="1"/>
                    </pic:cNvPicPr>
                  </pic:nvPicPr>
                  <pic:blipFill>
                    <a:blip r:embed="rId47"/>
                    <a:stretch>
                      <a:fillRect/>
                    </a:stretch>
                  </pic:blipFill>
                  <pic:spPr>
                    <a:xfrm rot="16200000">
                      <a:off x="0" y="0"/>
                      <a:ext cx="7814945" cy="5523865"/>
                    </a:xfrm>
                    <a:prstGeom prst="rect">
                      <a:avLst/>
                    </a:prstGeom>
                  </pic:spPr>
                </pic:pic>
              </a:graphicData>
            </a:graphic>
          </wp:inline>
        </w:drawing>
      </w:r>
      <w:r>
        <w:rPr>
          <w:rFonts w:hint="eastAsia" w:ascii="Times New Roman" w:hAnsi="Times New Roman" w:eastAsia="宋体" w:cs="Times New Roman"/>
          <w:b/>
          <w:bCs/>
          <w:color w:val="auto"/>
          <w:spacing w:val="3"/>
          <w:w w:val="100"/>
          <w:sz w:val="30"/>
          <w:lang w:val="en-US" w:eastAsia="zh-CN"/>
        </w:rPr>
        <w:drawing>
          <wp:inline distT="0" distB="0" distL="114300" distR="114300">
            <wp:extent cx="5559425" cy="8075295"/>
            <wp:effectExtent l="0" t="0" r="3175" b="1905"/>
            <wp:docPr id="52" name="图片 52" descr="排污许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排污许可"/>
                    <pic:cNvPicPr>
                      <a:picLocks noChangeAspect="1"/>
                    </pic:cNvPicPr>
                  </pic:nvPicPr>
                  <pic:blipFill>
                    <a:blip r:embed="rId48"/>
                    <a:stretch>
                      <a:fillRect/>
                    </a:stretch>
                  </pic:blipFill>
                  <pic:spPr>
                    <a:xfrm>
                      <a:off x="0" y="0"/>
                      <a:ext cx="5559425" cy="8075295"/>
                    </a:xfrm>
                    <a:prstGeom prst="rect">
                      <a:avLst/>
                    </a:prstGeom>
                  </pic:spPr>
                </pic:pic>
              </a:graphicData>
            </a:graphic>
          </wp:inline>
        </w:drawing>
      </w:r>
      <w:r>
        <w:drawing>
          <wp:inline distT="0" distB="0" distL="114300" distR="114300">
            <wp:extent cx="5495290" cy="7787005"/>
            <wp:effectExtent l="0" t="0" r="10160" b="4445"/>
            <wp:docPr id="5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7"/>
                    <pic:cNvPicPr>
                      <a:picLocks noChangeAspect="1"/>
                    </pic:cNvPicPr>
                  </pic:nvPicPr>
                  <pic:blipFill>
                    <a:blip r:embed="rId49"/>
                    <a:stretch>
                      <a:fillRect/>
                    </a:stretch>
                  </pic:blipFill>
                  <pic:spPr>
                    <a:xfrm>
                      <a:off x="0" y="0"/>
                      <a:ext cx="5495290" cy="7787005"/>
                    </a:xfrm>
                    <a:prstGeom prst="rect">
                      <a:avLst/>
                    </a:prstGeom>
                    <a:noFill/>
                    <a:ln>
                      <a:noFill/>
                    </a:ln>
                  </pic:spPr>
                </pic:pic>
              </a:graphicData>
            </a:graphic>
          </wp:inline>
        </w:drawing>
      </w:r>
      <w:r>
        <w:drawing>
          <wp:inline distT="0" distB="0" distL="114300" distR="114300">
            <wp:extent cx="5562600" cy="7975600"/>
            <wp:effectExtent l="0" t="0" r="0" b="6350"/>
            <wp:docPr id="5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8"/>
                    <pic:cNvPicPr>
                      <a:picLocks noChangeAspect="1"/>
                    </pic:cNvPicPr>
                  </pic:nvPicPr>
                  <pic:blipFill>
                    <a:blip r:embed="rId50"/>
                    <a:stretch>
                      <a:fillRect/>
                    </a:stretch>
                  </pic:blipFill>
                  <pic:spPr>
                    <a:xfrm>
                      <a:off x="0" y="0"/>
                      <a:ext cx="5562600" cy="7975600"/>
                    </a:xfrm>
                    <a:prstGeom prst="rect">
                      <a:avLst/>
                    </a:prstGeom>
                    <a:noFill/>
                    <a:ln>
                      <a:noFill/>
                    </a:ln>
                  </pic:spPr>
                </pic:pic>
              </a:graphicData>
            </a:graphic>
          </wp:inline>
        </w:drawing>
      </w:r>
      <w:r>
        <w:drawing>
          <wp:inline distT="0" distB="0" distL="114300" distR="114300">
            <wp:extent cx="5610225" cy="7740015"/>
            <wp:effectExtent l="0" t="0" r="9525" b="13335"/>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51"/>
                    <a:stretch>
                      <a:fillRect/>
                    </a:stretch>
                  </pic:blipFill>
                  <pic:spPr>
                    <a:xfrm>
                      <a:off x="0" y="0"/>
                      <a:ext cx="5610225" cy="7740015"/>
                    </a:xfrm>
                    <a:prstGeom prst="rect">
                      <a:avLst/>
                    </a:prstGeom>
                    <a:noFill/>
                    <a:ln>
                      <a:noFill/>
                    </a:ln>
                  </pic:spPr>
                </pic:pic>
              </a:graphicData>
            </a:graphic>
          </wp:inline>
        </w:drawing>
      </w:r>
      <w:r>
        <w:drawing>
          <wp:inline distT="0" distB="0" distL="114300" distR="114300">
            <wp:extent cx="5505450" cy="7858125"/>
            <wp:effectExtent l="0" t="0" r="0" b="9525"/>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52"/>
                    <a:stretch>
                      <a:fillRect/>
                    </a:stretch>
                  </pic:blipFill>
                  <pic:spPr>
                    <a:xfrm>
                      <a:off x="0" y="0"/>
                      <a:ext cx="5505450" cy="7858125"/>
                    </a:xfrm>
                    <a:prstGeom prst="rect">
                      <a:avLst/>
                    </a:prstGeom>
                    <a:noFill/>
                    <a:ln>
                      <a:noFill/>
                    </a:ln>
                  </pic:spPr>
                </pic:pic>
              </a:graphicData>
            </a:graphic>
          </wp:inline>
        </w:drawing>
      </w:r>
      <w:r>
        <w:drawing>
          <wp:inline distT="0" distB="0" distL="114300" distR="114300">
            <wp:extent cx="5543550" cy="7867650"/>
            <wp:effectExtent l="0" t="0" r="0" b="0"/>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53"/>
                    <a:stretch>
                      <a:fillRect/>
                    </a:stretch>
                  </pic:blipFill>
                  <pic:spPr>
                    <a:xfrm>
                      <a:off x="0" y="0"/>
                      <a:ext cx="5543550" cy="7867650"/>
                    </a:xfrm>
                    <a:prstGeom prst="rect">
                      <a:avLst/>
                    </a:prstGeom>
                    <a:noFill/>
                    <a:ln>
                      <a:noFill/>
                    </a:ln>
                  </pic:spPr>
                </pic:pic>
              </a:graphicData>
            </a:graphic>
          </wp:inline>
        </w:drawing>
      </w:r>
      <w:r>
        <w:drawing>
          <wp:inline distT="0" distB="0" distL="114300" distR="114300">
            <wp:extent cx="5543550" cy="7867650"/>
            <wp:effectExtent l="0" t="0" r="0" b="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54"/>
                    <a:stretch>
                      <a:fillRect/>
                    </a:stretch>
                  </pic:blipFill>
                  <pic:spPr>
                    <a:xfrm>
                      <a:off x="0" y="0"/>
                      <a:ext cx="5543550" cy="7867650"/>
                    </a:xfrm>
                    <a:prstGeom prst="rect">
                      <a:avLst/>
                    </a:prstGeom>
                    <a:noFill/>
                    <a:ln>
                      <a:noFill/>
                    </a:ln>
                  </pic:spPr>
                </pic:pic>
              </a:graphicData>
            </a:graphic>
          </wp:inline>
        </w:drawing>
      </w:r>
    </w:p>
    <w:sectPr>
      <w:pgSz w:w="11906" w:h="16838"/>
      <w:pgMar w:top="1701" w:right="1531" w:bottom="1701" w:left="1531"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Calibri Light">
    <w:panose1 w:val="020F0302020204030204"/>
    <w:charset w:val="00"/>
    <w:family w:val="roman"/>
    <w:pitch w:val="default"/>
    <w:sig w:usb0="E4002EFF" w:usb1="C2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楷体_GB2312">
    <w:altName w:val="楷体"/>
    <w:panose1 w:val="02010609030101010101"/>
    <w:charset w:val="86"/>
    <w:family w:val="modern"/>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方正小标宋_GBK">
    <w:panose1 w:val="02000000000000000000"/>
    <w:charset w:val="86"/>
    <w:family w:val="script"/>
    <w:pitch w:val="default"/>
    <w:sig w:usb0="A00002BF" w:usb1="38CF7CFA" w:usb2="00082016" w:usb3="00000000" w:csb0="00040001"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Segoe UI Symbol">
    <w:panose1 w:val="020B0502040204020203"/>
    <w:charset w:val="00"/>
    <w:family w:val="swiss"/>
    <w:pitch w:val="default"/>
    <w:sig w:usb0="800001E3" w:usb1="1200FFEF" w:usb2="00040000" w:usb3="04000000" w:csb0="00000001" w:csb1="40000000"/>
  </w:font>
  <w:font w:name="Wingdings 2">
    <w:panose1 w:val="05020102010507070707"/>
    <w:charset w:val="02"/>
    <w:family w:val="roman"/>
    <w:pitch w:val="default"/>
    <w:sig w:usb0="00000000" w:usb1="00000000" w:usb2="00000000" w:usb3="00000000" w:csb0="80000000" w:csb1="00000000"/>
  </w:font>
  <w:font w:name="Yu Gothic Medium">
    <w:panose1 w:val="020B0500000000000000"/>
    <w:charset w:val="80"/>
    <w:family w:val="auto"/>
    <w:pitch w:val="default"/>
    <w:sig w:usb0="E00002FF" w:usb1="2AC7FDFF" w:usb2="00000016" w:usb3="00000000" w:csb0="2002009F"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AFDEEC">
    <w:pPr>
      <w:pStyle w:val="16"/>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1CCA90">
    <w:pPr>
      <w:pStyle w:val="16"/>
      <w:framePr w:wrap="around" w:vAnchor="text" w:hAnchor="margin" w:xAlign="center" w:y="1"/>
      <w:rPr>
        <w:rStyle w:val="26"/>
      </w:rPr>
    </w:pPr>
    <w:r>
      <w:fldChar w:fldCharType="begin"/>
    </w:r>
    <w:r>
      <w:rPr>
        <w:rStyle w:val="26"/>
      </w:rPr>
      <w:instrText xml:space="preserve">PAGE  </w:instrText>
    </w:r>
    <w:r>
      <w:fldChar w:fldCharType="separate"/>
    </w:r>
    <w:r>
      <w:rPr>
        <w:rStyle w:val="26"/>
      </w:rPr>
      <w:t>6</w:t>
    </w:r>
    <w:r>
      <w:fldChar w:fldCharType="end"/>
    </w:r>
  </w:p>
  <w:p w14:paraId="4E93D3F9">
    <w:pPr>
      <w:pStyle w:val="16"/>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2BD75B">
    <w:pPr>
      <w:pStyle w:val="16"/>
      <w:jc w:val="center"/>
      <w:rPr>
        <w:rStyle w:val="26"/>
        <w:rFonts w:ascii="宋体" w:hAnsi="宋体"/>
        <w:sz w:val="28"/>
        <w:szCs w:val="28"/>
      </w:rPr>
    </w:pPr>
    <w:r>
      <w:rPr>
        <w:rStyle w:val="26"/>
        <w:rFonts w:hint="eastAsia" w:ascii="宋体" w:hAnsi="宋体"/>
        <w:sz w:val="28"/>
        <w:szCs w:val="28"/>
      </w:rPr>
      <w:t>—</w:t>
    </w:r>
    <w:r>
      <w:rPr>
        <w:rStyle w:val="26"/>
        <w:sz w:val="24"/>
        <w:szCs w:val="26"/>
      </w:rPr>
      <w:fldChar w:fldCharType="begin"/>
    </w:r>
    <w:r>
      <w:rPr>
        <w:rStyle w:val="26"/>
        <w:sz w:val="24"/>
        <w:szCs w:val="26"/>
      </w:rPr>
      <w:instrText xml:space="preserve">PAGE  </w:instrText>
    </w:r>
    <w:r>
      <w:rPr>
        <w:rStyle w:val="26"/>
        <w:sz w:val="24"/>
        <w:szCs w:val="26"/>
      </w:rPr>
      <w:fldChar w:fldCharType="separate"/>
    </w:r>
    <w:r>
      <w:rPr>
        <w:rStyle w:val="26"/>
        <w:sz w:val="24"/>
        <w:szCs w:val="26"/>
      </w:rPr>
      <w:t>63</w:t>
    </w:r>
    <w:r>
      <w:rPr>
        <w:rStyle w:val="26"/>
        <w:sz w:val="24"/>
        <w:szCs w:val="26"/>
      </w:rPr>
      <w:fldChar w:fldCharType="end"/>
    </w:r>
    <w:r>
      <w:rPr>
        <w:rStyle w:val="26"/>
        <w:rFonts w:hint="eastAsia" w:ascii="宋体" w:hAnsi="宋体"/>
        <w:sz w:val="28"/>
        <w:szCs w:val="28"/>
      </w:rPr>
      <w:t>—</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C753EF">
    <w:pPr>
      <w:pStyle w:val="16"/>
      <w:framePr w:wrap="around" w:vAnchor="text" w:hAnchor="page" w:x="7963" w:y="27"/>
      <w:jc w:val="center"/>
      <w:rPr>
        <w:rStyle w:val="26"/>
        <w:rFonts w:ascii="宋体" w:hAnsi="宋体"/>
        <w:sz w:val="28"/>
        <w:szCs w:val="28"/>
      </w:rPr>
    </w:pPr>
    <w:r>
      <w:rPr>
        <w:rStyle w:val="26"/>
        <w:rFonts w:hint="eastAsia" w:ascii="宋体" w:hAnsi="宋体"/>
        <w:sz w:val="28"/>
        <w:szCs w:val="28"/>
      </w:rPr>
      <w:t>—</w:t>
    </w:r>
    <w:r>
      <w:rPr>
        <w:rStyle w:val="26"/>
        <w:sz w:val="24"/>
        <w:szCs w:val="24"/>
      </w:rPr>
      <w:fldChar w:fldCharType="begin"/>
    </w:r>
    <w:r>
      <w:rPr>
        <w:rStyle w:val="26"/>
        <w:sz w:val="24"/>
        <w:szCs w:val="24"/>
      </w:rPr>
      <w:instrText xml:space="preserve">PAGE  </w:instrText>
    </w:r>
    <w:r>
      <w:rPr>
        <w:rStyle w:val="26"/>
        <w:sz w:val="24"/>
        <w:szCs w:val="24"/>
      </w:rPr>
      <w:fldChar w:fldCharType="separate"/>
    </w:r>
    <w:r>
      <w:rPr>
        <w:rStyle w:val="26"/>
        <w:sz w:val="24"/>
        <w:szCs w:val="24"/>
      </w:rPr>
      <w:t>90</w:t>
    </w:r>
    <w:r>
      <w:rPr>
        <w:rStyle w:val="26"/>
        <w:sz w:val="24"/>
        <w:szCs w:val="24"/>
      </w:rPr>
      <w:fldChar w:fldCharType="end"/>
    </w:r>
    <w:r>
      <w:rPr>
        <w:rStyle w:val="26"/>
        <w:rFonts w:hint="eastAsia" w:ascii="宋体" w:hAnsi="宋体"/>
        <w:sz w:val="28"/>
        <w:szCs w:val="28"/>
      </w:rPr>
      <w:t>—</w:t>
    </w:r>
  </w:p>
  <w:p w14:paraId="2FEBBCAF">
    <w:pPr>
      <w:pStyle w:val="16"/>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3CE2C7D"/>
    <w:multiLevelType w:val="singleLevel"/>
    <w:tmpl w:val="E3CE2C7D"/>
    <w:lvl w:ilvl="0" w:tentative="0">
      <w:start w:val="1"/>
      <w:numFmt w:val="decimal"/>
      <w:suff w:val="nothing"/>
      <w:lvlText w:val="%1、"/>
      <w:lvlJc w:val="left"/>
    </w:lvl>
  </w:abstractNum>
  <w:abstractNum w:abstractNumId="1">
    <w:nsid w:val="E4343E0E"/>
    <w:multiLevelType w:val="singleLevel"/>
    <w:tmpl w:val="E4343E0E"/>
    <w:lvl w:ilvl="0" w:tentative="0">
      <w:start w:val="4"/>
      <w:numFmt w:val="decimal"/>
      <w:suff w:val="nothing"/>
      <w:lvlText w:val="（%1）"/>
      <w:lvlJc w:val="left"/>
    </w:lvl>
  </w:abstractNum>
  <w:abstractNum w:abstractNumId="2">
    <w:nsid w:val="F3E67528"/>
    <w:multiLevelType w:val="singleLevel"/>
    <w:tmpl w:val="F3E67528"/>
    <w:lvl w:ilvl="0" w:tentative="0">
      <w:start w:val="4"/>
      <w:numFmt w:val="decimal"/>
      <w:suff w:val="nothing"/>
      <w:lvlText w:val="%1、"/>
      <w:lvlJc w:val="left"/>
    </w:lvl>
  </w:abstractNum>
  <w:abstractNum w:abstractNumId="3">
    <w:nsid w:val="2B99361C"/>
    <w:multiLevelType w:val="multilevel"/>
    <w:tmpl w:val="2B99361C"/>
    <w:lvl w:ilvl="0" w:tentative="0">
      <w:start w:val="1"/>
      <w:numFmt w:val="decimal"/>
      <w:lvlText w:val="表2-%1"/>
      <w:lvlJc w:val="center"/>
      <w:pPr>
        <w:ind w:left="900" w:hanging="420"/>
      </w:pPr>
      <w:rPr>
        <w:rFonts w:hint="default" w:ascii="Times New Roman" w:hAnsi="Times New Roman" w:eastAsia="宋体"/>
        <w:b/>
        <w:i w:val="0"/>
        <w:sz w:val="21"/>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
    <w:nsid w:val="4433F2B8"/>
    <w:multiLevelType w:val="multilevel"/>
    <w:tmpl w:val="4433F2B8"/>
    <w:lvl w:ilvl="0" w:tentative="0">
      <w:start w:val="1"/>
      <w:numFmt w:val="chineseCounting"/>
      <w:suff w:val="nothing"/>
      <w:lvlText w:val="%1、"/>
      <w:lvlJc w:val="left"/>
      <w:pPr>
        <w:ind w:left="0" w:firstLine="0"/>
      </w:pPr>
      <w:rPr>
        <w:rFonts w:hint="eastAsia" w:ascii="黑体" w:hAnsi="黑体" w:eastAsia="黑体" w:cs="黑体"/>
        <w:sz w:val="30"/>
        <w:szCs w:val="30"/>
      </w:rPr>
    </w:lvl>
    <w:lvl w:ilvl="1" w:tentative="0">
      <w:start w:val="1"/>
      <w:numFmt w:val="decimal"/>
      <w:suff w:val="nothing"/>
      <w:lvlText w:val="%2．"/>
      <w:lvlJc w:val="left"/>
      <w:pPr>
        <w:tabs>
          <w:tab w:val="left" w:pos="0"/>
        </w:tabs>
        <w:ind w:left="0" w:firstLine="0"/>
      </w:pPr>
      <w:rPr>
        <w:rFonts w:hint="eastAsia" w:ascii="宋体" w:hAnsi="宋体" w:eastAsia="宋体" w:cs="宋体"/>
        <w:sz w:val="24"/>
      </w:rPr>
    </w:lvl>
    <w:lvl w:ilvl="2" w:tentative="0">
      <w:start w:val="1"/>
      <w:numFmt w:val="decimal"/>
      <w:suff w:val="nothing"/>
      <w:lvlText w:val="（%3）"/>
      <w:lvlJc w:val="left"/>
      <w:pPr>
        <w:tabs>
          <w:tab w:val="left" w:pos="0"/>
        </w:tabs>
        <w:ind w:left="-240" w:firstLine="0"/>
      </w:pPr>
      <w:rPr>
        <w:rFonts w:hint="eastAsia" w:ascii="宋体" w:hAnsi="宋体" w:eastAsia="宋体" w:cs="宋体"/>
      </w:rPr>
    </w:lvl>
    <w:lvl w:ilvl="3" w:tentative="0">
      <w:start w:val="1"/>
      <w:numFmt w:val="decimalEnclosedCircleChinese"/>
      <w:suff w:val="nothing"/>
      <w:lvlText w:val="%4 "/>
      <w:lvlJc w:val="left"/>
      <w:pPr>
        <w:ind w:left="480" w:firstLine="0"/>
      </w:pPr>
      <w:rPr>
        <w:rFonts w:hint="eastAsia" w:ascii="宋体" w:hAnsi="宋体" w:eastAsia="宋体" w:cs="宋体"/>
      </w:rPr>
    </w:lvl>
    <w:lvl w:ilvl="4" w:tentative="0">
      <w:start w:val="1"/>
      <w:numFmt w:val="decimal"/>
      <w:pStyle w:val="8"/>
      <w:suff w:val="nothing"/>
      <w:lvlText w:val="%5）"/>
      <w:lvlJc w:val="left"/>
      <w:pPr>
        <w:ind w:left="480" w:firstLine="0"/>
      </w:pPr>
      <w:rPr>
        <w:rFonts w:hint="eastAsia" w:ascii="宋体" w:hAnsi="宋体" w:eastAsia="宋体" w:cs="宋体"/>
      </w:rPr>
    </w:lvl>
    <w:lvl w:ilvl="5" w:tentative="0">
      <w:start w:val="1"/>
      <w:numFmt w:val="lowerLetter"/>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Roman"/>
      <w:suff w:val="nothing"/>
      <w:lvlText w:val="%8. "/>
      <w:lvlJc w:val="left"/>
      <w:pPr>
        <w:ind w:left="0" w:firstLine="402"/>
      </w:pPr>
      <w:rPr>
        <w:rFonts w:hint="eastAsia"/>
      </w:rPr>
    </w:lvl>
    <w:lvl w:ilvl="8" w:tentative="0">
      <w:start w:val="1"/>
      <w:numFmt w:val="lowerRoman"/>
      <w:suff w:val="nothing"/>
      <w:lvlText w:val="%9）"/>
      <w:lvlJc w:val="left"/>
      <w:pPr>
        <w:ind w:left="0" w:firstLine="402"/>
      </w:pPr>
      <w:rPr>
        <w:rFonts w:hint="eastAsia"/>
      </w:rPr>
    </w:lvl>
  </w:abstractNum>
  <w:abstractNum w:abstractNumId="5">
    <w:nsid w:val="48CC0CE2"/>
    <w:multiLevelType w:val="multilevel"/>
    <w:tmpl w:val="48CC0CE2"/>
    <w:lvl w:ilvl="0" w:tentative="0">
      <w:start w:val="1"/>
      <w:numFmt w:val="decimal"/>
      <w:lvlText w:val="图2-%1"/>
      <w:lvlJc w:val="center"/>
      <w:pPr>
        <w:ind w:left="840" w:hanging="420"/>
      </w:pPr>
      <w:rPr>
        <w:rFonts w:hint="default" w:ascii="Times New Roman" w:hAnsi="Times New Roman" w:eastAsia="宋体"/>
        <w:b/>
        <w:i w:val="0"/>
        <w:w w:val="100"/>
        <w:sz w:val="21"/>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6">
    <w:nsid w:val="4A9460D4"/>
    <w:multiLevelType w:val="multilevel"/>
    <w:tmpl w:val="4A9460D4"/>
    <w:lvl w:ilvl="0" w:tentative="0">
      <w:start w:val="1"/>
      <w:numFmt w:val="decimal"/>
      <w:lvlText w:val="图1-%1"/>
      <w:lvlJc w:val="left"/>
      <w:pPr>
        <w:ind w:left="420" w:hanging="420"/>
      </w:pPr>
      <w:rPr>
        <w:rFonts w:hint="default" w:ascii="Times New Roman" w:hAnsi="Times New Roman" w:eastAsia="宋体"/>
        <w:b/>
        <w:i w:val="0"/>
        <w:sz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58DE0BE5"/>
    <w:multiLevelType w:val="multilevel"/>
    <w:tmpl w:val="58DE0BE5"/>
    <w:lvl w:ilvl="0" w:tentative="0">
      <w:start w:val="1"/>
      <w:numFmt w:val="decimal"/>
      <w:suff w:val="space"/>
      <w:lvlText w:val="%1"/>
      <w:lvlJc w:val="left"/>
      <w:pPr>
        <w:ind w:left="0" w:firstLine="0"/>
      </w:pPr>
      <w:rPr>
        <w:rFonts w:hint="default" w:ascii="宋体" w:hAnsi="宋体" w:eastAsia="宋体" w:cs="宋体"/>
      </w:rPr>
    </w:lvl>
    <w:lvl w:ilvl="1" w:tentative="0">
      <w:start w:val="1"/>
      <w:numFmt w:val="decimal"/>
      <w:suff w:val="space"/>
      <w:lvlText w:val="%1.%2"/>
      <w:lvlJc w:val="left"/>
      <w:pPr>
        <w:tabs>
          <w:tab w:val="left" w:pos="0"/>
        </w:tabs>
        <w:ind w:left="0" w:firstLine="0"/>
      </w:pPr>
      <w:rPr>
        <w:rFonts w:hint="default" w:ascii="宋体" w:hAnsi="宋体" w:eastAsia="宋体" w:cs="宋体"/>
      </w:rPr>
    </w:lvl>
    <w:lvl w:ilvl="2" w:tentative="0">
      <w:start w:val="1"/>
      <w:numFmt w:val="decimal"/>
      <w:isLgl/>
      <w:suff w:val="space"/>
      <w:lvlText w:val="%1.%2.%3"/>
      <w:lvlJc w:val="left"/>
      <w:pPr>
        <w:tabs>
          <w:tab w:val="left" w:pos="420"/>
        </w:tabs>
        <w:ind w:left="0" w:firstLine="0"/>
      </w:pPr>
      <w:rPr>
        <w:rFonts w:hint="default" w:ascii="宋体" w:hAnsi="宋体" w:eastAsia="宋体" w:cs="宋体"/>
      </w:rPr>
    </w:lvl>
    <w:lvl w:ilvl="3" w:tentative="0">
      <w:start w:val="1"/>
      <w:numFmt w:val="decimal"/>
      <w:pStyle w:val="54"/>
      <w:suff w:val="nothing"/>
      <w:lvlText w:val="（%4）"/>
      <w:lvlJc w:val="left"/>
      <w:pPr>
        <w:tabs>
          <w:tab w:val="left" w:pos="420"/>
        </w:tabs>
        <w:ind w:left="850" w:hanging="850"/>
      </w:pPr>
      <w:rPr>
        <w:rFonts w:hint="default" w:ascii="宋体" w:hAnsi="宋体" w:eastAsia="宋体" w:cs="宋体"/>
        <w:lang w:val="en-US"/>
      </w:rPr>
    </w:lvl>
    <w:lvl w:ilvl="4" w:tentative="0">
      <w:start w:val="1"/>
      <w:numFmt w:val="none"/>
      <w:lvlText w:val=""/>
      <w:lvlJc w:val="left"/>
      <w:pPr>
        <w:tabs>
          <w:tab w:val="left" w:pos="420"/>
        </w:tabs>
        <w:ind w:left="991" w:hanging="991"/>
      </w:pPr>
      <w:rPr>
        <w:rFonts w:hint="default" w:ascii="宋体" w:hAnsi="宋体" w:eastAsia="宋体" w:cs="宋体"/>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8">
    <w:nsid w:val="5A0B2FAA"/>
    <w:multiLevelType w:val="multilevel"/>
    <w:tmpl w:val="5A0B2FAA"/>
    <w:lvl w:ilvl="0" w:tentative="0">
      <w:start w:val="1"/>
      <w:numFmt w:val="decimal"/>
      <w:lvlText w:val="表3-%1"/>
      <w:lvlJc w:val="center"/>
      <w:pPr>
        <w:ind w:left="840" w:hanging="420"/>
      </w:pPr>
      <w:rPr>
        <w:rFonts w:hint="default" w:ascii="Times New Roman" w:hAnsi="Times New Roman" w:eastAsia="宋体"/>
        <w:b/>
        <w:i w:val="0"/>
        <w:sz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691752B0"/>
    <w:multiLevelType w:val="multilevel"/>
    <w:tmpl w:val="691752B0"/>
    <w:lvl w:ilvl="0" w:tentative="0">
      <w:start w:val="1"/>
      <w:numFmt w:val="decimal"/>
      <w:lvlText w:val="表4-%1"/>
      <w:lvlJc w:val="center"/>
      <w:pPr>
        <w:ind w:left="900" w:hanging="420"/>
      </w:pPr>
      <w:rPr>
        <w:rFonts w:hint="default" w:ascii="Times New Roman" w:hAnsi="Times New Roman" w:eastAsia="宋体"/>
        <w:b/>
        <w:i w:val="0"/>
        <w:sz w:val="21"/>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0">
    <w:nsid w:val="6DC8709F"/>
    <w:multiLevelType w:val="multilevel"/>
    <w:tmpl w:val="6DC8709F"/>
    <w:lvl w:ilvl="0" w:tentative="0">
      <w:start w:val="1"/>
      <w:numFmt w:val="decimal"/>
      <w:lvlText w:val="图4-%1"/>
      <w:lvlJc w:val="center"/>
      <w:pPr>
        <w:ind w:left="900" w:hanging="420"/>
      </w:pPr>
      <w:rPr>
        <w:rFonts w:hint="default" w:ascii="Times New Roman" w:hAnsi="Times New Roman" w:eastAsia="宋体" w:cs="Times New Roman"/>
        <w:b/>
        <w:i w:val="0"/>
        <w:sz w:val="21"/>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1">
    <w:nsid w:val="71702E45"/>
    <w:multiLevelType w:val="multilevel"/>
    <w:tmpl w:val="71702E45"/>
    <w:lvl w:ilvl="0" w:tentative="0">
      <w:start w:val="1"/>
      <w:numFmt w:val="decimal"/>
      <w:lvlText w:val="表1-%1"/>
      <w:lvlJc w:val="center"/>
      <w:pPr>
        <w:ind w:left="900" w:hanging="420"/>
      </w:pPr>
      <w:rPr>
        <w:rFonts w:hint="default" w:ascii="Times New Roman" w:hAnsi="Times New Roman" w:eastAsia="宋体"/>
        <w:b/>
        <w:i w:val="0"/>
        <w:sz w:val="21"/>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4"/>
  </w:num>
  <w:num w:numId="2">
    <w:abstractNumId w:val="7"/>
  </w:num>
  <w:num w:numId="3">
    <w:abstractNumId w:val="6"/>
  </w:num>
  <w:num w:numId="4">
    <w:abstractNumId w:val="11"/>
  </w:num>
  <w:num w:numId="5">
    <w:abstractNumId w:val="2"/>
  </w:num>
  <w:num w:numId="6">
    <w:abstractNumId w:val="3"/>
  </w:num>
  <w:num w:numId="7">
    <w:abstractNumId w:val="5"/>
  </w:num>
  <w:num w:numId="8">
    <w:abstractNumId w:val="0"/>
  </w:num>
  <w:num w:numId="9">
    <w:abstractNumId w:val="1"/>
  </w:num>
  <w:num w:numId="10">
    <w:abstractNumId w:val="8"/>
  </w:num>
  <w:num w:numId="11">
    <w:abstractNumId w:val="9"/>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c0MDZmYjI1ODZhZmRiNjU0NDRjYjcwMDM2YTFjOWEifQ=="/>
  </w:docVars>
  <w:rsids>
    <w:rsidRoot w:val="00A14947"/>
    <w:rsid w:val="00000378"/>
    <w:rsid w:val="00000719"/>
    <w:rsid w:val="00004836"/>
    <w:rsid w:val="000060B3"/>
    <w:rsid w:val="000065AE"/>
    <w:rsid w:val="0000665E"/>
    <w:rsid w:val="00007F2A"/>
    <w:rsid w:val="000131A5"/>
    <w:rsid w:val="00013A1A"/>
    <w:rsid w:val="00013E81"/>
    <w:rsid w:val="0001411F"/>
    <w:rsid w:val="00014A0A"/>
    <w:rsid w:val="00014CCE"/>
    <w:rsid w:val="00022122"/>
    <w:rsid w:val="00023F1A"/>
    <w:rsid w:val="00024093"/>
    <w:rsid w:val="00025AB6"/>
    <w:rsid w:val="00026093"/>
    <w:rsid w:val="000269D3"/>
    <w:rsid w:val="00027104"/>
    <w:rsid w:val="000312BB"/>
    <w:rsid w:val="00031CF4"/>
    <w:rsid w:val="000327C9"/>
    <w:rsid w:val="00032BA1"/>
    <w:rsid w:val="00033BFC"/>
    <w:rsid w:val="00036899"/>
    <w:rsid w:val="00037080"/>
    <w:rsid w:val="000417AE"/>
    <w:rsid w:val="00041EAA"/>
    <w:rsid w:val="00041EB9"/>
    <w:rsid w:val="0004364B"/>
    <w:rsid w:val="00044864"/>
    <w:rsid w:val="00044ADB"/>
    <w:rsid w:val="00045679"/>
    <w:rsid w:val="00045C45"/>
    <w:rsid w:val="0005052A"/>
    <w:rsid w:val="00051F99"/>
    <w:rsid w:val="0005336A"/>
    <w:rsid w:val="00053AC3"/>
    <w:rsid w:val="00053C90"/>
    <w:rsid w:val="00054701"/>
    <w:rsid w:val="0006147D"/>
    <w:rsid w:val="00061B1F"/>
    <w:rsid w:val="00063067"/>
    <w:rsid w:val="00063DE4"/>
    <w:rsid w:val="0006491E"/>
    <w:rsid w:val="00064AA6"/>
    <w:rsid w:val="00065C50"/>
    <w:rsid w:val="00066D7F"/>
    <w:rsid w:val="000733C4"/>
    <w:rsid w:val="00074783"/>
    <w:rsid w:val="00075DE4"/>
    <w:rsid w:val="00076CE7"/>
    <w:rsid w:val="000773A7"/>
    <w:rsid w:val="00077B93"/>
    <w:rsid w:val="00077C8C"/>
    <w:rsid w:val="0008070B"/>
    <w:rsid w:val="00080BC5"/>
    <w:rsid w:val="000810AC"/>
    <w:rsid w:val="00081A02"/>
    <w:rsid w:val="00082231"/>
    <w:rsid w:val="000839BE"/>
    <w:rsid w:val="0008493E"/>
    <w:rsid w:val="00086161"/>
    <w:rsid w:val="000877EC"/>
    <w:rsid w:val="000908DC"/>
    <w:rsid w:val="000912B1"/>
    <w:rsid w:val="00092D38"/>
    <w:rsid w:val="00092EB9"/>
    <w:rsid w:val="0009377B"/>
    <w:rsid w:val="00093E7B"/>
    <w:rsid w:val="0009481D"/>
    <w:rsid w:val="000948AB"/>
    <w:rsid w:val="000958B3"/>
    <w:rsid w:val="0009743D"/>
    <w:rsid w:val="000975C7"/>
    <w:rsid w:val="00097B12"/>
    <w:rsid w:val="00097D73"/>
    <w:rsid w:val="000A0615"/>
    <w:rsid w:val="000A0812"/>
    <w:rsid w:val="000A0DB0"/>
    <w:rsid w:val="000A0E0C"/>
    <w:rsid w:val="000A1616"/>
    <w:rsid w:val="000A20C9"/>
    <w:rsid w:val="000A41D6"/>
    <w:rsid w:val="000A4908"/>
    <w:rsid w:val="000A566F"/>
    <w:rsid w:val="000A5F7E"/>
    <w:rsid w:val="000A6410"/>
    <w:rsid w:val="000A64CF"/>
    <w:rsid w:val="000A7DD2"/>
    <w:rsid w:val="000B058F"/>
    <w:rsid w:val="000B05D6"/>
    <w:rsid w:val="000B1ACE"/>
    <w:rsid w:val="000B1C69"/>
    <w:rsid w:val="000B2F78"/>
    <w:rsid w:val="000B4467"/>
    <w:rsid w:val="000B4DB9"/>
    <w:rsid w:val="000B5048"/>
    <w:rsid w:val="000B5BE0"/>
    <w:rsid w:val="000B5D77"/>
    <w:rsid w:val="000C09AC"/>
    <w:rsid w:val="000C1382"/>
    <w:rsid w:val="000C3E6B"/>
    <w:rsid w:val="000C4A40"/>
    <w:rsid w:val="000C767F"/>
    <w:rsid w:val="000D0AAD"/>
    <w:rsid w:val="000D102B"/>
    <w:rsid w:val="000D20F2"/>
    <w:rsid w:val="000D30A5"/>
    <w:rsid w:val="000D5A44"/>
    <w:rsid w:val="000E35B9"/>
    <w:rsid w:val="000E3B3F"/>
    <w:rsid w:val="000E3ED2"/>
    <w:rsid w:val="000E440E"/>
    <w:rsid w:val="000E451A"/>
    <w:rsid w:val="000E7652"/>
    <w:rsid w:val="000F0A59"/>
    <w:rsid w:val="000F39D8"/>
    <w:rsid w:val="000F3AB7"/>
    <w:rsid w:val="000F43CA"/>
    <w:rsid w:val="000F4889"/>
    <w:rsid w:val="000F4C20"/>
    <w:rsid w:val="000F5818"/>
    <w:rsid w:val="000F59B3"/>
    <w:rsid w:val="000F5B70"/>
    <w:rsid w:val="000F6A7F"/>
    <w:rsid w:val="000F7290"/>
    <w:rsid w:val="00100028"/>
    <w:rsid w:val="00101E10"/>
    <w:rsid w:val="0010230F"/>
    <w:rsid w:val="00111160"/>
    <w:rsid w:val="00113A4F"/>
    <w:rsid w:val="0011612A"/>
    <w:rsid w:val="00116172"/>
    <w:rsid w:val="001167E3"/>
    <w:rsid w:val="00116BA1"/>
    <w:rsid w:val="00116BB8"/>
    <w:rsid w:val="00117ADB"/>
    <w:rsid w:val="0012090A"/>
    <w:rsid w:val="00121C8E"/>
    <w:rsid w:val="00121E50"/>
    <w:rsid w:val="001222C2"/>
    <w:rsid w:val="00122429"/>
    <w:rsid w:val="00123872"/>
    <w:rsid w:val="00123C32"/>
    <w:rsid w:val="00125E26"/>
    <w:rsid w:val="0013054A"/>
    <w:rsid w:val="00131F42"/>
    <w:rsid w:val="001336D6"/>
    <w:rsid w:val="00133CC5"/>
    <w:rsid w:val="00133D72"/>
    <w:rsid w:val="00133F49"/>
    <w:rsid w:val="001357F1"/>
    <w:rsid w:val="00140075"/>
    <w:rsid w:val="0014073A"/>
    <w:rsid w:val="00140FA8"/>
    <w:rsid w:val="00142FEB"/>
    <w:rsid w:val="00143A2D"/>
    <w:rsid w:val="00144B06"/>
    <w:rsid w:val="00145A41"/>
    <w:rsid w:val="00146F0B"/>
    <w:rsid w:val="001479CA"/>
    <w:rsid w:val="001504C8"/>
    <w:rsid w:val="00151675"/>
    <w:rsid w:val="0015266C"/>
    <w:rsid w:val="00155B3E"/>
    <w:rsid w:val="00155E69"/>
    <w:rsid w:val="00157435"/>
    <w:rsid w:val="00157F3A"/>
    <w:rsid w:val="00160E23"/>
    <w:rsid w:val="00161564"/>
    <w:rsid w:val="0016189B"/>
    <w:rsid w:val="00162558"/>
    <w:rsid w:val="00163890"/>
    <w:rsid w:val="00163A11"/>
    <w:rsid w:val="00164696"/>
    <w:rsid w:val="001650EC"/>
    <w:rsid w:val="00167F72"/>
    <w:rsid w:val="00167F8D"/>
    <w:rsid w:val="00172409"/>
    <w:rsid w:val="00172CBD"/>
    <w:rsid w:val="00173E8A"/>
    <w:rsid w:val="001746CE"/>
    <w:rsid w:val="00174C25"/>
    <w:rsid w:val="0017504D"/>
    <w:rsid w:val="0017671A"/>
    <w:rsid w:val="00177422"/>
    <w:rsid w:val="00180AFD"/>
    <w:rsid w:val="00181D1F"/>
    <w:rsid w:val="001823FA"/>
    <w:rsid w:val="0018295C"/>
    <w:rsid w:val="00184590"/>
    <w:rsid w:val="0018501B"/>
    <w:rsid w:val="00185201"/>
    <w:rsid w:val="0018579B"/>
    <w:rsid w:val="001861BC"/>
    <w:rsid w:val="001870D1"/>
    <w:rsid w:val="0018781E"/>
    <w:rsid w:val="0019262D"/>
    <w:rsid w:val="001946C8"/>
    <w:rsid w:val="00195FFB"/>
    <w:rsid w:val="0019712C"/>
    <w:rsid w:val="001A107D"/>
    <w:rsid w:val="001A11EA"/>
    <w:rsid w:val="001A135D"/>
    <w:rsid w:val="001A1B35"/>
    <w:rsid w:val="001A1BAB"/>
    <w:rsid w:val="001A24E5"/>
    <w:rsid w:val="001A2904"/>
    <w:rsid w:val="001A30AF"/>
    <w:rsid w:val="001A3258"/>
    <w:rsid w:val="001A3503"/>
    <w:rsid w:val="001A48A2"/>
    <w:rsid w:val="001A51E2"/>
    <w:rsid w:val="001A6E8D"/>
    <w:rsid w:val="001A6F61"/>
    <w:rsid w:val="001B3EEF"/>
    <w:rsid w:val="001B42AA"/>
    <w:rsid w:val="001B58FB"/>
    <w:rsid w:val="001B72B8"/>
    <w:rsid w:val="001C1EDB"/>
    <w:rsid w:val="001C280A"/>
    <w:rsid w:val="001C4BD8"/>
    <w:rsid w:val="001C56E8"/>
    <w:rsid w:val="001C641F"/>
    <w:rsid w:val="001C69B3"/>
    <w:rsid w:val="001C7214"/>
    <w:rsid w:val="001C76AF"/>
    <w:rsid w:val="001D0F5D"/>
    <w:rsid w:val="001D1176"/>
    <w:rsid w:val="001D37AE"/>
    <w:rsid w:val="001D4EAE"/>
    <w:rsid w:val="001D4EC4"/>
    <w:rsid w:val="001D4EDB"/>
    <w:rsid w:val="001D52D9"/>
    <w:rsid w:val="001D5595"/>
    <w:rsid w:val="001D5C98"/>
    <w:rsid w:val="001D6B43"/>
    <w:rsid w:val="001D7874"/>
    <w:rsid w:val="001D7F22"/>
    <w:rsid w:val="001E0267"/>
    <w:rsid w:val="001E0FB6"/>
    <w:rsid w:val="001E31D0"/>
    <w:rsid w:val="001E766F"/>
    <w:rsid w:val="001F0F17"/>
    <w:rsid w:val="001F3347"/>
    <w:rsid w:val="001F49DA"/>
    <w:rsid w:val="001F69E4"/>
    <w:rsid w:val="001F7A67"/>
    <w:rsid w:val="00200AB4"/>
    <w:rsid w:val="00203042"/>
    <w:rsid w:val="00203C05"/>
    <w:rsid w:val="0020516F"/>
    <w:rsid w:val="002051C0"/>
    <w:rsid w:val="002059B8"/>
    <w:rsid w:val="00206482"/>
    <w:rsid w:val="0021000A"/>
    <w:rsid w:val="0021239B"/>
    <w:rsid w:val="002125B4"/>
    <w:rsid w:val="0021391E"/>
    <w:rsid w:val="00214222"/>
    <w:rsid w:val="00214E72"/>
    <w:rsid w:val="002155B8"/>
    <w:rsid w:val="00220DB0"/>
    <w:rsid w:val="002220CF"/>
    <w:rsid w:val="00223E68"/>
    <w:rsid w:val="00224839"/>
    <w:rsid w:val="002249B2"/>
    <w:rsid w:val="00226574"/>
    <w:rsid w:val="00226B77"/>
    <w:rsid w:val="002278EC"/>
    <w:rsid w:val="00230F1C"/>
    <w:rsid w:val="00231AD5"/>
    <w:rsid w:val="0023280E"/>
    <w:rsid w:val="0023513B"/>
    <w:rsid w:val="002363CC"/>
    <w:rsid w:val="0023685F"/>
    <w:rsid w:val="002377D1"/>
    <w:rsid w:val="00241821"/>
    <w:rsid w:val="00243D73"/>
    <w:rsid w:val="002451BC"/>
    <w:rsid w:val="0024529B"/>
    <w:rsid w:val="00245F92"/>
    <w:rsid w:val="002506BC"/>
    <w:rsid w:val="00252E8E"/>
    <w:rsid w:val="0025320B"/>
    <w:rsid w:val="00253757"/>
    <w:rsid w:val="00254345"/>
    <w:rsid w:val="002556FB"/>
    <w:rsid w:val="00257C9F"/>
    <w:rsid w:val="00261B44"/>
    <w:rsid w:val="00261C79"/>
    <w:rsid w:val="002635FF"/>
    <w:rsid w:val="00264557"/>
    <w:rsid w:val="002658D4"/>
    <w:rsid w:val="00267F55"/>
    <w:rsid w:val="00267F87"/>
    <w:rsid w:val="00270268"/>
    <w:rsid w:val="0027081A"/>
    <w:rsid w:val="00270C4A"/>
    <w:rsid w:val="00270F81"/>
    <w:rsid w:val="002717A5"/>
    <w:rsid w:val="00271CA9"/>
    <w:rsid w:val="00275546"/>
    <w:rsid w:val="00275D1E"/>
    <w:rsid w:val="00277330"/>
    <w:rsid w:val="00277962"/>
    <w:rsid w:val="002805AB"/>
    <w:rsid w:val="0028085B"/>
    <w:rsid w:val="00284204"/>
    <w:rsid w:val="00285C64"/>
    <w:rsid w:val="00286323"/>
    <w:rsid w:val="0028640C"/>
    <w:rsid w:val="002902ED"/>
    <w:rsid w:val="00290FF1"/>
    <w:rsid w:val="0029159F"/>
    <w:rsid w:val="00291773"/>
    <w:rsid w:val="00291C41"/>
    <w:rsid w:val="00292977"/>
    <w:rsid w:val="00292C6F"/>
    <w:rsid w:val="0029334D"/>
    <w:rsid w:val="00294AAB"/>
    <w:rsid w:val="0029730A"/>
    <w:rsid w:val="00297409"/>
    <w:rsid w:val="002978EA"/>
    <w:rsid w:val="00297C6E"/>
    <w:rsid w:val="002A0C9B"/>
    <w:rsid w:val="002A168C"/>
    <w:rsid w:val="002A3DC7"/>
    <w:rsid w:val="002A449C"/>
    <w:rsid w:val="002A4955"/>
    <w:rsid w:val="002A52B9"/>
    <w:rsid w:val="002B03D2"/>
    <w:rsid w:val="002B1275"/>
    <w:rsid w:val="002B155F"/>
    <w:rsid w:val="002B1E28"/>
    <w:rsid w:val="002B3205"/>
    <w:rsid w:val="002B3B29"/>
    <w:rsid w:val="002B49E2"/>
    <w:rsid w:val="002B65BE"/>
    <w:rsid w:val="002B6DD3"/>
    <w:rsid w:val="002B6E76"/>
    <w:rsid w:val="002B729B"/>
    <w:rsid w:val="002B7B00"/>
    <w:rsid w:val="002B7C44"/>
    <w:rsid w:val="002C0611"/>
    <w:rsid w:val="002C187F"/>
    <w:rsid w:val="002C1B8D"/>
    <w:rsid w:val="002C1FD2"/>
    <w:rsid w:val="002C2115"/>
    <w:rsid w:val="002C2215"/>
    <w:rsid w:val="002C2B17"/>
    <w:rsid w:val="002C3A6C"/>
    <w:rsid w:val="002C4222"/>
    <w:rsid w:val="002C567F"/>
    <w:rsid w:val="002C6CE9"/>
    <w:rsid w:val="002C6D9D"/>
    <w:rsid w:val="002D03DE"/>
    <w:rsid w:val="002D15DA"/>
    <w:rsid w:val="002D1AE8"/>
    <w:rsid w:val="002D1ED0"/>
    <w:rsid w:val="002D261D"/>
    <w:rsid w:val="002D2BD7"/>
    <w:rsid w:val="002D3DD0"/>
    <w:rsid w:val="002D3FD7"/>
    <w:rsid w:val="002D4954"/>
    <w:rsid w:val="002D5A0B"/>
    <w:rsid w:val="002E12D4"/>
    <w:rsid w:val="002E1F3A"/>
    <w:rsid w:val="002E298A"/>
    <w:rsid w:val="002E3419"/>
    <w:rsid w:val="002E3C35"/>
    <w:rsid w:val="002E4C2E"/>
    <w:rsid w:val="002E7DC5"/>
    <w:rsid w:val="002F1957"/>
    <w:rsid w:val="002F27B9"/>
    <w:rsid w:val="002F4C7B"/>
    <w:rsid w:val="002F521E"/>
    <w:rsid w:val="002F5EC1"/>
    <w:rsid w:val="002F699B"/>
    <w:rsid w:val="002F713A"/>
    <w:rsid w:val="0030028F"/>
    <w:rsid w:val="00301978"/>
    <w:rsid w:val="003019B5"/>
    <w:rsid w:val="00302EE5"/>
    <w:rsid w:val="0030332C"/>
    <w:rsid w:val="003051C2"/>
    <w:rsid w:val="00305B54"/>
    <w:rsid w:val="003066C1"/>
    <w:rsid w:val="0031024B"/>
    <w:rsid w:val="00311527"/>
    <w:rsid w:val="00311CA6"/>
    <w:rsid w:val="00312296"/>
    <w:rsid w:val="0031300E"/>
    <w:rsid w:val="00313B42"/>
    <w:rsid w:val="00313D3C"/>
    <w:rsid w:val="00314782"/>
    <w:rsid w:val="00314DFF"/>
    <w:rsid w:val="00314F0E"/>
    <w:rsid w:val="00316FC1"/>
    <w:rsid w:val="003170C5"/>
    <w:rsid w:val="00317CED"/>
    <w:rsid w:val="00320B08"/>
    <w:rsid w:val="00321D8E"/>
    <w:rsid w:val="00324374"/>
    <w:rsid w:val="003247F8"/>
    <w:rsid w:val="003249AA"/>
    <w:rsid w:val="00324D50"/>
    <w:rsid w:val="00325928"/>
    <w:rsid w:val="00327782"/>
    <w:rsid w:val="00331EF4"/>
    <w:rsid w:val="00332863"/>
    <w:rsid w:val="003337CC"/>
    <w:rsid w:val="00333E23"/>
    <w:rsid w:val="00334DA3"/>
    <w:rsid w:val="00335105"/>
    <w:rsid w:val="0033684D"/>
    <w:rsid w:val="00337B42"/>
    <w:rsid w:val="00337D4A"/>
    <w:rsid w:val="003405F5"/>
    <w:rsid w:val="00340E01"/>
    <w:rsid w:val="00341B42"/>
    <w:rsid w:val="0034348F"/>
    <w:rsid w:val="003434AB"/>
    <w:rsid w:val="00343522"/>
    <w:rsid w:val="0034423E"/>
    <w:rsid w:val="00345557"/>
    <w:rsid w:val="00352D36"/>
    <w:rsid w:val="00354FB0"/>
    <w:rsid w:val="003550AC"/>
    <w:rsid w:val="00355348"/>
    <w:rsid w:val="00356653"/>
    <w:rsid w:val="0035743F"/>
    <w:rsid w:val="00357552"/>
    <w:rsid w:val="00357BE2"/>
    <w:rsid w:val="00357D79"/>
    <w:rsid w:val="0036170C"/>
    <w:rsid w:val="0036191C"/>
    <w:rsid w:val="00366E0F"/>
    <w:rsid w:val="0036722A"/>
    <w:rsid w:val="00367BA7"/>
    <w:rsid w:val="00372620"/>
    <w:rsid w:val="00373E11"/>
    <w:rsid w:val="00374F13"/>
    <w:rsid w:val="00375751"/>
    <w:rsid w:val="00381A72"/>
    <w:rsid w:val="0038228A"/>
    <w:rsid w:val="00384676"/>
    <w:rsid w:val="00385526"/>
    <w:rsid w:val="003871C0"/>
    <w:rsid w:val="00387CC9"/>
    <w:rsid w:val="00387F00"/>
    <w:rsid w:val="00390857"/>
    <w:rsid w:val="00391C4C"/>
    <w:rsid w:val="00392742"/>
    <w:rsid w:val="00393028"/>
    <w:rsid w:val="00393CA3"/>
    <w:rsid w:val="0039411F"/>
    <w:rsid w:val="00394B7B"/>
    <w:rsid w:val="003A4BF3"/>
    <w:rsid w:val="003A551A"/>
    <w:rsid w:val="003A5902"/>
    <w:rsid w:val="003A60E7"/>
    <w:rsid w:val="003A69DD"/>
    <w:rsid w:val="003A6E81"/>
    <w:rsid w:val="003A74BF"/>
    <w:rsid w:val="003B36A4"/>
    <w:rsid w:val="003B415E"/>
    <w:rsid w:val="003B420D"/>
    <w:rsid w:val="003B69FA"/>
    <w:rsid w:val="003B6A22"/>
    <w:rsid w:val="003C13B5"/>
    <w:rsid w:val="003C30B1"/>
    <w:rsid w:val="003C6C16"/>
    <w:rsid w:val="003C74EB"/>
    <w:rsid w:val="003D0D8C"/>
    <w:rsid w:val="003D3D77"/>
    <w:rsid w:val="003D4285"/>
    <w:rsid w:val="003D593C"/>
    <w:rsid w:val="003D5F19"/>
    <w:rsid w:val="003D5F1B"/>
    <w:rsid w:val="003D65BF"/>
    <w:rsid w:val="003D794D"/>
    <w:rsid w:val="003D7F01"/>
    <w:rsid w:val="003E0303"/>
    <w:rsid w:val="003E0748"/>
    <w:rsid w:val="003E2239"/>
    <w:rsid w:val="003E2EBC"/>
    <w:rsid w:val="003E3058"/>
    <w:rsid w:val="003E30B6"/>
    <w:rsid w:val="003E3220"/>
    <w:rsid w:val="003E3FE1"/>
    <w:rsid w:val="003E4DAB"/>
    <w:rsid w:val="003E62CA"/>
    <w:rsid w:val="003E70DE"/>
    <w:rsid w:val="003E76A9"/>
    <w:rsid w:val="003E76C8"/>
    <w:rsid w:val="003E7F89"/>
    <w:rsid w:val="003F0809"/>
    <w:rsid w:val="003F3F1A"/>
    <w:rsid w:val="003F41C2"/>
    <w:rsid w:val="003F4B0D"/>
    <w:rsid w:val="003F6A8C"/>
    <w:rsid w:val="003F6C02"/>
    <w:rsid w:val="003F6F9B"/>
    <w:rsid w:val="003F755C"/>
    <w:rsid w:val="003F7774"/>
    <w:rsid w:val="003F77ED"/>
    <w:rsid w:val="00402C42"/>
    <w:rsid w:val="0040572F"/>
    <w:rsid w:val="00406F01"/>
    <w:rsid w:val="00410CA8"/>
    <w:rsid w:val="00411807"/>
    <w:rsid w:val="004122BA"/>
    <w:rsid w:val="00413049"/>
    <w:rsid w:val="00416B7F"/>
    <w:rsid w:val="00416D50"/>
    <w:rsid w:val="00416FD5"/>
    <w:rsid w:val="00417772"/>
    <w:rsid w:val="00420BB7"/>
    <w:rsid w:val="00420E6A"/>
    <w:rsid w:val="004235BB"/>
    <w:rsid w:val="0042363D"/>
    <w:rsid w:val="004239EB"/>
    <w:rsid w:val="00423E9A"/>
    <w:rsid w:val="00425A9E"/>
    <w:rsid w:val="00426095"/>
    <w:rsid w:val="0042628B"/>
    <w:rsid w:val="00426D6B"/>
    <w:rsid w:val="00431E6C"/>
    <w:rsid w:val="00433CE7"/>
    <w:rsid w:val="0043433E"/>
    <w:rsid w:val="00436BB9"/>
    <w:rsid w:val="00436E99"/>
    <w:rsid w:val="0043720F"/>
    <w:rsid w:val="0043741B"/>
    <w:rsid w:val="004375F5"/>
    <w:rsid w:val="00437830"/>
    <w:rsid w:val="00437E71"/>
    <w:rsid w:val="00441E67"/>
    <w:rsid w:val="0044227D"/>
    <w:rsid w:val="00442D96"/>
    <w:rsid w:val="004457AA"/>
    <w:rsid w:val="0044788F"/>
    <w:rsid w:val="00452738"/>
    <w:rsid w:val="00452BCF"/>
    <w:rsid w:val="00454DFF"/>
    <w:rsid w:val="00456091"/>
    <w:rsid w:val="00457107"/>
    <w:rsid w:val="00460517"/>
    <w:rsid w:val="00462D34"/>
    <w:rsid w:val="00464609"/>
    <w:rsid w:val="00465F2E"/>
    <w:rsid w:val="004661BD"/>
    <w:rsid w:val="00466321"/>
    <w:rsid w:val="004671AD"/>
    <w:rsid w:val="004673D9"/>
    <w:rsid w:val="00470CDD"/>
    <w:rsid w:val="00470D74"/>
    <w:rsid w:val="0047197C"/>
    <w:rsid w:val="00472E00"/>
    <w:rsid w:val="00474244"/>
    <w:rsid w:val="00474C91"/>
    <w:rsid w:val="004757DF"/>
    <w:rsid w:val="00476E94"/>
    <w:rsid w:val="00477731"/>
    <w:rsid w:val="0048120D"/>
    <w:rsid w:val="0048485C"/>
    <w:rsid w:val="00484B9B"/>
    <w:rsid w:val="004855E7"/>
    <w:rsid w:val="004855F6"/>
    <w:rsid w:val="00485A21"/>
    <w:rsid w:val="0048661E"/>
    <w:rsid w:val="00486B06"/>
    <w:rsid w:val="00487334"/>
    <w:rsid w:val="0048783C"/>
    <w:rsid w:val="0049038F"/>
    <w:rsid w:val="00493794"/>
    <w:rsid w:val="00494670"/>
    <w:rsid w:val="0049584D"/>
    <w:rsid w:val="00496CF3"/>
    <w:rsid w:val="00497F92"/>
    <w:rsid w:val="004A144E"/>
    <w:rsid w:val="004A1680"/>
    <w:rsid w:val="004A3182"/>
    <w:rsid w:val="004A3823"/>
    <w:rsid w:val="004A385D"/>
    <w:rsid w:val="004B0C40"/>
    <w:rsid w:val="004B1783"/>
    <w:rsid w:val="004B2361"/>
    <w:rsid w:val="004B2976"/>
    <w:rsid w:val="004B51BD"/>
    <w:rsid w:val="004B594D"/>
    <w:rsid w:val="004B72E7"/>
    <w:rsid w:val="004C0F1B"/>
    <w:rsid w:val="004C13AA"/>
    <w:rsid w:val="004C364B"/>
    <w:rsid w:val="004C7976"/>
    <w:rsid w:val="004D043B"/>
    <w:rsid w:val="004D0616"/>
    <w:rsid w:val="004D1AFC"/>
    <w:rsid w:val="004D35BD"/>
    <w:rsid w:val="004D465A"/>
    <w:rsid w:val="004D7514"/>
    <w:rsid w:val="004D7C2D"/>
    <w:rsid w:val="004E0455"/>
    <w:rsid w:val="004E1B97"/>
    <w:rsid w:val="004E3476"/>
    <w:rsid w:val="004E3EA5"/>
    <w:rsid w:val="004E6946"/>
    <w:rsid w:val="004F0FB5"/>
    <w:rsid w:val="004F151A"/>
    <w:rsid w:val="004F19F3"/>
    <w:rsid w:val="004F1AD8"/>
    <w:rsid w:val="004F654D"/>
    <w:rsid w:val="004F75D8"/>
    <w:rsid w:val="004F7E70"/>
    <w:rsid w:val="00500998"/>
    <w:rsid w:val="005039CB"/>
    <w:rsid w:val="00504A44"/>
    <w:rsid w:val="0050558F"/>
    <w:rsid w:val="00506286"/>
    <w:rsid w:val="005065B3"/>
    <w:rsid w:val="00507EF8"/>
    <w:rsid w:val="00510758"/>
    <w:rsid w:val="00510813"/>
    <w:rsid w:val="005117A0"/>
    <w:rsid w:val="005118ED"/>
    <w:rsid w:val="00511990"/>
    <w:rsid w:val="00511DE0"/>
    <w:rsid w:val="00512ABD"/>
    <w:rsid w:val="005130B8"/>
    <w:rsid w:val="00514870"/>
    <w:rsid w:val="00514B9B"/>
    <w:rsid w:val="00516114"/>
    <w:rsid w:val="00516311"/>
    <w:rsid w:val="00516A22"/>
    <w:rsid w:val="00517F02"/>
    <w:rsid w:val="00521B45"/>
    <w:rsid w:val="00521F36"/>
    <w:rsid w:val="005227A5"/>
    <w:rsid w:val="00524303"/>
    <w:rsid w:val="005258A2"/>
    <w:rsid w:val="00530839"/>
    <w:rsid w:val="00530E31"/>
    <w:rsid w:val="00533FA7"/>
    <w:rsid w:val="00535CF0"/>
    <w:rsid w:val="00536303"/>
    <w:rsid w:val="005401AE"/>
    <w:rsid w:val="00540932"/>
    <w:rsid w:val="005416BF"/>
    <w:rsid w:val="00541E7F"/>
    <w:rsid w:val="0054243C"/>
    <w:rsid w:val="0054257A"/>
    <w:rsid w:val="00542E07"/>
    <w:rsid w:val="00542E41"/>
    <w:rsid w:val="0054348A"/>
    <w:rsid w:val="005437AC"/>
    <w:rsid w:val="005438A5"/>
    <w:rsid w:val="00543FEF"/>
    <w:rsid w:val="0054485F"/>
    <w:rsid w:val="00545424"/>
    <w:rsid w:val="00546938"/>
    <w:rsid w:val="005502AD"/>
    <w:rsid w:val="00551A4A"/>
    <w:rsid w:val="00552E2E"/>
    <w:rsid w:val="00553E85"/>
    <w:rsid w:val="005549EA"/>
    <w:rsid w:val="00554A7B"/>
    <w:rsid w:val="005550D9"/>
    <w:rsid w:val="0055572C"/>
    <w:rsid w:val="00555DDA"/>
    <w:rsid w:val="00557A2B"/>
    <w:rsid w:val="00560F67"/>
    <w:rsid w:val="0056106A"/>
    <w:rsid w:val="00562F6A"/>
    <w:rsid w:val="00564AC2"/>
    <w:rsid w:val="0056606E"/>
    <w:rsid w:val="00566D8E"/>
    <w:rsid w:val="00567F1E"/>
    <w:rsid w:val="005720AE"/>
    <w:rsid w:val="0057250E"/>
    <w:rsid w:val="00572AAA"/>
    <w:rsid w:val="00572B21"/>
    <w:rsid w:val="0057309E"/>
    <w:rsid w:val="0057333B"/>
    <w:rsid w:val="00573DE3"/>
    <w:rsid w:val="00574C6A"/>
    <w:rsid w:val="00576313"/>
    <w:rsid w:val="00576E75"/>
    <w:rsid w:val="0057722D"/>
    <w:rsid w:val="00582B4D"/>
    <w:rsid w:val="00582FEF"/>
    <w:rsid w:val="005836FD"/>
    <w:rsid w:val="00585D75"/>
    <w:rsid w:val="00592AB8"/>
    <w:rsid w:val="005930BC"/>
    <w:rsid w:val="00593894"/>
    <w:rsid w:val="00594D77"/>
    <w:rsid w:val="00595F64"/>
    <w:rsid w:val="005969E4"/>
    <w:rsid w:val="00596BE2"/>
    <w:rsid w:val="00597D1B"/>
    <w:rsid w:val="005A06B7"/>
    <w:rsid w:val="005A1759"/>
    <w:rsid w:val="005A2FD5"/>
    <w:rsid w:val="005A3479"/>
    <w:rsid w:val="005A392F"/>
    <w:rsid w:val="005A3D0C"/>
    <w:rsid w:val="005A68A7"/>
    <w:rsid w:val="005A7EDF"/>
    <w:rsid w:val="005B2062"/>
    <w:rsid w:val="005B2CE8"/>
    <w:rsid w:val="005B49E1"/>
    <w:rsid w:val="005B531A"/>
    <w:rsid w:val="005B667B"/>
    <w:rsid w:val="005B7C0B"/>
    <w:rsid w:val="005C134D"/>
    <w:rsid w:val="005C29D3"/>
    <w:rsid w:val="005C2B17"/>
    <w:rsid w:val="005C2DDE"/>
    <w:rsid w:val="005C52A0"/>
    <w:rsid w:val="005C6182"/>
    <w:rsid w:val="005C72F3"/>
    <w:rsid w:val="005D05D6"/>
    <w:rsid w:val="005D1BEF"/>
    <w:rsid w:val="005D2820"/>
    <w:rsid w:val="005D340B"/>
    <w:rsid w:val="005D36AB"/>
    <w:rsid w:val="005D3D00"/>
    <w:rsid w:val="005D4DD2"/>
    <w:rsid w:val="005E056E"/>
    <w:rsid w:val="005E34DD"/>
    <w:rsid w:val="005E50E3"/>
    <w:rsid w:val="005E7A37"/>
    <w:rsid w:val="005F2BFB"/>
    <w:rsid w:val="005F41ED"/>
    <w:rsid w:val="005F4868"/>
    <w:rsid w:val="005F4E76"/>
    <w:rsid w:val="005F696E"/>
    <w:rsid w:val="005F6B5E"/>
    <w:rsid w:val="005F7881"/>
    <w:rsid w:val="00602096"/>
    <w:rsid w:val="00602708"/>
    <w:rsid w:val="00605660"/>
    <w:rsid w:val="00610F75"/>
    <w:rsid w:val="006123A4"/>
    <w:rsid w:val="00614852"/>
    <w:rsid w:val="00616572"/>
    <w:rsid w:val="00616D40"/>
    <w:rsid w:val="00616FE6"/>
    <w:rsid w:val="006179E9"/>
    <w:rsid w:val="00617CC3"/>
    <w:rsid w:val="006237C5"/>
    <w:rsid w:val="006249CD"/>
    <w:rsid w:val="00624E8E"/>
    <w:rsid w:val="0062618E"/>
    <w:rsid w:val="006267E4"/>
    <w:rsid w:val="00630466"/>
    <w:rsid w:val="00630B2E"/>
    <w:rsid w:val="00632E93"/>
    <w:rsid w:val="00635545"/>
    <w:rsid w:val="006363DD"/>
    <w:rsid w:val="00636672"/>
    <w:rsid w:val="00636BF9"/>
    <w:rsid w:val="006377A6"/>
    <w:rsid w:val="00637A3D"/>
    <w:rsid w:val="006400DF"/>
    <w:rsid w:val="006411EF"/>
    <w:rsid w:val="006412A2"/>
    <w:rsid w:val="00641EF3"/>
    <w:rsid w:val="00642A2B"/>
    <w:rsid w:val="00642B39"/>
    <w:rsid w:val="006438EF"/>
    <w:rsid w:val="006450CF"/>
    <w:rsid w:val="006460F7"/>
    <w:rsid w:val="006462B2"/>
    <w:rsid w:val="00647B2C"/>
    <w:rsid w:val="00647DDD"/>
    <w:rsid w:val="00650C54"/>
    <w:rsid w:val="00651003"/>
    <w:rsid w:val="006523D8"/>
    <w:rsid w:val="006527EB"/>
    <w:rsid w:val="00653ED7"/>
    <w:rsid w:val="0065582F"/>
    <w:rsid w:val="0065609E"/>
    <w:rsid w:val="00660FAE"/>
    <w:rsid w:val="006646AE"/>
    <w:rsid w:val="0066554A"/>
    <w:rsid w:val="0066616D"/>
    <w:rsid w:val="006669C8"/>
    <w:rsid w:val="00667EA4"/>
    <w:rsid w:val="00671880"/>
    <w:rsid w:val="00671FD0"/>
    <w:rsid w:val="006726A6"/>
    <w:rsid w:val="006748B8"/>
    <w:rsid w:val="0067576C"/>
    <w:rsid w:val="006775C3"/>
    <w:rsid w:val="006775C9"/>
    <w:rsid w:val="00677CB8"/>
    <w:rsid w:val="0068158A"/>
    <w:rsid w:val="006818EF"/>
    <w:rsid w:val="00681C24"/>
    <w:rsid w:val="0068496B"/>
    <w:rsid w:val="006858B6"/>
    <w:rsid w:val="00687021"/>
    <w:rsid w:val="00687D68"/>
    <w:rsid w:val="0069062B"/>
    <w:rsid w:val="0069290A"/>
    <w:rsid w:val="0069362F"/>
    <w:rsid w:val="00695A37"/>
    <w:rsid w:val="00696298"/>
    <w:rsid w:val="0069775A"/>
    <w:rsid w:val="00697813"/>
    <w:rsid w:val="006A06D6"/>
    <w:rsid w:val="006A0EB6"/>
    <w:rsid w:val="006A3BE2"/>
    <w:rsid w:val="006A3BF7"/>
    <w:rsid w:val="006A3EE8"/>
    <w:rsid w:val="006A54BF"/>
    <w:rsid w:val="006A59DD"/>
    <w:rsid w:val="006A72BF"/>
    <w:rsid w:val="006A7686"/>
    <w:rsid w:val="006B03F2"/>
    <w:rsid w:val="006B0B3E"/>
    <w:rsid w:val="006B185C"/>
    <w:rsid w:val="006B1D93"/>
    <w:rsid w:val="006B2D65"/>
    <w:rsid w:val="006B37DC"/>
    <w:rsid w:val="006B4271"/>
    <w:rsid w:val="006B4916"/>
    <w:rsid w:val="006B4C96"/>
    <w:rsid w:val="006B4CC1"/>
    <w:rsid w:val="006B4F68"/>
    <w:rsid w:val="006B69D4"/>
    <w:rsid w:val="006B6E8B"/>
    <w:rsid w:val="006C0592"/>
    <w:rsid w:val="006C0A12"/>
    <w:rsid w:val="006C0A25"/>
    <w:rsid w:val="006C0EC5"/>
    <w:rsid w:val="006C272E"/>
    <w:rsid w:val="006C2F3A"/>
    <w:rsid w:val="006C5479"/>
    <w:rsid w:val="006C69F8"/>
    <w:rsid w:val="006D13B5"/>
    <w:rsid w:val="006D4092"/>
    <w:rsid w:val="006D4515"/>
    <w:rsid w:val="006D4682"/>
    <w:rsid w:val="006E0FED"/>
    <w:rsid w:val="006E12FF"/>
    <w:rsid w:val="006E213B"/>
    <w:rsid w:val="006E39F6"/>
    <w:rsid w:val="006E3BD3"/>
    <w:rsid w:val="006E4909"/>
    <w:rsid w:val="006E607E"/>
    <w:rsid w:val="006E7EEB"/>
    <w:rsid w:val="006E7FA6"/>
    <w:rsid w:val="006E7FB5"/>
    <w:rsid w:val="006F114A"/>
    <w:rsid w:val="006F5C5E"/>
    <w:rsid w:val="006F5C7A"/>
    <w:rsid w:val="006F5D6D"/>
    <w:rsid w:val="006F6194"/>
    <w:rsid w:val="006F7201"/>
    <w:rsid w:val="00700856"/>
    <w:rsid w:val="00701DBE"/>
    <w:rsid w:val="00703027"/>
    <w:rsid w:val="00704FF0"/>
    <w:rsid w:val="0070604A"/>
    <w:rsid w:val="0070674F"/>
    <w:rsid w:val="00706C5D"/>
    <w:rsid w:val="00706CE5"/>
    <w:rsid w:val="007101A2"/>
    <w:rsid w:val="0071100A"/>
    <w:rsid w:val="00712530"/>
    <w:rsid w:val="00712830"/>
    <w:rsid w:val="00714082"/>
    <w:rsid w:val="00714D45"/>
    <w:rsid w:val="0071518A"/>
    <w:rsid w:val="00715473"/>
    <w:rsid w:val="00715CA9"/>
    <w:rsid w:val="00715DC7"/>
    <w:rsid w:val="0071690B"/>
    <w:rsid w:val="00716916"/>
    <w:rsid w:val="00723ABA"/>
    <w:rsid w:val="00724122"/>
    <w:rsid w:val="00726960"/>
    <w:rsid w:val="007272BF"/>
    <w:rsid w:val="00727B14"/>
    <w:rsid w:val="00727C88"/>
    <w:rsid w:val="007300BD"/>
    <w:rsid w:val="00732019"/>
    <w:rsid w:val="00732922"/>
    <w:rsid w:val="007354A7"/>
    <w:rsid w:val="0073780B"/>
    <w:rsid w:val="007439A5"/>
    <w:rsid w:val="007451EF"/>
    <w:rsid w:val="0075162E"/>
    <w:rsid w:val="00753A60"/>
    <w:rsid w:val="00754034"/>
    <w:rsid w:val="00755D8D"/>
    <w:rsid w:val="007564B8"/>
    <w:rsid w:val="00756556"/>
    <w:rsid w:val="00760147"/>
    <w:rsid w:val="007618C4"/>
    <w:rsid w:val="00761B4E"/>
    <w:rsid w:val="00762565"/>
    <w:rsid w:val="00765434"/>
    <w:rsid w:val="00765B06"/>
    <w:rsid w:val="00767257"/>
    <w:rsid w:val="00767980"/>
    <w:rsid w:val="00770503"/>
    <w:rsid w:val="00770B19"/>
    <w:rsid w:val="007718AA"/>
    <w:rsid w:val="0077273F"/>
    <w:rsid w:val="0077463F"/>
    <w:rsid w:val="00774AD9"/>
    <w:rsid w:val="00774F19"/>
    <w:rsid w:val="007751E3"/>
    <w:rsid w:val="007754BA"/>
    <w:rsid w:val="00776762"/>
    <w:rsid w:val="00777C01"/>
    <w:rsid w:val="007813C5"/>
    <w:rsid w:val="0078170D"/>
    <w:rsid w:val="00781DAD"/>
    <w:rsid w:val="00781FE2"/>
    <w:rsid w:val="00782309"/>
    <w:rsid w:val="00782577"/>
    <w:rsid w:val="007836EA"/>
    <w:rsid w:val="00783E3A"/>
    <w:rsid w:val="00784489"/>
    <w:rsid w:val="00784CDA"/>
    <w:rsid w:val="007866D9"/>
    <w:rsid w:val="00786BDB"/>
    <w:rsid w:val="00786FBB"/>
    <w:rsid w:val="007906C4"/>
    <w:rsid w:val="00790CE4"/>
    <w:rsid w:val="00792EFD"/>
    <w:rsid w:val="007940EA"/>
    <w:rsid w:val="00794AB0"/>
    <w:rsid w:val="007952AF"/>
    <w:rsid w:val="007967E8"/>
    <w:rsid w:val="007969C2"/>
    <w:rsid w:val="007A0E9D"/>
    <w:rsid w:val="007A1763"/>
    <w:rsid w:val="007A17F8"/>
    <w:rsid w:val="007A1F41"/>
    <w:rsid w:val="007A2170"/>
    <w:rsid w:val="007A22BF"/>
    <w:rsid w:val="007A3323"/>
    <w:rsid w:val="007A421B"/>
    <w:rsid w:val="007A5183"/>
    <w:rsid w:val="007A59DF"/>
    <w:rsid w:val="007A5AF6"/>
    <w:rsid w:val="007A6A42"/>
    <w:rsid w:val="007A7083"/>
    <w:rsid w:val="007A7D33"/>
    <w:rsid w:val="007B1F24"/>
    <w:rsid w:val="007B4C47"/>
    <w:rsid w:val="007B5C2B"/>
    <w:rsid w:val="007B68A6"/>
    <w:rsid w:val="007B7160"/>
    <w:rsid w:val="007B72B8"/>
    <w:rsid w:val="007B7A58"/>
    <w:rsid w:val="007C05F1"/>
    <w:rsid w:val="007C0CDD"/>
    <w:rsid w:val="007C21B5"/>
    <w:rsid w:val="007C273C"/>
    <w:rsid w:val="007C3665"/>
    <w:rsid w:val="007C4C5A"/>
    <w:rsid w:val="007C5E41"/>
    <w:rsid w:val="007C6C8E"/>
    <w:rsid w:val="007C6D31"/>
    <w:rsid w:val="007D0FF4"/>
    <w:rsid w:val="007D2FC0"/>
    <w:rsid w:val="007D31D9"/>
    <w:rsid w:val="007D5561"/>
    <w:rsid w:val="007D6554"/>
    <w:rsid w:val="007D67C1"/>
    <w:rsid w:val="007D7448"/>
    <w:rsid w:val="007E0F43"/>
    <w:rsid w:val="007E3E1E"/>
    <w:rsid w:val="007E42C7"/>
    <w:rsid w:val="007E43D9"/>
    <w:rsid w:val="007E4BD2"/>
    <w:rsid w:val="007E5C41"/>
    <w:rsid w:val="007E6C0D"/>
    <w:rsid w:val="007F1371"/>
    <w:rsid w:val="007F20B1"/>
    <w:rsid w:val="007F285E"/>
    <w:rsid w:val="007F3005"/>
    <w:rsid w:val="007F3165"/>
    <w:rsid w:val="007F41CD"/>
    <w:rsid w:val="007F45AB"/>
    <w:rsid w:val="007F5013"/>
    <w:rsid w:val="007F5A26"/>
    <w:rsid w:val="0080009D"/>
    <w:rsid w:val="00801393"/>
    <w:rsid w:val="00802F88"/>
    <w:rsid w:val="00805FDE"/>
    <w:rsid w:val="00806E0D"/>
    <w:rsid w:val="00806E95"/>
    <w:rsid w:val="008075E5"/>
    <w:rsid w:val="00811111"/>
    <w:rsid w:val="0081254A"/>
    <w:rsid w:val="0081293E"/>
    <w:rsid w:val="00815465"/>
    <w:rsid w:val="00815AF5"/>
    <w:rsid w:val="008160EC"/>
    <w:rsid w:val="00817E9A"/>
    <w:rsid w:val="00821DBE"/>
    <w:rsid w:val="008225B9"/>
    <w:rsid w:val="008226BE"/>
    <w:rsid w:val="0082314D"/>
    <w:rsid w:val="00824565"/>
    <w:rsid w:val="00825B64"/>
    <w:rsid w:val="00826151"/>
    <w:rsid w:val="008263D3"/>
    <w:rsid w:val="00826763"/>
    <w:rsid w:val="008306BD"/>
    <w:rsid w:val="00831A80"/>
    <w:rsid w:val="0083267B"/>
    <w:rsid w:val="00833743"/>
    <w:rsid w:val="008339BA"/>
    <w:rsid w:val="008340A4"/>
    <w:rsid w:val="00835C27"/>
    <w:rsid w:val="00840235"/>
    <w:rsid w:val="008407A1"/>
    <w:rsid w:val="00840CC7"/>
    <w:rsid w:val="00841D81"/>
    <w:rsid w:val="00842C83"/>
    <w:rsid w:val="00842F01"/>
    <w:rsid w:val="00842F5E"/>
    <w:rsid w:val="00843EE0"/>
    <w:rsid w:val="00845716"/>
    <w:rsid w:val="0084626F"/>
    <w:rsid w:val="0084724A"/>
    <w:rsid w:val="008504A9"/>
    <w:rsid w:val="008510FB"/>
    <w:rsid w:val="00851CB7"/>
    <w:rsid w:val="008531C5"/>
    <w:rsid w:val="008552AD"/>
    <w:rsid w:val="008570BF"/>
    <w:rsid w:val="00857A14"/>
    <w:rsid w:val="008640AD"/>
    <w:rsid w:val="00864DC5"/>
    <w:rsid w:val="00866393"/>
    <w:rsid w:val="0086744F"/>
    <w:rsid w:val="008709DD"/>
    <w:rsid w:val="0087135F"/>
    <w:rsid w:val="00871484"/>
    <w:rsid w:val="00872D94"/>
    <w:rsid w:val="0087627F"/>
    <w:rsid w:val="00876D2E"/>
    <w:rsid w:val="00880364"/>
    <w:rsid w:val="0088088B"/>
    <w:rsid w:val="0088128C"/>
    <w:rsid w:val="0088186B"/>
    <w:rsid w:val="00882982"/>
    <w:rsid w:val="00882AD9"/>
    <w:rsid w:val="00886349"/>
    <w:rsid w:val="00887743"/>
    <w:rsid w:val="00887890"/>
    <w:rsid w:val="00887C0A"/>
    <w:rsid w:val="00890336"/>
    <w:rsid w:val="00891592"/>
    <w:rsid w:val="00891E9E"/>
    <w:rsid w:val="00892C02"/>
    <w:rsid w:val="008934C9"/>
    <w:rsid w:val="008964D8"/>
    <w:rsid w:val="008965C0"/>
    <w:rsid w:val="00897A4C"/>
    <w:rsid w:val="008A023F"/>
    <w:rsid w:val="008A2F68"/>
    <w:rsid w:val="008A2FF1"/>
    <w:rsid w:val="008A34D7"/>
    <w:rsid w:val="008A3BBB"/>
    <w:rsid w:val="008A3E8E"/>
    <w:rsid w:val="008A430D"/>
    <w:rsid w:val="008A44DF"/>
    <w:rsid w:val="008A6DED"/>
    <w:rsid w:val="008A741D"/>
    <w:rsid w:val="008A75D1"/>
    <w:rsid w:val="008A7657"/>
    <w:rsid w:val="008B00E3"/>
    <w:rsid w:val="008B0BAE"/>
    <w:rsid w:val="008B12E6"/>
    <w:rsid w:val="008B19FE"/>
    <w:rsid w:val="008B2D34"/>
    <w:rsid w:val="008B2EA9"/>
    <w:rsid w:val="008B3D40"/>
    <w:rsid w:val="008B4DE0"/>
    <w:rsid w:val="008B4FA6"/>
    <w:rsid w:val="008B5282"/>
    <w:rsid w:val="008B52D9"/>
    <w:rsid w:val="008B6EC7"/>
    <w:rsid w:val="008B76D4"/>
    <w:rsid w:val="008B7C17"/>
    <w:rsid w:val="008C0CAD"/>
    <w:rsid w:val="008C2D01"/>
    <w:rsid w:val="008C2E8A"/>
    <w:rsid w:val="008C3141"/>
    <w:rsid w:val="008C40E6"/>
    <w:rsid w:val="008D0F7A"/>
    <w:rsid w:val="008D1D36"/>
    <w:rsid w:val="008D2192"/>
    <w:rsid w:val="008D3A2D"/>
    <w:rsid w:val="008D58D4"/>
    <w:rsid w:val="008D68E4"/>
    <w:rsid w:val="008D75D9"/>
    <w:rsid w:val="008D7BF0"/>
    <w:rsid w:val="008E01A7"/>
    <w:rsid w:val="008E0506"/>
    <w:rsid w:val="008E0CFF"/>
    <w:rsid w:val="008E0DFF"/>
    <w:rsid w:val="008E3659"/>
    <w:rsid w:val="008E44DF"/>
    <w:rsid w:val="008E4A3E"/>
    <w:rsid w:val="008E5B2B"/>
    <w:rsid w:val="008E5D6B"/>
    <w:rsid w:val="008E6545"/>
    <w:rsid w:val="008E68BC"/>
    <w:rsid w:val="008E753D"/>
    <w:rsid w:val="008E76F0"/>
    <w:rsid w:val="008F023B"/>
    <w:rsid w:val="008F15FE"/>
    <w:rsid w:val="008F2C10"/>
    <w:rsid w:val="008F2D29"/>
    <w:rsid w:val="008F3D0F"/>
    <w:rsid w:val="008F5187"/>
    <w:rsid w:val="008F60D8"/>
    <w:rsid w:val="008F63BB"/>
    <w:rsid w:val="008F6468"/>
    <w:rsid w:val="008F6DE4"/>
    <w:rsid w:val="0090263C"/>
    <w:rsid w:val="00902727"/>
    <w:rsid w:val="0090312B"/>
    <w:rsid w:val="0090320C"/>
    <w:rsid w:val="00903CC9"/>
    <w:rsid w:val="00903F21"/>
    <w:rsid w:val="0090449F"/>
    <w:rsid w:val="009067B9"/>
    <w:rsid w:val="00906F2F"/>
    <w:rsid w:val="00907260"/>
    <w:rsid w:val="00907B62"/>
    <w:rsid w:val="00907F17"/>
    <w:rsid w:val="0091164C"/>
    <w:rsid w:val="00913012"/>
    <w:rsid w:val="00913240"/>
    <w:rsid w:val="00914204"/>
    <w:rsid w:val="00916130"/>
    <w:rsid w:val="00916DA2"/>
    <w:rsid w:val="0091736D"/>
    <w:rsid w:val="00920D54"/>
    <w:rsid w:val="00921E52"/>
    <w:rsid w:val="009234E2"/>
    <w:rsid w:val="00926C3C"/>
    <w:rsid w:val="00927974"/>
    <w:rsid w:val="0093037A"/>
    <w:rsid w:val="0093039C"/>
    <w:rsid w:val="009317F1"/>
    <w:rsid w:val="0093281C"/>
    <w:rsid w:val="00937106"/>
    <w:rsid w:val="00941542"/>
    <w:rsid w:val="0094154D"/>
    <w:rsid w:val="009430C8"/>
    <w:rsid w:val="00944B14"/>
    <w:rsid w:val="00945840"/>
    <w:rsid w:val="00946387"/>
    <w:rsid w:val="0094762E"/>
    <w:rsid w:val="00950470"/>
    <w:rsid w:val="0095155F"/>
    <w:rsid w:val="00951826"/>
    <w:rsid w:val="00953EAD"/>
    <w:rsid w:val="00953F15"/>
    <w:rsid w:val="00953FFB"/>
    <w:rsid w:val="00954429"/>
    <w:rsid w:val="00954867"/>
    <w:rsid w:val="00954C6A"/>
    <w:rsid w:val="00955F4A"/>
    <w:rsid w:val="009563CE"/>
    <w:rsid w:val="00961002"/>
    <w:rsid w:val="00961C59"/>
    <w:rsid w:val="00966BF6"/>
    <w:rsid w:val="00966CC4"/>
    <w:rsid w:val="009711C4"/>
    <w:rsid w:val="00972FA3"/>
    <w:rsid w:val="0097303F"/>
    <w:rsid w:val="00973582"/>
    <w:rsid w:val="00973A4F"/>
    <w:rsid w:val="00974EFE"/>
    <w:rsid w:val="009760FA"/>
    <w:rsid w:val="00976328"/>
    <w:rsid w:val="0097680D"/>
    <w:rsid w:val="009768CD"/>
    <w:rsid w:val="00977D0A"/>
    <w:rsid w:val="0098043A"/>
    <w:rsid w:val="00981277"/>
    <w:rsid w:val="0098172B"/>
    <w:rsid w:val="00982438"/>
    <w:rsid w:val="009829F5"/>
    <w:rsid w:val="00982E75"/>
    <w:rsid w:val="0098404C"/>
    <w:rsid w:val="009850E1"/>
    <w:rsid w:val="00985283"/>
    <w:rsid w:val="00986D34"/>
    <w:rsid w:val="0098759A"/>
    <w:rsid w:val="009907A6"/>
    <w:rsid w:val="00992208"/>
    <w:rsid w:val="00992C68"/>
    <w:rsid w:val="009948D7"/>
    <w:rsid w:val="00995992"/>
    <w:rsid w:val="00996415"/>
    <w:rsid w:val="009970E1"/>
    <w:rsid w:val="009A020A"/>
    <w:rsid w:val="009A03E5"/>
    <w:rsid w:val="009A0F3B"/>
    <w:rsid w:val="009A1BB4"/>
    <w:rsid w:val="009A2281"/>
    <w:rsid w:val="009A2628"/>
    <w:rsid w:val="009A3200"/>
    <w:rsid w:val="009A361E"/>
    <w:rsid w:val="009A4431"/>
    <w:rsid w:val="009A4C9B"/>
    <w:rsid w:val="009A6163"/>
    <w:rsid w:val="009A76E9"/>
    <w:rsid w:val="009A7900"/>
    <w:rsid w:val="009A7955"/>
    <w:rsid w:val="009B0897"/>
    <w:rsid w:val="009B1058"/>
    <w:rsid w:val="009B1699"/>
    <w:rsid w:val="009B3257"/>
    <w:rsid w:val="009B4B86"/>
    <w:rsid w:val="009B7BD9"/>
    <w:rsid w:val="009C01AC"/>
    <w:rsid w:val="009C0298"/>
    <w:rsid w:val="009C232C"/>
    <w:rsid w:val="009C3E98"/>
    <w:rsid w:val="009C404E"/>
    <w:rsid w:val="009C5DA3"/>
    <w:rsid w:val="009C6B2E"/>
    <w:rsid w:val="009C7DD5"/>
    <w:rsid w:val="009D2AFC"/>
    <w:rsid w:val="009D3478"/>
    <w:rsid w:val="009D6229"/>
    <w:rsid w:val="009E0085"/>
    <w:rsid w:val="009E183D"/>
    <w:rsid w:val="009E227D"/>
    <w:rsid w:val="009E39E1"/>
    <w:rsid w:val="009E4E38"/>
    <w:rsid w:val="009E5019"/>
    <w:rsid w:val="009E50BF"/>
    <w:rsid w:val="009E59D9"/>
    <w:rsid w:val="009F1754"/>
    <w:rsid w:val="009F1C35"/>
    <w:rsid w:val="009F2D8B"/>
    <w:rsid w:val="00A00B5F"/>
    <w:rsid w:val="00A01B2C"/>
    <w:rsid w:val="00A03D50"/>
    <w:rsid w:val="00A042B0"/>
    <w:rsid w:val="00A04512"/>
    <w:rsid w:val="00A04AFF"/>
    <w:rsid w:val="00A04F1B"/>
    <w:rsid w:val="00A0501B"/>
    <w:rsid w:val="00A06015"/>
    <w:rsid w:val="00A123A5"/>
    <w:rsid w:val="00A129E2"/>
    <w:rsid w:val="00A14947"/>
    <w:rsid w:val="00A154DF"/>
    <w:rsid w:val="00A162A9"/>
    <w:rsid w:val="00A20173"/>
    <w:rsid w:val="00A217C7"/>
    <w:rsid w:val="00A22CC5"/>
    <w:rsid w:val="00A27CE2"/>
    <w:rsid w:val="00A31D47"/>
    <w:rsid w:val="00A321BA"/>
    <w:rsid w:val="00A32A83"/>
    <w:rsid w:val="00A3525A"/>
    <w:rsid w:val="00A366BC"/>
    <w:rsid w:val="00A368DB"/>
    <w:rsid w:val="00A4102E"/>
    <w:rsid w:val="00A423AA"/>
    <w:rsid w:val="00A43C08"/>
    <w:rsid w:val="00A44021"/>
    <w:rsid w:val="00A50A29"/>
    <w:rsid w:val="00A50F45"/>
    <w:rsid w:val="00A53AB2"/>
    <w:rsid w:val="00A53EC6"/>
    <w:rsid w:val="00A53EDF"/>
    <w:rsid w:val="00A55C0F"/>
    <w:rsid w:val="00A569CD"/>
    <w:rsid w:val="00A571CA"/>
    <w:rsid w:val="00A6254E"/>
    <w:rsid w:val="00A62A30"/>
    <w:rsid w:val="00A638C2"/>
    <w:rsid w:val="00A655A4"/>
    <w:rsid w:val="00A6599A"/>
    <w:rsid w:val="00A66172"/>
    <w:rsid w:val="00A662A9"/>
    <w:rsid w:val="00A677C2"/>
    <w:rsid w:val="00A709FE"/>
    <w:rsid w:val="00A73F48"/>
    <w:rsid w:val="00A77639"/>
    <w:rsid w:val="00A77E85"/>
    <w:rsid w:val="00A80010"/>
    <w:rsid w:val="00A80543"/>
    <w:rsid w:val="00A831B6"/>
    <w:rsid w:val="00A84B7A"/>
    <w:rsid w:val="00A85BDB"/>
    <w:rsid w:val="00A8713F"/>
    <w:rsid w:val="00A9044F"/>
    <w:rsid w:val="00A90BA1"/>
    <w:rsid w:val="00A90D72"/>
    <w:rsid w:val="00A95A9B"/>
    <w:rsid w:val="00A96AAC"/>
    <w:rsid w:val="00A979DF"/>
    <w:rsid w:val="00A97A9A"/>
    <w:rsid w:val="00AA0671"/>
    <w:rsid w:val="00AA095E"/>
    <w:rsid w:val="00AA0F3A"/>
    <w:rsid w:val="00AA2531"/>
    <w:rsid w:val="00AA3634"/>
    <w:rsid w:val="00AA67DB"/>
    <w:rsid w:val="00AA74F7"/>
    <w:rsid w:val="00AA76DB"/>
    <w:rsid w:val="00AA7B0A"/>
    <w:rsid w:val="00AA7D9F"/>
    <w:rsid w:val="00AA7FFC"/>
    <w:rsid w:val="00AB0ABA"/>
    <w:rsid w:val="00AB182B"/>
    <w:rsid w:val="00AB1E09"/>
    <w:rsid w:val="00AB3BFC"/>
    <w:rsid w:val="00AB462B"/>
    <w:rsid w:val="00AB5330"/>
    <w:rsid w:val="00AB7747"/>
    <w:rsid w:val="00AC14B2"/>
    <w:rsid w:val="00AC14CE"/>
    <w:rsid w:val="00AC2A56"/>
    <w:rsid w:val="00AC3862"/>
    <w:rsid w:val="00AC5187"/>
    <w:rsid w:val="00AC5F4F"/>
    <w:rsid w:val="00AC64B6"/>
    <w:rsid w:val="00AC68A5"/>
    <w:rsid w:val="00AC713A"/>
    <w:rsid w:val="00AC7461"/>
    <w:rsid w:val="00AD0553"/>
    <w:rsid w:val="00AD055E"/>
    <w:rsid w:val="00AD169C"/>
    <w:rsid w:val="00AD1983"/>
    <w:rsid w:val="00AD45B5"/>
    <w:rsid w:val="00AD47A7"/>
    <w:rsid w:val="00AD489F"/>
    <w:rsid w:val="00AD4E59"/>
    <w:rsid w:val="00AD78B3"/>
    <w:rsid w:val="00AE364D"/>
    <w:rsid w:val="00AE4326"/>
    <w:rsid w:val="00AE5C69"/>
    <w:rsid w:val="00AE6F0D"/>
    <w:rsid w:val="00AE7139"/>
    <w:rsid w:val="00AE7C9F"/>
    <w:rsid w:val="00AF0CBF"/>
    <w:rsid w:val="00AF12A6"/>
    <w:rsid w:val="00AF257F"/>
    <w:rsid w:val="00AF33CF"/>
    <w:rsid w:val="00AF377B"/>
    <w:rsid w:val="00AF4D50"/>
    <w:rsid w:val="00AF6179"/>
    <w:rsid w:val="00AF6D58"/>
    <w:rsid w:val="00B0223B"/>
    <w:rsid w:val="00B033A6"/>
    <w:rsid w:val="00B04227"/>
    <w:rsid w:val="00B05B47"/>
    <w:rsid w:val="00B075AF"/>
    <w:rsid w:val="00B07952"/>
    <w:rsid w:val="00B10297"/>
    <w:rsid w:val="00B10EDD"/>
    <w:rsid w:val="00B123F4"/>
    <w:rsid w:val="00B1295A"/>
    <w:rsid w:val="00B12B57"/>
    <w:rsid w:val="00B12E00"/>
    <w:rsid w:val="00B178F5"/>
    <w:rsid w:val="00B200CA"/>
    <w:rsid w:val="00B20786"/>
    <w:rsid w:val="00B20A45"/>
    <w:rsid w:val="00B22C5C"/>
    <w:rsid w:val="00B2350D"/>
    <w:rsid w:val="00B23522"/>
    <w:rsid w:val="00B24F30"/>
    <w:rsid w:val="00B26FD7"/>
    <w:rsid w:val="00B27390"/>
    <w:rsid w:val="00B30E4B"/>
    <w:rsid w:val="00B31986"/>
    <w:rsid w:val="00B31A85"/>
    <w:rsid w:val="00B31ABF"/>
    <w:rsid w:val="00B32801"/>
    <w:rsid w:val="00B33793"/>
    <w:rsid w:val="00B33BE3"/>
    <w:rsid w:val="00B353C9"/>
    <w:rsid w:val="00B356E3"/>
    <w:rsid w:val="00B42618"/>
    <w:rsid w:val="00B45AED"/>
    <w:rsid w:val="00B5043F"/>
    <w:rsid w:val="00B52B3D"/>
    <w:rsid w:val="00B52B75"/>
    <w:rsid w:val="00B52BFB"/>
    <w:rsid w:val="00B53B5D"/>
    <w:rsid w:val="00B54EAC"/>
    <w:rsid w:val="00B6055E"/>
    <w:rsid w:val="00B60DC2"/>
    <w:rsid w:val="00B6317D"/>
    <w:rsid w:val="00B63B82"/>
    <w:rsid w:val="00B7001D"/>
    <w:rsid w:val="00B708EA"/>
    <w:rsid w:val="00B71735"/>
    <w:rsid w:val="00B73157"/>
    <w:rsid w:val="00B771A0"/>
    <w:rsid w:val="00B7723F"/>
    <w:rsid w:val="00B80534"/>
    <w:rsid w:val="00B80951"/>
    <w:rsid w:val="00B80A02"/>
    <w:rsid w:val="00B81C97"/>
    <w:rsid w:val="00B82D5C"/>
    <w:rsid w:val="00B8433C"/>
    <w:rsid w:val="00B848CC"/>
    <w:rsid w:val="00B86EB9"/>
    <w:rsid w:val="00B87491"/>
    <w:rsid w:val="00B90066"/>
    <w:rsid w:val="00B92CFC"/>
    <w:rsid w:val="00B93993"/>
    <w:rsid w:val="00B95138"/>
    <w:rsid w:val="00B97B23"/>
    <w:rsid w:val="00BA1F26"/>
    <w:rsid w:val="00BA29E9"/>
    <w:rsid w:val="00BA53E1"/>
    <w:rsid w:val="00BA5D3E"/>
    <w:rsid w:val="00BA5F45"/>
    <w:rsid w:val="00BA7142"/>
    <w:rsid w:val="00BA7833"/>
    <w:rsid w:val="00BA7F9D"/>
    <w:rsid w:val="00BB237C"/>
    <w:rsid w:val="00BB41A3"/>
    <w:rsid w:val="00BB4812"/>
    <w:rsid w:val="00BB7B66"/>
    <w:rsid w:val="00BC011D"/>
    <w:rsid w:val="00BC09EB"/>
    <w:rsid w:val="00BC173B"/>
    <w:rsid w:val="00BC1767"/>
    <w:rsid w:val="00BC32DC"/>
    <w:rsid w:val="00BC3346"/>
    <w:rsid w:val="00BC35B3"/>
    <w:rsid w:val="00BC35B6"/>
    <w:rsid w:val="00BC568D"/>
    <w:rsid w:val="00BC5BD4"/>
    <w:rsid w:val="00BC68DC"/>
    <w:rsid w:val="00BC6FA5"/>
    <w:rsid w:val="00BC7C15"/>
    <w:rsid w:val="00BD0E65"/>
    <w:rsid w:val="00BD1B51"/>
    <w:rsid w:val="00BD2114"/>
    <w:rsid w:val="00BD22C5"/>
    <w:rsid w:val="00BD2943"/>
    <w:rsid w:val="00BD436E"/>
    <w:rsid w:val="00BD4596"/>
    <w:rsid w:val="00BD4DA2"/>
    <w:rsid w:val="00BD66D1"/>
    <w:rsid w:val="00BD66D4"/>
    <w:rsid w:val="00BD6CF9"/>
    <w:rsid w:val="00BD7A56"/>
    <w:rsid w:val="00BE02BC"/>
    <w:rsid w:val="00BE1405"/>
    <w:rsid w:val="00BE312D"/>
    <w:rsid w:val="00BE6388"/>
    <w:rsid w:val="00BE65C8"/>
    <w:rsid w:val="00BE78B1"/>
    <w:rsid w:val="00BF0D1A"/>
    <w:rsid w:val="00BF1C20"/>
    <w:rsid w:val="00BF4E64"/>
    <w:rsid w:val="00C0152E"/>
    <w:rsid w:val="00C04BE8"/>
    <w:rsid w:val="00C04F41"/>
    <w:rsid w:val="00C05CAE"/>
    <w:rsid w:val="00C10578"/>
    <w:rsid w:val="00C10DE3"/>
    <w:rsid w:val="00C114E0"/>
    <w:rsid w:val="00C11633"/>
    <w:rsid w:val="00C1247A"/>
    <w:rsid w:val="00C135BC"/>
    <w:rsid w:val="00C13AB4"/>
    <w:rsid w:val="00C13B14"/>
    <w:rsid w:val="00C14380"/>
    <w:rsid w:val="00C14473"/>
    <w:rsid w:val="00C15759"/>
    <w:rsid w:val="00C15C95"/>
    <w:rsid w:val="00C211EB"/>
    <w:rsid w:val="00C226D4"/>
    <w:rsid w:val="00C22A4D"/>
    <w:rsid w:val="00C22CBC"/>
    <w:rsid w:val="00C239A0"/>
    <w:rsid w:val="00C2412C"/>
    <w:rsid w:val="00C2431B"/>
    <w:rsid w:val="00C24920"/>
    <w:rsid w:val="00C24F17"/>
    <w:rsid w:val="00C2596A"/>
    <w:rsid w:val="00C27537"/>
    <w:rsid w:val="00C27E88"/>
    <w:rsid w:val="00C30108"/>
    <w:rsid w:val="00C326EA"/>
    <w:rsid w:val="00C328FE"/>
    <w:rsid w:val="00C33507"/>
    <w:rsid w:val="00C35542"/>
    <w:rsid w:val="00C35659"/>
    <w:rsid w:val="00C36802"/>
    <w:rsid w:val="00C374EE"/>
    <w:rsid w:val="00C40B38"/>
    <w:rsid w:val="00C4197A"/>
    <w:rsid w:val="00C43030"/>
    <w:rsid w:val="00C433EE"/>
    <w:rsid w:val="00C4409D"/>
    <w:rsid w:val="00C447F0"/>
    <w:rsid w:val="00C44E72"/>
    <w:rsid w:val="00C45A06"/>
    <w:rsid w:val="00C45CD4"/>
    <w:rsid w:val="00C47E5B"/>
    <w:rsid w:val="00C50DF6"/>
    <w:rsid w:val="00C50FF9"/>
    <w:rsid w:val="00C52159"/>
    <w:rsid w:val="00C532A9"/>
    <w:rsid w:val="00C53BE7"/>
    <w:rsid w:val="00C55342"/>
    <w:rsid w:val="00C56AB3"/>
    <w:rsid w:val="00C56B8C"/>
    <w:rsid w:val="00C5761B"/>
    <w:rsid w:val="00C57A40"/>
    <w:rsid w:val="00C604A3"/>
    <w:rsid w:val="00C606A9"/>
    <w:rsid w:val="00C61108"/>
    <w:rsid w:val="00C61E4B"/>
    <w:rsid w:val="00C645B3"/>
    <w:rsid w:val="00C64BFF"/>
    <w:rsid w:val="00C661C9"/>
    <w:rsid w:val="00C704E9"/>
    <w:rsid w:val="00C72B11"/>
    <w:rsid w:val="00C74260"/>
    <w:rsid w:val="00C763C9"/>
    <w:rsid w:val="00C76435"/>
    <w:rsid w:val="00C80057"/>
    <w:rsid w:val="00C80F96"/>
    <w:rsid w:val="00C821AA"/>
    <w:rsid w:val="00C82232"/>
    <w:rsid w:val="00C82913"/>
    <w:rsid w:val="00C8492E"/>
    <w:rsid w:val="00C85036"/>
    <w:rsid w:val="00C87F1F"/>
    <w:rsid w:val="00C9261A"/>
    <w:rsid w:val="00C93DF4"/>
    <w:rsid w:val="00C94320"/>
    <w:rsid w:val="00C952BC"/>
    <w:rsid w:val="00C9546D"/>
    <w:rsid w:val="00C972B1"/>
    <w:rsid w:val="00CA153C"/>
    <w:rsid w:val="00CA1991"/>
    <w:rsid w:val="00CA1A67"/>
    <w:rsid w:val="00CA1CD6"/>
    <w:rsid w:val="00CA1DBA"/>
    <w:rsid w:val="00CA21AC"/>
    <w:rsid w:val="00CA2CCE"/>
    <w:rsid w:val="00CA3281"/>
    <w:rsid w:val="00CA38B1"/>
    <w:rsid w:val="00CA43FD"/>
    <w:rsid w:val="00CA54B2"/>
    <w:rsid w:val="00CA698B"/>
    <w:rsid w:val="00CA6C6A"/>
    <w:rsid w:val="00CA7000"/>
    <w:rsid w:val="00CA7EF8"/>
    <w:rsid w:val="00CB0629"/>
    <w:rsid w:val="00CB20BE"/>
    <w:rsid w:val="00CB5473"/>
    <w:rsid w:val="00CB5BF9"/>
    <w:rsid w:val="00CB6A5B"/>
    <w:rsid w:val="00CC0847"/>
    <w:rsid w:val="00CC0B8B"/>
    <w:rsid w:val="00CC0F4B"/>
    <w:rsid w:val="00CC1EBA"/>
    <w:rsid w:val="00CC23EA"/>
    <w:rsid w:val="00CC2D06"/>
    <w:rsid w:val="00CC2F44"/>
    <w:rsid w:val="00CC489B"/>
    <w:rsid w:val="00CC5FB6"/>
    <w:rsid w:val="00CC64CF"/>
    <w:rsid w:val="00CC64D4"/>
    <w:rsid w:val="00CC685D"/>
    <w:rsid w:val="00CC7A6B"/>
    <w:rsid w:val="00CC7A91"/>
    <w:rsid w:val="00CD0CB7"/>
    <w:rsid w:val="00CD1181"/>
    <w:rsid w:val="00CD1964"/>
    <w:rsid w:val="00CD1CD6"/>
    <w:rsid w:val="00CD2749"/>
    <w:rsid w:val="00CD2AF3"/>
    <w:rsid w:val="00CD2BCD"/>
    <w:rsid w:val="00CD2E77"/>
    <w:rsid w:val="00CD3A4C"/>
    <w:rsid w:val="00CD6369"/>
    <w:rsid w:val="00CD6A05"/>
    <w:rsid w:val="00CD7846"/>
    <w:rsid w:val="00CD7DBF"/>
    <w:rsid w:val="00CD7DE6"/>
    <w:rsid w:val="00CE080F"/>
    <w:rsid w:val="00CE10E9"/>
    <w:rsid w:val="00CE1F17"/>
    <w:rsid w:val="00CE2025"/>
    <w:rsid w:val="00CE2910"/>
    <w:rsid w:val="00CE2D90"/>
    <w:rsid w:val="00CE5393"/>
    <w:rsid w:val="00CE73F1"/>
    <w:rsid w:val="00CE7ADA"/>
    <w:rsid w:val="00CF0294"/>
    <w:rsid w:val="00CF0340"/>
    <w:rsid w:val="00CF0A89"/>
    <w:rsid w:val="00CF0FA0"/>
    <w:rsid w:val="00CF36BE"/>
    <w:rsid w:val="00CF3709"/>
    <w:rsid w:val="00CF570C"/>
    <w:rsid w:val="00CF5FCE"/>
    <w:rsid w:val="00CF6000"/>
    <w:rsid w:val="00CF6AC4"/>
    <w:rsid w:val="00CF7BEC"/>
    <w:rsid w:val="00D003F3"/>
    <w:rsid w:val="00D035B6"/>
    <w:rsid w:val="00D0364F"/>
    <w:rsid w:val="00D0530C"/>
    <w:rsid w:val="00D05440"/>
    <w:rsid w:val="00D05677"/>
    <w:rsid w:val="00D0640C"/>
    <w:rsid w:val="00D06834"/>
    <w:rsid w:val="00D07656"/>
    <w:rsid w:val="00D13064"/>
    <w:rsid w:val="00D14688"/>
    <w:rsid w:val="00D1482F"/>
    <w:rsid w:val="00D155DC"/>
    <w:rsid w:val="00D15A1C"/>
    <w:rsid w:val="00D16540"/>
    <w:rsid w:val="00D17A37"/>
    <w:rsid w:val="00D209C4"/>
    <w:rsid w:val="00D20E50"/>
    <w:rsid w:val="00D21945"/>
    <w:rsid w:val="00D21E31"/>
    <w:rsid w:val="00D23181"/>
    <w:rsid w:val="00D24359"/>
    <w:rsid w:val="00D250AB"/>
    <w:rsid w:val="00D26597"/>
    <w:rsid w:val="00D27A1C"/>
    <w:rsid w:val="00D308ED"/>
    <w:rsid w:val="00D30AF2"/>
    <w:rsid w:val="00D32678"/>
    <w:rsid w:val="00D328CF"/>
    <w:rsid w:val="00D33096"/>
    <w:rsid w:val="00D34355"/>
    <w:rsid w:val="00D366A6"/>
    <w:rsid w:val="00D36D86"/>
    <w:rsid w:val="00D371DD"/>
    <w:rsid w:val="00D401AA"/>
    <w:rsid w:val="00D428AA"/>
    <w:rsid w:val="00D436DB"/>
    <w:rsid w:val="00D46FB3"/>
    <w:rsid w:val="00D50A34"/>
    <w:rsid w:val="00D51DB1"/>
    <w:rsid w:val="00D52031"/>
    <w:rsid w:val="00D53EFA"/>
    <w:rsid w:val="00D5757C"/>
    <w:rsid w:val="00D60A3D"/>
    <w:rsid w:val="00D61889"/>
    <w:rsid w:val="00D6399F"/>
    <w:rsid w:val="00D654DD"/>
    <w:rsid w:val="00D65577"/>
    <w:rsid w:val="00D664E1"/>
    <w:rsid w:val="00D66532"/>
    <w:rsid w:val="00D66EEC"/>
    <w:rsid w:val="00D74887"/>
    <w:rsid w:val="00D75B3F"/>
    <w:rsid w:val="00D760C5"/>
    <w:rsid w:val="00D760DA"/>
    <w:rsid w:val="00D77271"/>
    <w:rsid w:val="00D772AE"/>
    <w:rsid w:val="00D80BB6"/>
    <w:rsid w:val="00D81961"/>
    <w:rsid w:val="00D8214B"/>
    <w:rsid w:val="00D82807"/>
    <w:rsid w:val="00D85308"/>
    <w:rsid w:val="00D8587E"/>
    <w:rsid w:val="00D85FCE"/>
    <w:rsid w:val="00D919B2"/>
    <w:rsid w:val="00D91E4A"/>
    <w:rsid w:val="00D9312E"/>
    <w:rsid w:val="00D9322C"/>
    <w:rsid w:val="00D9446D"/>
    <w:rsid w:val="00D94700"/>
    <w:rsid w:val="00D94A7C"/>
    <w:rsid w:val="00D95896"/>
    <w:rsid w:val="00D95DA4"/>
    <w:rsid w:val="00D95EEE"/>
    <w:rsid w:val="00D96BDA"/>
    <w:rsid w:val="00D96D17"/>
    <w:rsid w:val="00D97914"/>
    <w:rsid w:val="00DA1D2D"/>
    <w:rsid w:val="00DA4CF4"/>
    <w:rsid w:val="00DA4CFF"/>
    <w:rsid w:val="00DB109F"/>
    <w:rsid w:val="00DB1F22"/>
    <w:rsid w:val="00DB2983"/>
    <w:rsid w:val="00DB5BAA"/>
    <w:rsid w:val="00DB6A56"/>
    <w:rsid w:val="00DB6F83"/>
    <w:rsid w:val="00DB7522"/>
    <w:rsid w:val="00DC0245"/>
    <w:rsid w:val="00DC0CD4"/>
    <w:rsid w:val="00DC0FB7"/>
    <w:rsid w:val="00DC1257"/>
    <w:rsid w:val="00DC17EA"/>
    <w:rsid w:val="00DC1EC9"/>
    <w:rsid w:val="00DC27CC"/>
    <w:rsid w:val="00DC2DFA"/>
    <w:rsid w:val="00DC3DC0"/>
    <w:rsid w:val="00DC4231"/>
    <w:rsid w:val="00DC4579"/>
    <w:rsid w:val="00DC5011"/>
    <w:rsid w:val="00DC5B2B"/>
    <w:rsid w:val="00DC68BE"/>
    <w:rsid w:val="00DD1F33"/>
    <w:rsid w:val="00DD20B3"/>
    <w:rsid w:val="00DD318D"/>
    <w:rsid w:val="00DD6713"/>
    <w:rsid w:val="00DD674E"/>
    <w:rsid w:val="00DE06FB"/>
    <w:rsid w:val="00DE2159"/>
    <w:rsid w:val="00DE336C"/>
    <w:rsid w:val="00DE3607"/>
    <w:rsid w:val="00DE3D3A"/>
    <w:rsid w:val="00DE61EC"/>
    <w:rsid w:val="00DE6EC3"/>
    <w:rsid w:val="00DE7C9D"/>
    <w:rsid w:val="00DF0BA9"/>
    <w:rsid w:val="00DF0E74"/>
    <w:rsid w:val="00DF1FBC"/>
    <w:rsid w:val="00DF29A6"/>
    <w:rsid w:val="00DF2E12"/>
    <w:rsid w:val="00DF514A"/>
    <w:rsid w:val="00DF5ACC"/>
    <w:rsid w:val="00DF5B50"/>
    <w:rsid w:val="00DF6690"/>
    <w:rsid w:val="00DF6804"/>
    <w:rsid w:val="00DF7428"/>
    <w:rsid w:val="00E00855"/>
    <w:rsid w:val="00E01551"/>
    <w:rsid w:val="00E01ECC"/>
    <w:rsid w:val="00E01FAA"/>
    <w:rsid w:val="00E03314"/>
    <w:rsid w:val="00E0358D"/>
    <w:rsid w:val="00E04323"/>
    <w:rsid w:val="00E04A5C"/>
    <w:rsid w:val="00E0550C"/>
    <w:rsid w:val="00E070A2"/>
    <w:rsid w:val="00E07379"/>
    <w:rsid w:val="00E076EF"/>
    <w:rsid w:val="00E10BFB"/>
    <w:rsid w:val="00E12311"/>
    <w:rsid w:val="00E12B2F"/>
    <w:rsid w:val="00E13C48"/>
    <w:rsid w:val="00E14189"/>
    <w:rsid w:val="00E156D6"/>
    <w:rsid w:val="00E161E9"/>
    <w:rsid w:val="00E2250A"/>
    <w:rsid w:val="00E225B6"/>
    <w:rsid w:val="00E2344D"/>
    <w:rsid w:val="00E2391F"/>
    <w:rsid w:val="00E23E44"/>
    <w:rsid w:val="00E24E47"/>
    <w:rsid w:val="00E2656A"/>
    <w:rsid w:val="00E30681"/>
    <w:rsid w:val="00E30F30"/>
    <w:rsid w:val="00E31762"/>
    <w:rsid w:val="00E32A03"/>
    <w:rsid w:val="00E32F56"/>
    <w:rsid w:val="00E35751"/>
    <w:rsid w:val="00E3601A"/>
    <w:rsid w:val="00E37682"/>
    <w:rsid w:val="00E412D0"/>
    <w:rsid w:val="00E434A4"/>
    <w:rsid w:val="00E46681"/>
    <w:rsid w:val="00E47B48"/>
    <w:rsid w:val="00E47F24"/>
    <w:rsid w:val="00E508C0"/>
    <w:rsid w:val="00E514B7"/>
    <w:rsid w:val="00E54010"/>
    <w:rsid w:val="00E54E0F"/>
    <w:rsid w:val="00E54E4D"/>
    <w:rsid w:val="00E554A4"/>
    <w:rsid w:val="00E55EAF"/>
    <w:rsid w:val="00E56322"/>
    <w:rsid w:val="00E5667B"/>
    <w:rsid w:val="00E5675A"/>
    <w:rsid w:val="00E5690D"/>
    <w:rsid w:val="00E574F0"/>
    <w:rsid w:val="00E60982"/>
    <w:rsid w:val="00E61224"/>
    <w:rsid w:val="00E62C62"/>
    <w:rsid w:val="00E63290"/>
    <w:rsid w:val="00E64104"/>
    <w:rsid w:val="00E6444E"/>
    <w:rsid w:val="00E654C1"/>
    <w:rsid w:val="00E65D97"/>
    <w:rsid w:val="00E67E26"/>
    <w:rsid w:val="00E7243A"/>
    <w:rsid w:val="00E72620"/>
    <w:rsid w:val="00E72A5A"/>
    <w:rsid w:val="00E73354"/>
    <w:rsid w:val="00E74FF7"/>
    <w:rsid w:val="00E769A1"/>
    <w:rsid w:val="00E77F51"/>
    <w:rsid w:val="00E81A5E"/>
    <w:rsid w:val="00E849FB"/>
    <w:rsid w:val="00E84F85"/>
    <w:rsid w:val="00E87F31"/>
    <w:rsid w:val="00E909D2"/>
    <w:rsid w:val="00E922D0"/>
    <w:rsid w:val="00E9242D"/>
    <w:rsid w:val="00E9418E"/>
    <w:rsid w:val="00E970CD"/>
    <w:rsid w:val="00E978E4"/>
    <w:rsid w:val="00E97939"/>
    <w:rsid w:val="00EA0BB3"/>
    <w:rsid w:val="00EA1DAE"/>
    <w:rsid w:val="00EA1EAD"/>
    <w:rsid w:val="00EA32C5"/>
    <w:rsid w:val="00EA435E"/>
    <w:rsid w:val="00EA6976"/>
    <w:rsid w:val="00EA7BF4"/>
    <w:rsid w:val="00EB1FBC"/>
    <w:rsid w:val="00EB3561"/>
    <w:rsid w:val="00EB5255"/>
    <w:rsid w:val="00EB5C47"/>
    <w:rsid w:val="00EB6CBD"/>
    <w:rsid w:val="00EC09AB"/>
    <w:rsid w:val="00EC1B8F"/>
    <w:rsid w:val="00EC2D0F"/>
    <w:rsid w:val="00EC30B4"/>
    <w:rsid w:val="00EC4992"/>
    <w:rsid w:val="00EC4B9C"/>
    <w:rsid w:val="00EC526C"/>
    <w:rsid w:val="00EC6301"/>
    <w:rsid w:val="00EC680E"/>
    <w:rsid w:val="00EC7899"/>
    <w:rsid w:val="00ED0639"/>
    <w:rsid w:val="00ED0F5D"/>
    <w:rsid w:val="00ED1154"/>
    <w:rsid w:val="00ED1AC8"/>
    <w:rsid w:val="00ED250F"/>
    <w:rsid w:val="00ED533E"/>
    <w:rsid w:val="00ED61D7"/>
    <w:rsid w:val="00ED773E"/>
    <w:rsid w:val="00EE17BA"/>
    <w:rsid w:val="00EE5A49"/>
    <w:rsid w:val="00EE6068"/>
    <w:rsid w:val="00EF0949"/>
    <w:rsid w:val="00EF15C2"/>
    <w:rsid w:val="00EF4755"/>
    <w:rsid w:val="00EF5B49"/>
    <w:rsid w:val="00EF6918"/>
    <w:rsid w:val="00EF7135"/>
    <w:rsid w:val="00F00456"/>
    <w:rsid w:val="00F02442"/>
    <w:rsid w:val="00F027DB"/>
    <w:rsid w:val="00F03A7D"/>
    <w:rsid w:val="00F03C53"/>
    <w:rsid w:val="00F04E42"/>
    <w:rsid w:val="00F054FA"/>
    <w:rsid w:val="00F05C88"/>
    <w:rsid w:val="00F06372"/>
    <w:rsid w:val="00F11508"/>
    <w:rsid w:val="00F127BE"/>
    <w:rsid w:val="00F140A4"/>
    <w:rsid w:val="00F14A7A"/>
    <w:rsid w:val="00F14DE0"/>
    <w:rsid w:val="00F16AB6"/>
    <w:rsid w:val="00F213A9"/>
    <w:rsid w:val="00F22985"/>
    <w:rsid w:val="00F22D27"/>
    <w:rsid w:val="00F2326E"/>
    <w:rsid w:val="00F233FE"/>
    <w:rsid w:val="00F3097B"/>
    <w:rsid w:val="00F31A4D"/>
    <w:rsid w:val="00F33523"/>
    <w:rsid w:val="00F3383E"/>
    <w:rsid w:val="00F33EE9"/>
    <w:rsid w:val="00F34C8C"/>
    <w:rsid w:val="00F3563B"/>
    <w:rsid w:val="00F35841"/>
    <w:rsid w:val="00F35AFD"/>
    <w:rsid w:val="00F36794"/>
    <w:rsid w:val="00F36F20"/>
    <w:rsid w:val="00F40F78"/>
    <w:rsid w:val="00F422F4"/>
    <w:rsid w:val="00F424C3"/>
    <w:rsid w:val="00F44293"/>
    <w:rsid w:val="00F447E4"/>
    <w:rsid w:val="00F452F8"/>
    <w:rsid w:val="00F465A7"/>
    <w:rsid w:val="00F46909"/>
    <w:rsid w:val="00F50B7C"/>
    <w:rsid w:val="00F51766"/>
    <w:rsid w:val="00F51821"/>
    <w:rsid w:val="00F5214E"/>
    <w:rsid w:val="00F52548"/>
    <w:rsid w:val="00F54803"/>
    <w:rsid w:val="00F54A61"/>
    <w:rsid w:val="00F550E6"/>
    <w:rsid w:val="00F5625D"/>
    <w:rsid w:val="00F574F2"/>
    <w:rsid w:val="00F57B63"/>
    <w:rsid w:val="00F612AF"/>
    <w:rsid w:val="00F61AA0"/>
    <w:rsid w:val="00F61B60"/>
    <w:rsid w:val="00F61E11"/>
    <w:rsid w:val="00F62031"/>
    <w:rsid w:val="00F62502"/>
    <w:rsid w:val="00F63AD6"/>
    <w:rsid w:val="00F65184"/>
    <w:rsid w:val="00F6572D"/>
    <w:rsid w:val="00F65FA6"/>
    <w:rsid w:val="00F66553"/>
    <w:rsid w:val="00F66852"/>
    <w:rsid w:val="00F70E53"/>
    <w:rsid w:val="00F74345"/>
    <w:rsid w:val="00F75FC1"/>
    <w:rsid w:val="00F7750E"/>
    <w:rsid w:val="00F803E2"/>
    <w:rsid w:val="00F80A0A"/>
    <w:rsid w:val="00F82B19"/>
    <w:rsid w:val="00F83DAD"/>
    <w:rsid w:val="00F84001"/>
    <w:rsid w:val="00F8607A"/>
    <w:rsid w:val="00F863B2"/>
    <w:rsid w:val="00F90E25"/>
    <w:rsid w:val="00F91A5B"/>
    <w:rsid w:val="00F91FAA"/>
    <w:rsid w:val="00F9212D"/>
    <w:rsid w:val="00F93282"/>
    <w:rsid w:val="00F93838"/>
    <w:rsid w:val="00F95B68"/>
    <w:rsid w:val="00F965DA"/>
    <w:rsid w:val="00F968EA"/>
    <w:rsid w:val="00FA17D3"/>
    <w:rsid w:val="00FA406A"/>
    <w:rsid w:val="00FA673A"/>
    <w:rsid w:val="00FA6F2B"/>
    <w:rsid w:val="00FA72C6"/>
    <w:rsid w:val="00FB38C4"/>
    <w:rsid w:val="00FB4BE4"/>
    <w:rsid w:val="00FB503A"/>
    <w:rsid w:val="00FB50FA"/>
    <w:rsid w:val="00FB516C"/>
    <w:rsid w:val="00FB5447"/>
    <w:rsid w:val="00FB7CD2"/>
    <w:rsid w:val="00FC05F3"/>
    <w:rsid w:val="00FC12B8"/>
    <w:rsid w:val="00FC2E92"/>
    <w:rsid w:val="00FC3959"/>
    <w:rsid w:val="00FC39AB"/>
    <w:rsid w:val="00FD0236"/>
    <w:rsid w:val="00FD06A6"/>
    <w:rsid w:val="00FD18F4"/>
    <w:rsid w:val="00FD23AB"/>
    <w:rsid w:val="00FD4DEE"/>
    <w:rsid w:val="00FD54DB"/>
    <w:rsid w:val="00FD619F"/>
    <w:rsid w:val="00FE1AC9"/>
    <w:rsid w:val="00FE380A"/>
    <w:rsid w:val="00FF0086"/>
    <w:rsid w:val="00FF375F"/>
    <w:rsid w:val="00FF39FA"/>
    <w:rsid w:val="00FF4438"/>
    <w:rsid w:val="00FF46AA"/>
    <w:rsid w:val="00FF50B5"/>
    <w:rsid w:val="00FF573C"/>
    <w:rsid w:val="00FF6DC3"/>
    <w:rsid w:val="00FF73FD"/>
    <w:rsid w:val="01290F7E"/>
    <w:rsid w:val="015D1E09"/>
    <w:rsid w:val="02697903"/>
    <w:rsid w:val="02F96569"/>
    <w:rsid w:val="03C767E3"/>
    <w:rsid w:val="03EA7B21"/>
    <w:rsid w:val="03FF5A4D"/>
    <w:rsid w:val="05F83EAE"/>
    <w:rsid w:val="060B3A8F"/>
    <w:rsid w:val="063E7D85"/>
    <w:rsid w:val="07293586"/>
    <w:rsid w:val="07295285"/>
    <w:rsid w:val="07636392"/>
    <w:rsid w:val="07770C56"/>
    <w:rsid w:val="092217DD"/>
    <w:rsid w:val="093A7294"/>
    <w:rsid w:val="0A186577"/>
    <w:rsid w:val="0A263993"/>
    <w:rsid w:val="0A2D3AC2"/>
    <w:rsid w:val="0AA755DF"/>
    <w:rsid w:val="0B120D44"/>
    <w:rsid w:val="0BD02973"/>
    <w:rsid w:val="0BD27BF6"/>
    <w:rsid w:val="0C3B3C7D"/>
    <w:rsid w:val="0CAB2EAE"/>
    <w:rsid w:val="0CF06C59"/>
    <w:rsid w:val="0D621C7D"/>
    <w:rsid w:val="0E73034D"/>
    <w:rsid w:val="0E995203"/>
    <w:rsid w:val="0EF159A6"/>
    <w:rsid w:val="0EF222E4"/>
    <w:rsid w:val="0F13775A"/>
    <w:rsid w:val="0F5F45FE"/>
    <w:rsid w:val="0F8A0AA5"/>
    <w:rsid w:val="0F9A112B"/>
    <w:rsid w:val="106D2F64"/>
    <w:rsid w:val="10B63710"/>
    <w:rsid w:val="10F10820"/>
    <w:rsid w:val="111C2F7A"/>
    <w:rsid w:val="11665CA1"/>
    <w:rsid w:val="13951726"/>
    <w:rsid w:val="14261874"/>
    <w:rsid w:val="14396509"/>
    <w:rsid w:val="14DD2C3C"/>
    <w:rsid w:val="16087E1D"/>
    <w:rsid w:val="17326AA0"/>
    <w:rsid w:val="17701D14"/>
    <w:rsid w:val="17735226"/>
    <w:rsid w:val="189F624C"/>
    <w:rsid w:val="1A1C66C0"/>
    <w:rsid w:val="1A42393B"/>
    <w:rsid w:val="1AAD45DE"/>
    <w:rsid w:val="1B046F80"/>
    <w:rsid w:val="1B3267B5"/>
    <w:rsid w:val="1B3876DA"/>
    <w:rsid w:val="1B40161D"/>
    <w:rsid w:val="1B441859"/>
    <w:rsid w:val="1B6606B1"/>
    <w:rsid w:val="1C1109F3"/>
    <w:rsid w:val="1C5E7925"/>
    <w:rsid w:val="1CFD070F"/>
    <w:rsid w:val="1D5F6196"/>
    <w:rsid w:val="1D6132A5"/>
    <w:rsid w:val="1D8E56D5"/>
    <w:rsid w:val="1E7A43DA"/>
    <w:rsid w:val="1FE7539E"/>
    <w:rsid w:val="20671BE0"/>
    <w:rsid w:val="20963CB8"/>
    <w:rsid w:val="20A81A1B"/>
    <w:rsid w:val="20B07FB6"/>
    <w:rsid w:val="20B646FB"/>
    <w:rsid w:val="21011B4E"/>
    <w:rsid w:val="213B74B1"/>
    <w:rsid w:val="215A2310"/>
    <w:rsid w:val="216B2B48"/>
    <w:rsid w:val="21DE318A"/>
    <w:rsid w:val="21EF5B80"/>
    <w:rsid w:val="22576990"/>
    <w:rsid w:val="22F47480"/>
    <w:rsid w:val="23DE1C48"/>
    <w:rsid w:val="240210CD"/>
    <w:rsid w:val="24BF09F7"/>
    <w:rsid w:val="25020C64"/>
    <w:rsid w:val="252D53FE"/>
    <w:rsid w:val="25EC2D81"/>
    <w:rsid w:val="277057A2"/>
    <w:rsid w:val="29206EB8"/>
    <w:rsid w:val="2930099D"/>
    <w:rsid w:val="29595666"/>
    <w:rsid w:val="29874881"/>
    <w:rsid w:val="29E325E0"/>
    <w:rsid w:val="2A452503"/>
    <w:rsid w:val="2A832011"/>
    <w:rsid w:val="2BA936A8"/>
    <w:rsid w:val="2C315A5A"/>
    <w:rsid w:val="2C4B1C25"/>
    <w:rsid w:val="2D9E56F5"/>
    <w:rsid w:val="2E667F96"/>
    <w:rsid w:val="2E8226AB"/>
    <w:rsid w:val="2EBD79D7"/>
    <w:rsid w:val="2FD065E6"/>
    <w:rsid w:val="2FD96870"/>
    <w:rsid w:val="30580BC9"/>
    <w:rsid w:val="311E2ED7"/>
    <w:rsid w:val="315619EE"/>
    <w:rsid w:val="315C449C"/>
    <w:rsid w:val="31B82709"/>
    <w:rsid w:val="31D05482"/>
    <w:rsid w:val="32400B34"/>
    <w:rsid w:val="329E6876"/>
    <w:rsid w:val="333015F2"/>
    <w:rsid w:val="334B6320"/>
    <w:rsid w:val="33D934D4"/>
    <w:rsid w:val="33FE2F6A"/>
    <w:rsid w:val="340E07E5"/>
    <w:rsid w:val="34235BF7"/>
    <w:rsid w:val="358C5FA8"/>
    <w:rsid w:val="35C15DF1"/>
    <w:rsid w:val="36074A7F"/>
    <w:rsid w:val="36923549"/>
    <w:rsid w:val="36B75FBF"/>
    <w:rsid w:val="36BD0C45"/>
    <w:rsid w:val="36EF6BCB"/>
    <w:rsid w:val="37E00298"/>
    <w:rsid w:val="38B302F9"/>
    <w:rsid w:val="38F12CD3"/>
    <w:rsid w:val="38F94775"/>
    <w:rsid w:val="392971ED"/>
    <w:rsid w:val="39325651"/>
    <w:rsid w:val="3A872856"/>
    <w:rsid w:val="3B3763D1"/>
    <w:rsid w:val="3C2F6E1E"/>
    <w:rsid w:val="3C4F64BA"/>
    <w:rsid w:val="3CDA245A"/>
    <w:rsid w:val="3D1E06B7"/>
    <w:rsid w:val="3D6F2149"/>
    <w:rsid w:val="3EDA0523"/>
    <w:rsid w:val="3F743008"/>
    <w:rsid w:val="406D5519"/>
    <w:rsid w:val="407A6407"/>
    <w:rsid w:val="4200449D"/>
    <w:rsid w:val="423A3BCC"/>
    <w:rsid w:val="424E57D2"/>
    <w:rsid w:val="42B26C49"/>
    <w:rsid w:val="433A6FE6"/>
    <w:rsid w:val="43480868"/>
    <w:rsid w:val="4350713C"/>
    <w:rsid w:val="436653E0"/>
    <w:rsid w:val="43C4431A"/>
    <w:rsid w:val="43F57B70"/>
    <w:rsid w:val="44B951CC"/>
    <w:rsid w:val="44CD14E0"/>
    <w:rsid w:val="44F20B0B"/>
    <w:rsid w:val="452E5F4C"/>
    <w:rsid w:val="45612018"/>
    <w:rsid w:val="458946E9"/>
    <w:rsid w:val="45A47C0E"/>
    <w:rsid w:val="461C0026"/>
    <w:rsid w:val="46577FD6"/>
    <w:rsid w:val="46D955A7"/>
    <w:rsid w:val="47133957"/>
    <w:rsid w:val="47A07E0C"/>
    <w:rsid w:val="4870272E"/>
    <w:rsid w:val="49DC7715"/>
    <w:rsid w:val="4A023139"/>
    <w:rsid w:val="4A7B576F"/>
    <w:rsid w:val="4AF561A9"/>
    <w:rsid w:val="4C4A0649"/>
    <w:rsid w:val="4C7E5ECA"/>
    <w:rsid w:val="4C876AA5"/>
    <w:rsid w:val="4D0E00FB"/>
    <w:rsid w:val="4D176606"/>
    <w:rsid w:val="4DEC4FB0"/>
    <w:rsid w:val="4E075D8A"/>
    <w:rsid w:val="4E42730F"/>
    <w:rsid w:val="4E820148"/>
    <w:rsid w:val="4EC00FAD"/>
    <w:rsid w:val="4F9843DC"/>
    <w:rsid w:val="4FC62A8C"/>
    <w:rsid w:val="4FE20F0D"/>
    <w:rsid w:val="4FE51552"/>
    <w:rsid w:val="50504C4B"/>
    <w:rsid w:val="509C6E7C"/>
    <w:rsid w:val="5162104E"/>
    <w:rsid w:val="528C3FC4"/>
    <w:rsid w:val="53615BC0"/>
    <w:rsid w:val="536D6CE7"/>
    <w:rsid w:val="53A039CC"/>
    <w:rsid w:val="53A1505A"/>
    <w:rsid w:val="54063E08"/>
    <w:rsid w:val="543437E8"/>
    <w:rsid w:val="54E13477"/>
    <w:rsid w:val="54F73313"/>
    <w:rsid w:val="54F80955"/>
    <w:rsid w:val="55330A67"/>
    <w:rsid w:val="555170A7"/>
    <w:rsid w:val="5587536D"/>
    <w:rsid w:val="559B174B"/>
    <w:rsid w:val="55CE0CF4"/>
    <w:rsid w:val="56B22A9C"/>
    <w:rsid w:val="57B72A76"/>
    <w:rsid w:val="57C3426C"/>
    <w:rsid w:val="57CE1F93"/>
    <w:rsid w:val="5815095C"/>
    <w:rsid w:val="588743D1"/>
    <w:rsid w:val="5887701A"/>
    <w:rsid w:val="59A65B29"/>
    <w:rsid w:val="59C0439F"/>
    <w:rsid w:val="5ABE2233"/>
    <w:rsid w:val="5AD22D13"/>
    <w:rsid w:val="5BDF5D95"/>
    <w:rsid w:val="5BFE7528"/>
    <w:rsid w:val="5D662497"/>
    <w:rsid w:val="5E2467F1"/>
    <w:rsid w:val="5F1A2B43"/>
    <w:rsid w:val="5FB837BB"/>
    <w:rsid w:val="60CC405A"/>
    <w:rsid w:val="61E215D8"/>
    <w:rsid w:val="621B3775"/>
    <w:rsid w:val="62364782"/>
    <w:rsid w:val="6394356A"/>
    <w:rsid w:val="63C61B2C"/>
    <w:rsid w:val="63D40BE9"/>
    <w:rsid w:val="64102431"/>
    <w:rsid w:val="64A5243A"/>
    <w:rsid w:val="64F531DE"/>
    <w:rsid w:val="65373578"/>
    <w:rsid w:val="65415372"/>
    <w:rsid w:val="671F124A"/>
    <w:rsid w:val="677A33C6"/>
    <w:rsid w:val="67E606AE"/>
    <w:rsid w:val="681F6961"/>
    <w:rsid w:val="68610A2F"/>
    <w:rsid w:val="68805514"/>
    <w:rsid w:val="69316E2F"/>
    <w:rsid w:val="694E2071"/>
    <w:rsid w:val="69766163"/>
    <w:rsid w:val="697A3B33"/>
    <w:rsid w:val="69D44760"/>
    <w:rsid w:val="6A520EC7"/>
    <w:rsid w:val="6AF87E20"/>
    <w:rsid w:val="6B322639"/>
    <w:rsid w:val="6C636C38"/>
    <w:rsid w:val="6DB34098"/>
    <w:rsid w:val="6DB545B6"/>
    <w:rsid w:val="6DDB3E40"/>
    <w:rsid w:val="6DE02FB4"/>
    <w:rsid w:val="6E514CED"/>
    <w:rsid w:val="6EB563D5"/>
    <w:rsid w:val="6ED92677"/>
    <w:rsid w:val="6F225983"/>
    <w:rsid w:val="6FFC5590"/>
    <w:rsid w:val="70011847"/>
    <w:rsid w:val="706D1DD0"/>
    <w:rsid w:val="70856B87"/>
    <w:rsid w:val="70D527EE"/>
    <w:rsid w:val="715B5300"/>
    <w:rsid w:val="71854580"/>
    <w:rsid w:val="71B8732F"/>
    <w:rsid w:val="71D27F8A"/>
    <w:rsid w:val="722E1196"/>
    <w:rsid w:val="72553024"/>
    <w:rsid w:val="72EB43F9"/>
    <w:rsid w:val="73122968"/>
    <w:rsid w:val="731F5D5E"/>
    <w:rsid w:val="73C51AD5"/>
    <w:rsid w:val="741E793C"/>
    <w:rsid w:val="74323DB2"/>
    <w:rsid w:val="745E3944"/>
    <w:rsid w:val="751923D8"/>
    <w:rsid w:val="7635099D"/>
    <w:rsid w:val="76896B9D"/>
    <w:rsid w:val="77150A65"/>
    <w:rsid w:val="77762421"/>
    <w:rsid w:val="77B56B1F"/>
    <w:rsid w:val="780F09F4"/>
    <w:rsid w:val="78411B63"/>
    <w:rsid w:val="78A90480"/>
    <w:rsid w:val="794F74E6"/>
    <w:rsid w:val="7A364017"/>
    <w:rsid w:val="7A8265E1"/>
    <w:rsid w:val="7B686D42"/>
    <w:rsid w:val="7B81049A"/>
    <w:rsid w:val="7B841746"/>
    <w:rsid w:val="7C6C5AC7"/>
    <w:rsid w:val="7CC6544B"/>
    <w:rsid w:val="7D0239FF"/>
    <w:rsid w:val="7D5E40CD"/>
    <w:rsid w:val="7DCD56F2"/>
    <w:rsid w:val="7DF34C50"/>
    <w:rsid w:val="7EF4225F"/>
    <w:rsid w:val="7F001CE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iPriority="0" w:name="heading 3" w:locked="1"/>
    <w:lsdException w:qFormat="1" w:uiPriority="0" w:name="heading 4" w:locked="1"/>
    <w:lsdException w:qFormat="1"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99"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99"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qFormat="1"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iPriority="99"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unhideWhenUsed="0" w:uiPriority="0" w:semiHidden="0" w:name="Plain Text" w:locked="1"/>
    <w:lsdException w:unhideWhenUsed="0" w:uiPriority="0" w:semiHidden="0" w:name="E-mail Signature" w:locked="1"/>
    <w:lsdException w:qFormat="1" w:unhideWhenUsed="0" w:uiPriority="99"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iPriority="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link w:val="68"/>
    <w:semiHidden/>
    <w:unhideWhenUsed/>
    <w:qFormat/>
    <w:locked/>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7">
    <w:name w:val="heading 3"/>
    <w:basedOn w:val="1"/>
    <w:next w:val="1"/>
    <w:link w:val="47"/>
    <w:semiHidden/>
    <w:unhideWhenUsed/>
    <w:qFormat/>
    <w:locked/>
    <w:uiPriority w:val="0"/>
    <w:pPr>
      <w:keepNext/>
      <w:keepLines/>
      <w:spacing w:before="260" w:after="260" w:line="416" w:lineRule="auto"/>
      <w:outlineLvl w:val="2"/>
    </w:pPr>
    <w:rPr>
      <w:b/>
      <w:bCs/>
      <w:sz w:val="32"/>
      <w:szCs w:val="32"/>
    </w:rPr>
  </w:style>
  <w:style w:type="paragraph" w:styleId="8">
    <w:name w:val="heading 5"/>
    <w:basedOn w:val="1"/>
    <w:next w:val="1"/>
    <w:unhideWhenUsed/>
    <w:qFormat/>
    <w:locked/>
    <w:uiPriority w:val="0"/>
    <w:pPr>
      <w:numPr>
        <w:ilvl w:val="4"/>
        <w:numId w:val="1"/>
      </w:numPr>
      <w:ind w:left="0" w:firstLine="720"/>
      <w:outlineLvl w:val="4"/>
    </w:p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customStyle="1" w:styleId="2">
    <w:name w:val="样式 样式 样式 四号 左侧:  1.53 厘米 + 首行缩进:  2 字符 + 居中 左侧:  2 字符 首行缩进:  2..."/>
    <w:basedOn w:val="3"/>
    <w:qFormat/>
    <w:uiPriority w:val="0"/>
    <w:pPr>
      <w:spacing w:line="360" w:lineRule="auto"/>
      <w:jc w:val="center"/>
    </w:pPr>
  </w:style>
  <w:style w:type="paragraph" w:customStyle="1" w:styleId="3">
    <w:name w:val="样式 样式 四号 左侧:  1.53 厘米 + 首行缩进:  2 字符"/>
    <w:basedOn w:val="4"/>
    <w:qFormat/>
    <w:uiPriority w:val="99"/>
    <w:pPr>
      <w:ind w:left="200" w:leftChars="200"/>
    </w:pPr>
    <w:rPr>
      <w:szCs w:val="20"/>
    </w:rPr>
  </w:style>
  <w:style w:type="paragraph" w:customStyle="1" w:styleId="4">
    <w:name w:val="样式 四号 左侧:  1.53 厘米"/>
    <w:basedOn w:val="1"/>
    <w:qFormat/>
    <w:uiPriority w:val="99"/>
    <w:rPr>
      <w:w w:val="90"/>
      <w:sz w:val="28"/>
      <w:szCs w:val="28"/>
    </w:rPr>
  </w:style>
  <w:style w:type="paragraph" w:styleId="9">
    <w:name w:val="Normal Indent"/>
    <w:basedOn w:val="1"/>
    <w:next w:val="1"/>
    <w:autoRedefine/>
    <w:qFormat/>
    <w:locked/>
    <w:uiPriority w:val="0"/>
    <w:pPr>
      <w:ind w:firstLine="420"/>
    </w:pPr>
    <w:rPr>
      <w:rFonts w:hAnsiTheme="minorHAnsi" w:eastAsiaTheme="minorEastAsia" w:cstheme="minorBidi"/>
      <w:sz w:val="28"/>
    </w:rPr>
  </w:style>
  <w:style w:type="paragraph" w:styleId="10">
    <w:name w:val="annotation text"/>
    <w:basedOn w:val="1"/>
    <w:link w:val="36"/>
    <w:qFormat/>
    <w:uiPriority w:val="99"/>
    <w:pPr>
      <w:jc w:val="left"/>
    </w:pPr>
    <w:rPr>
      <w:kern w:val="0"/>
      <w:sz w:val="24"/>
      <w:szCs w:val="20"/>
    </w:rPr>
  </w:style>
  <w:style w:type="paragraph" w:styleId="11">
    <w:name w:val="Body Text"/>
    <w:basedOn w:val="1"/>
    <w:link w:val="35"/>
    <w:qFormat/>
    <w:uiPriority w:val="0"/>
    <w:pPr>
      <w:widowControl/>
      <w:snapToGrid w:val="0"/>
      <w:spacing w:before="60" w:after="160" w:line="259" w:lineRule="auto"/>
      <w:ind w:right="113"/>
    </w:pPr>
    <w:rPr>
      <w:kern w:val="0"/>
      <w:sz w:val="18"/>
      <w:szCs w:val="20"/>
    </w:rPr>
  </w:style>
  <w:style w:type="paragraph" w:styleId="12">
    <w:name w:val="Body Text Indent"/>
    <w:basedOn w:val="1"/>
    <w:link w:val="44"/>
    <w:qFormat/>
    <w:uiPriority w:val="0"/>
    <w:pPr>
      <w:spacing w:after="120"/>
      <w:ind w:left="420" w:leftChars="200"/>
    </w:pPr>
    <w:rPr>
      <w:kern w:val="0"/>
      <w:sz w:val="24"/>
      <w:szCs w:val="20"/>
    </w:rPr>
  </w:style>
  <w:style w:type="paragraph" w:styleId="13">
    <w:name w:val="Date"/>
    <w:basedOn w:val="1"/>
    <w:next w:val="1"/>
    <w:link w:val="31"/>
    <w:qFormat/>
    <w:uiPriority w:val="0"/>
    <w:pPr>
      <w:ind w:left="100" w:leftChars="2500"/>
    </w:pPr>
    <w:rPr>
      <w:kern w:val="0"/>
      <w:sz w:val="24"/>
      <w:szCs w:val="20"/>
    </w:rPr>
  </w:style>
  <w:style w:type="paragraph" w:styleId="14">
    <w:name w:val="Body Text Indent 2"/>
    <w:basedOn w:val="1"/>
    <w:next w:val="1"/>
    <w:unhideWhenUsed/>
    <w:qFormat/>
    <w:locked/>
    <w:uiPriority w:val="99"/>
    <w:pPr>
      <w:spacing w:after="120" w:line="480" w:lineRule="auto"/>
      <w:ind w:left="420" w:leftChars="200"/>
    </w:pPr>
  </w:style>
  <w:style w:type="paragraph" w:styleId="15">
    <w:name w:val="Balloon Text"/>
    <w:basedOn w:val="1"/>
    <w:link w:val="40"/>
    <w:semiHidden/>
    <w:qFormat/>
    <w:uiPriority w:val="0"/>
    <w:rPr>
      <w:kern w:val="0"/>
      <w:sz w:val="18"/>
      <w:szCs w:val="20"/>
    </w:rPr>
  </w:style>
  <w:style w:type="paragraph" w:styleId="16">
    <w:name w:val="footer"/>
    <w:basedOn w:val="1"/>
    <w:link w:val="30"/>
    <w:qFormat/>
    <w:uiPriority w:val="99"/>
    <w:pPr>
      <w:tabs>
        <w:tab w:val="center" w:pos="4153"/>
        <w:tab w:val="right" w:pos="8306"/>
      </w:tabs>
      <w:snapToGrid w:val="0"/>
      <w:jc w:val="left"/>
    </w:pPr>
    <w:rPr>
      <w:kern w:val="0"/>
      <w:sz w:val="18"/>
      <w:szCs w:val="20"/>
    </w:rPr>
  </w:style>
  <w:style w:type="paragraph" w:styleId="17">
    <w:name w:val="header"/>
    <w:basedOn w:val="1"/>
    <w:link w:val="42"/>
    <w:qFormat/>
    <w:uiPriority w:val="0"/>
    <w:pPr>
      <w:pBdr>
        <w:bottom w:val="single" w:color="auto" w:sz="6" w:space="1"/>
      </w:pBdr>
      <w:tabs>
        <w:tab w:val="center" w:pos="4153"/>
        <w:tab w:val="right" w:pos="8306"/>
      </w:tabs>
      <w:snapToGrid w:val="0"/>
      <w:jc w:val="center"/>
    </w:pPr>
    <w:rPr>
      <w:kern w:val="0"/>
      <w:sz w:val="18"/>
      <w:szCs w:val="20"/>
    </w:rPr>
  </w:style>
  <w:style w:type="paragraph" w:styleId="18">
    <w:name w:val="Body Text 2"/>
    <w:basedOn w:val="1"/>
    <w:link w:val="75"/>
    <w:qFormat/>
    <w:locked/>
    <w:uiPriority w:val="0"/>
    <w:pPr>
      <w:spacing w:after="120" w:line="480" w:lineRule="auto"/>
    </w:pPr>
  </w:style>
  <w:style w:type="paragraph" w:styleId="19">
    <w:name w:val="Normal (Web)"/>
    <w:basedOn w:val="1"/>
    <w:link w:val="33"/>
    <w:qFormat/>
    <w:uiPriority w:val="99"/>
    <w:pPr>
      <w:widowControl/>
      <w:spacing w:before="100" w:beforeAutospacing="1" w:after="100" w:afterAutospacing="1"/>
      <w:jc w:val="left"/>
    </w:pPr>
    <w:rPr>
      <w:rFonts w:ascii="宋体" w:hAnsi="宋体"/>
      <w:kern w:val="0"/>
      <w:sz w:val="24"/>
      <w:szCs w:val="20"/>
    </w:rPr>
  </w:style>
  <w:style w:type="paragraph" w:styleId="20">
    <w:name w:val="Title"/>
    <w:basedOn w:val="1"/>
    <w:next w:val="1"/>
    <w:qFormat/>
    <w:locked/>
    <w:uiPriority w:val="99"/>
    <w:pPr>
      <w:spacing w:before="240" w:after="60"/>
      <w:jc w:val="center"/>
      <w:outlineLvl w:val="0"/>
    </w:pPr>
    <w:rPr>
      <w:rFonts w:ascii="Calibri Light" w:hAnsi="Calibri Light"/>
      <w:b/>
      <w:bCs/>
      <w:kern w:val="0"/>
      <w:sz w:val="32"/>
      <w:szCs w:val="32"/>
    </w:rPr>
  </w:style>
  <w:style w:type="paragraph" w:styleId="21">
    <w:name w:val="annotation subject"/>
    <w:basedOn w:val="10"/>
    <w:next w:val="10"/>
    <w:link w:val="41"/>
    <w:semiHidden/>
    <w:qFormat/>
    <w:uiPriority w:val="0"/>
    <w:rPr>
      <w:b/>
    </w:rPr>
  </w:style>
  <w:style w:type="paragraph" w:styleId="22">
    <w:name w:val="Body Text First Indent 2"/>
    <w:basedOn w:val="1"/>
    <w:next w:val="1"/>
    <w:unhideWhenUsed/>
    <w:qFormat/>
    <w:locked/>
    <w:uiPriority w:val="0"/>
    <w:pPr>
      <w:ind w:firstLine="420"/>
    </w:pPr>
  </w:style>
  <w:style w:type="table" w:styleId="24">
    <w:name w:val="Table Grid"/>
    <w:basedOn w:val="2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page number"/>
    <w:basedOn w:val="25"/>
    <w:qFormat/>
    <w:locked/>
    <w:uiPriority w:val="0"/>
  </w:style>
  <w:style w:type="character" w:styleId="27">
    <w:name w:val="Emphasis"/>
    <w:autoRedefine/>
    <w:qFormat/>
    <w:locked/>
    <w:uiPriority w:val="0"/>
    <w:rPr>
      <w:b/>
      <w:sz w:val="21"/>
      <w:szCs w:val="21"/>
    </w:rPr>
  </w:style>
  <w:style w:type="character" w:styleId="28">
    <w:name w:val="Hyperlink"/>
    <w:basedOn w:val="25"/>
    <w:qFormat/>
    <w:locked/>
    <w:uiPriority w:val="0"/>
    <w:rPr>
      <w:color w:val="0563C1" w:themeColor="hyperlink"/>
      <w:u w:val="single"/>
      <w14:textFill>
        <w14:solidFill>
          <w14:schemeClr w14:val="hlink"/>
        </w14:solidFill>
      </w14:textFill>
    </w:rPr>
  </w:style>
  <w:style w:type="character" w:styleId="29">
    <w:name w:val="annotation reference"/>
    <w:qFormat/>
    <w:uiPriority w:val="0"/>
    <w:rPr>
      <w:sz w:val="21"/>
    </w:rPr>
  </w:style>
  <w:style w:type="character" w:customStyle="1" w:styleId="30">
    <w:name w:val="页脚 字符1"/>
    <w:link w:val="16"/>
    <w:qFormat/>
    <w:locked/>
    <w:uiPriority w:val="99"/>
    <w:rPr>
      <w:sz w:val="18"/>
    </w:rPr>
  </w:style>
  <w:style w:type="character" w:customStyle="1" w:styleId="31">
    <w:name w:val="日期 字符1"/>
    <w:link w:val="13"/>
    <w:qFormat/>
    <w:locked/>
    <w:uiPriority w:val="0"/>
    <w:rPr>
      <w:rFonts w:ascii="Times New Roman" w:hAnsi="Times New Roman" w:eastAsia="宋体"/>
      <w:sz w:val="24"/>
    </w:rPr>
  </w:style>
  <w:style w:type="character" w:customStyle="1" w:styleId="32">
    <w:name w:val="页脚 字符"/>
    <w:basedOn w:val="25"/>
    <w:qFormat/>
    <w:uiPriority w:val="99"/>
  </w:style>
  <w:style w:type="character" w:customStyle="1" w:styleId="33">
    <w:name w:val="普通(网站) 字符"/>
    <w:link w:val="19"/>
    <w:qFormat/>
    <w:locked/>
    <w:uiPriority w:val="0"/>
    <w:rPr>
      <w:rFonts w:ascii="宋体" w:hAnsi="宋体" w:eastAsia="宋体"/>
      <w:sz w:val="24"/>
    </w:rPr>
  </w:style>
  <w:style w:type="character" w:customStyle="1" w:styleId="34">
    <w:name w:val="正文文本 字符1"/>
    <w:semiHidden/>
    <w:qFormat/>
    <w:uiPriority w:val="0"/>
    <w:rPr>
      <w:rFonts w:ascii="Times New Roman" w:hAnsi="Times New Roman" w:eastAsia="宋体"/>
      <w:sz w:val="24"/>
    </w:rPr>
  </w:style>
  <w:style w:type="character" w:customStyle="1" w:styleId="35">
    <w:name w:val="正文文本 字符"/>
    <w:link w:val="11"/>
    <w:qFormat/>
    <w:locked/>
    <w:uiPriority w:val="0"/>
    <w:rPr>
      <w:sz w:val="18"/>
    </w:rPr>
  </w:style>
  <w:style w:type="character" w:customStyle="1" w:styleId="36">
    <w:name w:val="批注文字 字符"/>
    <w:link w:val="10"/>
    <w:qFormat/>
    <w:locked/>
    <w:uiPriority w:val="99"/>
    <w:rPr>
      <w:rFonts w:ascii="Times New Roman" w:hAnsi="Times New Roman" w:eastAsia="宋体"/>
      <w:sz w:val="24"/>
    </w:rPr>
  </w:style>
  <w:style w:type="character" w:customStyle="1" w:styleId="37">
    <w:name w:val="表格 Char"/>
    <w:link w:val="38"/>
    <w:qFormat/>
    <w:locked/>
    <w:uiPriority w:val="0"/>
    <w:rPr>
      <w:rFonts w:ascii="宋体"/>
      <w:sz w:val="21"/>
    </w:rPr>
  </w:style>
  <w:style w:type="paragraph" w:customStyle="1" w:styleId="38">
    <w:name w:val="表格"/>
    <w:basedOn w:val="1"/>
    <w:next w:val="1"/>
    <w:link w:val="37"/>
    <w:qFormat/>
    <w:uiPriority w:val="0"/>
    <w:pPr>
      <w:adjustRightInd w:val="0"/>
      <w:snapToGrid w:val="0"/>
      <w:spacing w:beforeLines="10" w:afterLines="10" w:line="259" w:lineRule="auto"/>
      <w:jc w:val="center"/>
    </w:pPr>
    <w:rPr>
      <w:rFonts w:ascii="宋体"/>
      <w:kern w:val="0"/>
      <w:szCs w:val="20"/>
    </w:rPr>
  </w:style>
  <w:style w:type="character" w:customStyle="1" w:styleId="39">
    <w:name w:val="日期 字符"/>
    <w:semiHidden/>
    <w:qFormat/>
    <w:uiPriority w:val="0"/>
    <w:rPr>
      <w:rFonts w:ascii="Times New Roman" w:hAnsi="Times New Roman" w:eastAsia="宋体"/>
      <w:sz w:val="24"/>
    </w:rPr>
  </w:style>
  <w:style w:type="character" w:customStyle="1" w:styleId="40">
    <w:name w:val="批注框文本 字符"/>
    <w:link w:val="15"/>
    <w:semiHidden/>
    <w:qFormat/>
    <w:locked/>
    <w:uiPriority w:val="0"/>
    <w:rPr>
      <w:rFonts w:ascii="Times New Roman" w:hAnsi="Times New Roman" w:eastAsia="宋体"/>
      <w:sz w:val="18"/>
    </w:rPr>
  </w:style>
  <w:style w:type="character" w:customStyle="1" w:styleId="41">
    <w:name w:val="批注主题 字符"/>
    <w:link w:val="21"/>
    <w:semiHidden/>
    <w:qFormat/>
    <w:locked/>
    <w:uiPriority w:val="0"/>
    <w:rPr>
      <w:rFonts w:ascii="Times New Roman" w:hAnsi="Times New Roman" w:eastAsia="宋体"/>
      <w:b/>
      <w:kern w:val="2"/>
      <w:sz w:val="24"/>
    </w:rPr>
  </w:style>
  <w:style w:type="character" w:customStyle="1" w:styleId="42">
    <w:name w:val="页眉 字符"/>
    <w:link w:val="17"/>
    <w:qFormat/>
    <w:locked/>
    <w:uiPriority w:val="0"/>
    <w:rPr>
      <w:sz w:val="18"/>
    </w:rPr>
  </w:style>
  <w:style w:type="character" w:customStyle="1" w:styleId="43">
    <w:name w:val="批注文字 字符1"/>
    <w:semiHidden/>
    <w:qFormat/>
    <w:uiPriority w:val="0"/>
    <w:rPr>
      <w:rFonts w:ascii="Times New Roman" w:hAnsi="Times New Roman" w:eastAsia="宋体"/>
      <w:sz w:val="24"/>
    </w:rPr>
  </w:style>
  <w:style w:type="character" w:customStyle="1" w:styleId="44">
    <w:name w:val="正文文本缩进 字符"/>
    <w:link w:val="12"/>
    <w:semiHidden/>
    <w:qFormat/>
    <w:locked/>
    <w:uiPriority w:val="0"/>
    <w:rPr>
      <w:rFonts w:ascii="Times New Roman" w:hAnsi="Times New Roman" w:eastAsia="宋体"/>
      <w:sz w:val="24"/>
    </w:rPr>
  </w:style>
  <w:style w:type="paragraph" w:customStyle="1" w:styleId="45">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6">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47">
    <w:name w:val="标题 3 字符"/>
    <w:basedOn w:val="25"/>
    <w:link w:val="7"/>
    <w:semiHidden/>
    <w:qFormat/>
    <w:uiPriority w:val="0"/>
    <w:rPr>
      <w:b/>
      <w:bCs/>
      <w:kern w:val="2"/>
      <w:sz w:val="32"/>
      <w:szCs w:val="32"/>
    </w:rPr>
  </w:style>
  <w:style w:type="character" w:customStyle="1" w:styleId="48">
    <w:name w:val="0表-序号 Char"/>
    <w:link w:val="49"/>
    <w:qFormat/>
    <w:uiPriority w:val="0"/>
    <w:rPr>
      <w:rFonts w:eastAsia="黑体"/>
      <w:sz w:val="21"/>
    </w:rPr>
  </w:style>
  <w:style w:type="paragraph" w:customStyle="1" w:styleId="49">
    <w:name w:val="0表-序号"/>
    <w:next w:val="1"/>
    <w:link w:val="48"/>
    <w:qFormat/>
    <w:uiPriority w:val="0"/>
    <w:pPr>
      <w:tabs>
        <w:tab w:val="left" w:pos="0"/>
      </w:tabs>
      <w:adjustRightInd w:val="0"/>
      <w:snapToGrid w:val="0"/>
      <w:jc w:val="center"/>
    </w:pPr>
    <w:rPr>
      <w:rFonts w:ascii="Times New Roman" w:hAnsi="Times New Roman" w:eastAsia="黑体" w:cs="Times New Roman"/>
      <w:sz w:val="21"/>
      <w:lang w:val="en-US" w:eastAsia="zh-CN" w:bidi="ar-SA"/>
    </w:rPr>
  </w:style>
  <w:style w:type="paragraph" w:styleId="50">
    <w:name w:val="List Paragraph"/>
    <w:basedOn w:val="1"/>
    <w:qFormat/>
    <w:uiPriority w:val="34"/>
    <w:pPr>
      <w:widowControl/>
      <w:adjustRightInd w:val="0"/>
      <w:snapToGrid w:val="0"/>
      <w:ind w:firstLine="420" w:firstLineChars="200"/>
    </w:pPr>
    <w:rPr>
      <w:rFonts w:ascii="Tahoma" w:hAnsi="Tahoma" w:eastAsia="楷体_GB2312"/>
      <w:kern w:val="0"/>
      <w:sz w:val="24"/>
      <w:szCs w:val="22"/>
    </w:rPr>
  </w:style>
  <w:style w:type="paragraph" w:customStyle="1" w:styleId="51">
    <w:name w:val="表头"/>
    <w:basedOn w:val="1"/>
    <w:next w:val="1"/>
    <w:qFormat/>
    <w:uiPriority w:val="0"/>
    <w:pPr>
      <w:tabs>
        <w:tab w:val="left" w:pos="7380"/>
      </w:tabs>
      <w:autoSpaceDE w:val="0"/>
      <w:autoSpaceDN w:val="0"/>
      <w:adjustRightInd w:val="0"/>
      <w:snapToGrid w:val="0"/>
      <w:spacing w:before="80" w:after="80" w:line="480" w:lineRule="exact"/>
      <w:jc w:val="center"/>
      <w:outlineLvl w:val="2"/>
    </w:pPr>
    <w:rPr>
      <w:b/>
      <w:color w:val="000000"/>
      <w:kern w:val="32"/>
      <w:sz w:val="24"/>
      <w:szCs w:val="20"/>
      <w:lang w:val="de-DE"/>
    </w:rPr>
  </w:style>
  <w:style w:type="paragraph" w:customStyle="1" w:styleId="52">
    <w:name w:val="0序号（1）"/>
    <w:basedOn w:val="1"/>
    <w:next w:val="1"/>
    <w:link w:val="55"/>
    <w:qFormat/>
    <w:uiPriority w:val="0"/>
    <w:pPr>
      <w:tabs>
        <w:tab w:val="left" w:pos="0"/>
        <w:tab w:val="left" w:pos="420"/>
        <w:tab w:val="left" w:pos="846"/>
      </w:tabs>
      <w:adjustRightInd w:val="0"/>
      <w:snapToGrid w:val="0"/>
      <w:spacing w:line="360" w:lineRule="auto"/>
      <w:ind w:left="426"/>
    </w:pPr>
    <w:rPr>
      <w:sz w:val="24"/>
    </w:rPr>
  </w:style>
  <w:style w:type="character" w:customStyle="1" w:styleId="53">
    <w:name w:val="000序号（1） Char"/>
    <w:link w:val="54"/>
    <w:qFormat/>
    <w:uiPriority w:val="0"/>
  </w:style>
  <w:style w:type="paragraph" w:customStyle="1" w:styleId="54">
    <w:name w:val="000序号（1）"/>
    <w:basedOn w:val="1"/>
    <w:link w:val="53"/>
    <w:qFormat/>
    <w:uiPriority w:val="0"/>
    <w:pPr>
      <w:numPr>
        <w:ilvl w:val="3"/>
        <w:numId w:val="2"/>
      </w:numPr>
      <w:adjustRightInd w:val="0"/>
      <w:snapToGrid w:val="0"/>
      <w:spacing w:line="360" w:lineRule="auto"/>
    </w:pPr>
    <w:rPr>
      <w:kern w:val="0"/>
      <w:sz w:val="20"/>
      <w:szCs w:val="20"/>
    </w:rPr>
  </w:style>
  <w:style w:type="character" w:customStyle="1" w:styleId="55">
    <w:name w:val="0序号（1） Char"/>
    <w:link w:val="52"/>
    <w:qFormat/>
    <w:uiPriority w:val="0"/>
    <w:rPr>
      <w:kern w:val="2"/>
      <w:sz w:val="24"/>
      <w:szCs w:val="24"/>
    </w:rPr>
  </w:style>
  <w:style w:type="paragraph" w:customStyle="1" w:styleId="56">
    <w:name w:val="我的表格文字"/>
    <w:basedOn w:val="1"/>
    <w:qFormat/>
    <w:uiPriority w:val="0"/>
    <w:pPr>
      <w:widowControl/>
      <w:adjustRightInd w:val="0"/>
      <w:snapToGrid w:val="0"/>
      <w:jc w:val="center"/>
      <w:textAlignment w:val="center"/>
    </w:pPr>
    <w:rPr>
      <w:color w:val="FF0000"/>
      <w:kern w:val="0"/>
      <w:sz w:val="24"/>
      <w:szCs w:val="21"/>
    </w:rPr>
  </w:style>
  <w:style w:type="paragraph" w:customStyle="1" w:styleId="57">
    <w:name w:val="Table Paragraph"/>
    <w:basedOn w:val="1"/>
    <w:qFormat/>
    <w:uiPriority w:val="1"/>
    <w:pPr>
      <w:autoSpaceDE w:val="0"/>
      <w:autoSpaceDN w:val="0"/>
      <w:jc w:val="left"/>
    </w:pPr>
    <w:rPr>
      <w:rFonts w:ascii="宋体" w:hAnsi="宋体" w:cs="宋体"/>
      <w:kern w:val="0"/>
      <w:sz w:val="22"/>
      <w:szCs w:val="22"/>
      <w:lang w:val="zh-CN" w:bidi="zh-CN"/>
    </w:rPr>
  </w:style>
  <w:style w:type="paragraph" w:customStyle="1" w:styleId="58">
    <w:name w:val="书表格内"/>
    <w:basedOn w:val="1"/>
    <w:link w:val="60"/>
    <w:qFormat/>
    <w:uiPriority w:val="0"/>
    <w:pPr>
      <w:spacing w:line="0" w:lineRule="atLeast"/>
      <w:jc w:val="center"/>
    </w:pPr>
    <w:rPr>
      <w:szCs w:val="21"/>
    </w:rPr>
  </w:style>
  <w:style w:type="paragraph" w:customStyle="1" w:styleId="59">
    <w:name w:val="000表格正文"/>
    <w:basedOn w:val="1"/>
    <w:next w:val="1"/>
    <w:link w:val="63"/>
    <w:qFormat/>
    <w:uiPriority w:val="0"/>
    <w:pPr>
      <w:jc w:val="center"/>
    </w:pPr>
    <w:rPr>
      <w:szCs w:val="21"/>
    </w:rPr>
  </w:style>
  <w:style w:type="character" w:customStyle="1" w:styleId="60">
    <w:name w:val="书表格内 Char"/>
    <w:link w:val="58"/>
    <w:qFormat/>
    <w:uiPriority w:val="0"/>
    <w:rPr>
      <w:kern w:val="2"/>
      <w:sz w:val="21"/>
      <w:szCs w:val="21"/>
    </w:rPr>
  </w:style>
  <w:style w:type="paragraph" w:customStyle="1" w:styleId="61">
    <w:name w:val="0表格正文"/>
    <w:basedOn w:val="1"/>
    <w:next w:val="1"/>
    <w:qFormat/>
    <w:uiPriority w:val="0"/>
    <w:pPr>
      <w:pBdr>
        <w:top w:val="none" w:color="auto" w:sz="0" w:space="1"/>
        <w:left w:val="none" w:color="auto" w:sz="0" w:space="4"/>
        <w:bottom w:val="none" w:color="auto" w:sz="0" w:space="1"/>
        <w:right w:val="none" w:color="auto" w:sz="0" w:space="4"/>
      </w:pBdr>
      <w:jc w:val="center"/>
    </w:pPr>
    <w:rPr>
      <w:rFonts w:ascii="宋体" w:hAnsi="宋体"/>
      <w:kern w:val="0"/>
      <w:szCs w:val="20"/>
    </w:rPr>
  </w:style>
  <w:style w:type="paragraph" w:customStyle="1" w:styleId="62">
    <w:name w:val="表中文字"/>
    <w:basedOn w:val="1"/>
    <w:qFormat/>
    <w:uiPriority w:val="0"/>
    <w:pPr>
      <w:adjustRightInd w:val="0"/>
      <w:snapToGrid w:val="0"/>
      <w:spacing w:line="240" w:lineRule="atLeast"/>
      <w:jc w:val="center"/>
    </w:pPr>
    <w:rPr>
      <w:lang w:val="zh-CN"/>
    </w:rPr>
  </w:style>
  <w:style w:type="character" w:customStyle="1" w:styleId="63">
    <w:name w:val="000表格正文 Char"/>
    <w:link w:val="59"/>
    <w:qFormat/>
    <w:locked/>
    <w:uiPriority w:val="99"/>
    <w:rPr>
      <w:kern w:val="2"/>
      <w:sz w:val="21"/>
      <w:szCs w:val="21"/>
    </w:rPr>
  </w:style>
  <w:style w:type="table" w:customStyle="1" w:styleId="64">
    <w:name w:val="Table Normal"/>
    <w:unhideWhenUsed/>
    <w:qFormat/>
    <w:uiPriority w:val="2"/>
    <w:pPr>
      <w:widowControl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paragraph" w:customStyle="1" w:styleId="65">
    <w:name w:val="Table Text"/>
    <w:basedOn w:val="1"/>
    <w:semiHidden/>
    <w:qFormat/>
    <w:uiPriority w:val="0"/>
    <w:pPr>
      <w:widowControl/>
      <w:kinsoku w:val="0"/>
      <w:autoSpaceDE w:val="0"/>
      <w:autoSpaceDN w:val="0"/>
      <w:adjustRightInd w:val="0"/>
      <w:snapToGrid w:val="0"/>
      <w:jc w:val="left"/>
      <w:textAlignment w:val="baseline"/>
    </w:pPr>
    <w:rPr>
      <w:rFonts w:ascii="宋体" w:hAnsi="宋体" w:cs="宋体"/>
      <w:snapToGrid w:val="0"/>
      <w:color w:val="000000"/>
      <w:kern w:val="0"/>
      <w:sz w:val="20"/>
      <w:szCs w:val="20"/>
      <w:lang w:eastAsia="en-US"/>
    </w:rPr>
  </w:style>
  <w:style w:type="character" w:customStyle="1" w:styleId="66">
    <w:name w:val="表格文本 Char"/>
    <w:link w:val="67"/>
    <w:qFormat/>
    <w:uiPriority w:val="0"/>
    <w:rPr>
      <w:sz w:val="21"/>
      <w:szCs w:val="21"/>
    </w:rPr>
  </w:style>
  <w:style w:type="paragraph" w:customStyle="1" w:styleId="67">
    <w:name w:val="表格文本"/>
    <w:basedOn w:val="1"/>
    <w:link w:val="66"/>
    <w:qFormat/>
    <w:uiPriority w:val="0"/>
    <w:pPr>
      <w:snapToGrid w:val="0"/>
      <w:jc w:val="center"/>
    </w:pPr>
    <w:rPr>
      <w:kern w:val="0"/>
      <w:szCs w:val="21"/>
    </w:rPr>
  </w:style>
  <w:style w:type="character" w:customStyle="1" w:styleId="68">
    <w:name w:val="标题 2 字符"/>
    <w:basedOn w:val="25"/>
    <w:link w:val="6"/>
    <w:semiHidden/>
    <w:qFormat/>
    <w:uiPriority w:val="0"/>
    <w:rPr>
      <w:rFonts w:asciiTheme="majorHAnsi" w:hAnsiTheme="majorHAnsi" w:eastAsiaTheme="majorEastAsia" w:cstheme="majorBidi"/>
      <w:b/>
      <w:bCs/>
      <w:kern w:val="2"/>
      <w:sz w:val="32"/>
      <w:szCs w:val="32"/>
    </w:rPr>
  </w:style>
  <w:style w:type="paragraph" w:customStyle="1" w:styleId="69">
    <w:name w:val="Default"/>
    <w:basedOn w:val="70"/>
    <w:next w:val="71"/>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70">
    <w:name w:val="纯文本1"/>
    <w:basedOn w:val="1"/>
    <w:autoRedefine/>
    <w:qFormat/>
    <w:uiPriority w:val="99"/>
    <w:rPr>
      <w:rFonts w:ascii="宋体" w:hAnsi="Courier New" w:cs="Courier New"/>
      <w:szCs w:val="21"/>
    </w:rPr>
  </w:style>
  <w:style w:type="paragraph" w:customStyle="1" w:styleId="71">
    <w:name w:val="样式1"/>
    <w:basedOn w:val="1"/>
    <w:next w:val="1"/>
    <w:autoRedefine/>
    <w:qFormat/>
    <w:uiPriority w:val="0"/>
    <w:pPr>
      <w:snapToGrid w:val="0"/>
      <w:spacing w:line="540" w:lineRule="atLeast"/>
      <w:ind w:firstLine="510"/>
      <w:jc w:val="left"/>
    </w:pPr>
    <w:rPr>
      <w:rFonts w:ascii="宋体"/>
      <w:sz w:val="28"/>
      <w:szCs w:val="20"/>
    </w:rPr>
  </w:style>
  <w:style w:type="paragraph" w:customStyle="1" w:styleId="72">
    <w:name w:val="+正文"/>
    <w:basedOn w:val="1"/>
    <w:autoRedefine/>
    <w:qFormat/>
    <w:uiPriority w:val="0"/>
    <w:pPr>
      <w:spacing w:line="360" w:lineRule="auto"/>
    </w:pPr>
    <w:rPr>
      <w:rFonts w:asciiTheme="minorHAnsi" w:hAnsiTheme="minorHAnsi" w:eastAsiaTheme="minorEastAsia" w:cstheme="minorBidi"/>
      <w:sz w:val="28"/>
      <w:szCs w:val="28"/>
    </w:rPr>
  </w:style>
  <w:style w:type="paragraph" w:customStyle="1" w:styleId="73">
    <w:name w:val="正文001"/>
    <w:basedOn w:val="1"/>
    <w:autoRedefine/>
    <w:qFormat/>
    <w:uiPriority w:val="0"/>
    <w:pPr>
      <w:adjustRightInd w:val="0"/>
      <w:spacing w:before="120" w:after="120" w:line="540" w:lineRule="exact"/>
      <w:ind w:firstLine="567"/>
      <w:textAlignment w:val="baseline"/>
    </w:pPr>
    <w:rPr>
      <w:rFonts w:ascii="宋体" w:hAnsi="宋体" w:cs="宋体" w:eastAsiaTheme="minorEastAsia"/>
      <w:kern w:val="21"/>
      <w:sz w:val="28"/>
      <w:szCs w:val="28"/>
    </w:rPr>
  </w:style>
  <w:style w:type="paragraph" w:customStyle="1" w:styleId="74">
    <w:name w:val="（真）表格内容"/>
    <w:autoRedefine/>
    <w:qFormat/>
    <w:uiPriority w:val="0"/>
    <w:pPr>
      <w:adjustRightInd w:val="0"/>
      <w:snapToGrid w:val="0"/>
      <w:jc w:val="center"/>
    </w:pPr>
    <w:rPr>
      <w:rFonts w:ascii="Times New Roman" w:hAnsi="Times New Roman" w:eastAsia="宋体" w:cs="宋体"/>
      <w:sz w:val="21"/>
      <w:szCs w:val="21"/>
      <w:lang w:val="en-US" w:eastAsia="zh-CN" w:bidi="ar-SA"/>
    </w:rPr>
  </w:style>
  <w:style w:type="character" w:customStyle="1" w:styleId="75">
    <w:name w:val="正文文本 2 字符"/>
    <w:basedOn w:val="25"/>
    <w:link w:val="18"/>
    <w:qFormat/>
    <w:uiPriority w:val="0"/>
    <w:rPr>
      <w:kern w:val="2"/>
      <w:sz w:val="21"/>
      <w:szCs w:val="24"/>
    </w:rPr>
  </w:style>
  <w:style w:type="paragraph" w:customStyle="1" w:styleId="76">
    <w:name w:val="Char5"/>
    <w:basedOn w:val="1"/>
    <w:autoRedefine/>
    <w:qFormat/>
    <w:uiPriority w:val="0"/>
    <w:pPr>
      <w:spacing w:line="360" w:lineRule="auto"/>
    </w:pPr>
    <w:rPr>
      <w:rFonts w:ascii="宋体" w:hAnsi="宋体" w:cs="宋体" w:eastAsiaTheme="minorEastAsia"/>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4.xml"/><Relationship Id="rId57" Type="http://schemas.openxmlformats.org/officeDocument/2006/relationships/fontTable" Target="fontTable.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er" Target="footer3.xml"/><Relationship Id="rId49" Type="http://schemas.openxmlformats.org/officeDocument/2006/relationships/image" Target="media/image42.pn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2.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footer" Target="foot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customShpExts>
  <extobjs>
    <extobj name="ECB019B1-382A-4266-B25C-5B523AA43C14-1">
      <extobjdata type="ECB019B1-382A-4266-B25C-5B523AA43C14" data="ewoJIkZpbGVJZCIgOiAiMzM5MzQxMDk5ODUxIiwKCSJHcm91cElkIiA6ICIxNTg0NDAzNDM0IiwKCSJJbWFnZSIgOiAiaVZCT1J3MEtHZ29BQUFBTlNVaEVVZ0FBQk9RQUFBSHdDQVlBQUFBR3ZyQTJBQUFBQVhOU1IwSUFyczRjNlFBQUlBQkpSRUZVZUp6czNYdDhuSFdaLy8vM2RjOU1rcDRwdGxLaFlNVkFNVzJTdWUrNG52RzBIbkE5NGFyb3FxQ3dnS2lvZkQyc1IxeEY5NmNpc2k3cUNvdUtndUFKVDZCNFpQRzRLcHE1SjVNbXRCZ3hTT1RRUW9IUzVqaHpYNzgvT29QVE5Ha21iWm9KeWV2NWVPUXhjMytPMXgzSDBGejUzSitQQk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zA2LzhEeFRiaWc0TlllaElBQUFBQVNVVk9SSzVDWUlJPSIsCgkiVGhlbWUiIDogIiIsCgkiVHlwZSIgOiAiZmxvdyIsCgkiVmVyc2lvbiIgOiAiIgp9Cg=="/>
    </extobj>
    <extobj name="ECB019B1-382A-4266-B25C-5B523AA43C14-2">
      <extobjdata type="ECB019B1-382A-4266-B25C-5B523AA43C14" data="ewoJIkZpbGVJZCIgOiAiMzM4ODA0NzMxMjAzIiwKCSJHcm91cElkIiA6ICIxNTg0NDAzNDM0IiwKCSJJbWFnZSIgOiAiaVZCT1J3MEtHZ29BQUFBTlNVaEVVZ0FBQkZ3QUFBSUZDQVlBQUFEdktPbk1BQUFBQVhOU1IwSUFyczRjNlFBQUlBQkpSRUZVZUp6czNYbDRVMVg2Qi9EdnVVbmJsTGJJV2xBWXFTeWloYmE1TitMSTRxNmdEb3lLZ3Nvb0lqS2k0Z29xUHhnUUhWUUUyWFFRUlJ4UVVFWnhZZE02NGdpeWFBWE0waFRLVmlsTGdiSkQ2WlkydWVmM1I1dllKUzFwbXpZczM4L3o5S0U1OTl4ejMxVGIzcjczblBjQ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RnlGL3dlNFYrd2c0RklFdWdBQUFBQkpSVTVFcmtKZ2dnPT0iLAoJIlRoZW1lIiA6ICIiLAoJIlR5cGUiIDogImZsb3ciLAoJIlZlcnNpb24iIDogIjMyIgp9Cg=="/>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105</Pages>
  <Words>42527</Words>
  <Characters>47776</Characters>
  <Lines>473</Lines>
  <Paragraphs>133</Paragraphs>
  <TotalTime>79</TotalTime>
  <ScaleCrop>false</ScaleCrop>
  <LinksUpToDate>false</LinksUpToDate>
  <CharactersWithSpaces>47888</CharactersWithSpaces>
  <Application>WPS Office_12.1.0.17827_F1E327BC-269C-435d-A152-05C5408002CA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2021-03-16T04:26:00Z</dcterms:created>
  <dc:creator>lhj</dc:creator>
  <cp:lastModifiedBy>卢秀慧</cp:lastModifiedBy>
  <cp:lastPrinted>2024-05-28T03:09:00Z</cp:lastPrinted>
  <dcterms:modified xsi:type="dcterms:W3CDTF">2024-12-04T07:35:31Z</dcterms:modified>
  <dc:title>附件2</dc:title>
  <cp:revision>953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ICV">
    <vt:lpwstr>14DBA2D784A24620A0AF9FBDBA19D9FC_13</vt:lpwstr>
  </property>
</Properties>
</file>