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25" w:leftChars="250"/>
        <w:rPr>
          <w:rFonts w:ascii="仿宋_GB2312" w:hAnsi="仿宋_GB2312" w:eastAsia="仿宋_GB2312" w:cs="仿宋_GB2312"/>
          <w:sz w:val="36"/>
          <w:szCs w:val="36"/>
        </w:rPr>
      </w:pPr>
      <w:bookmarkStart w:id="3" w:name="_GoBack"/>
      <w:bookmarkEnd w:id="3"/>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hAnsi="方正小标宋_GBK" w:eastAsia="方正小标宋_GBK" w:cs="方正小标宋_GBK"/>
          <w:bCs/>
          <w:sz w:val="72"/>
          <w:szCs w:val="72"/>
        </w:rPr>
      </w:pPr>
      <w:r>
        <w:rPr>
          <w:rFonts w:hint="eastAsia" w:ascii="方正小标宋_GBK" w:hAnsi="方正小标宋_GBK" w:eastAsia="方正小标宋_GBK" w:cs="方正小标宋_GBK"/>
          <w:bCs/>
          <w:sz w:val="72"/>
          <w:szCs w:val="72"/>
          <w:lang w:bidi="ar"/>
        </w:rPr>
        <w:t>建设项目环境影响报告表</w:t>
      </w:r>
    </w:p>
    <w:p>
      <w:pPr>
        <w:adjustRightInd w:val="0"/>
        <w:snapToGrid w:val="0"/>
        <w:spacing w:before="249" w:beforeLines="80"/>
        <w:jc w:val="center"/>
        <w:rPr>
          <w:rFonts w:ascii="楷体_GB2312" w:eastAsia="楷体_GB2312" w:cs="楷体_GB2312"/>
          <w:bCs/>
          <w:sz w:val="48"/>
          <w:szCs w:val="48"/>
        </w:rPr>
      </w:pPr>
      <w:r>
        <w:rPr>
          <w:rFonts w:hint="eastAsia" w:ascii="楷体_GB2312" w:hAnsi="Times New Roman" w:eastAsia="楷体_GB2312" w:cs="楷体_GB2312"/>
          <w:bCs/>
          <w:sz w:val="48"/>
          <w:szCs w:val="48"/>
          <w:lang w:bidi="ar"/>
        </w:rPr>
        <w:t>（污染影响类）</w:t>
      </w:r>
    </w:p>
    <w:p/>
    <w:p/>
    <w:p>
      <w:pPr>
        <w:jc w:val="center"/>
        <w:rPr>
          <w:rFonts w:eastAsia="仿宋"/>
          <w:sz w:val="52"/>
          <w:szCs w:val="52"/>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left="840" w:leftChars="400"/>
        <w:jc w:val="left"/>
        <w:textAlignment w:val="auto"/>
        <w:rPr>
          <w:rFonts w:hint="eastAsia" w:ascii="仿宋" w:hAnsi="仿宋" w:eastAsia="仿宋" w:cs="仿宋"/>
          <w:sz w:val="32"/>
          <w:szCs w:val="32"/>
          <w:u w:val="single"/>
          <w:lang w:eastAsia="zh-CN"/>
        </w:rPr>
      </w:pPr>
      <w:r>
        <w:rPr>
          <w:rFonts w:hint="eastAsia" w:ascii="仿宋" w:hAnsi="仿宋" w:eastAsia="仿宋" w:cs="仿宋"/>
          <w:sz w:val="32"/>
          <w:szCs w:val="32"/>
          <w:lang w:bidi="ar"/>
        </w:rPr>
        <w:t>项目名称：</w:t>
      </w:r>
      <w:r>
        <w:rPr>
          <w:rFonts w:hint="eastAsia" w:ascii="仿宋" w:hAnsi="仿宋" w:eastAsia="仿宋" w:cs="仿宋"/>
          <w:sz w:val="32"/>
          <w:szCs w:val="32"/>
          <w:u w:val="single"/>
          <w:lang w:eastAsia="zh-CN" w:bidi="ar"/>
        </w:rPr>
        <w:t>木兰皇家农业综合示范区蒸汽供给项目</w:t>
      </w:r>
    </w:p>
    <w:p>
      <w:pPr>
        <w:keepNext w:val="0"/>
        <w:keepLines w:val="0"/>
        <w:pageBreakBefore w:val="0"/>
        <w:widowControl w:val="0"/>
        <w:kinsoku/>
        <w:wordWrap/>
        <w:overflowPunct/>
        <w:topLinePunct w:val="0"/>
        <w:autoSpaceDE/>
        <w:autoSpaceDN/>
        <w:bidi w:val="0"/>
        <w:adjustRightInd w:val="0"/>
        <w:snapToGrid w:val="0"/>
        <w:spacing w:line="360" w:lineRule="auto"/>
        <w:ind w:left="840" w:leftChars="400"/>
        <w:jc w:val="left"/>
        <w:textAlignment w:val="auto"/>
        <w:rPr>
          <w:rFonts w:hint="eastAsia" w:ascii="仿宋" w:hAnsi="仿宋" w:eastAsia="仿宋" w:cs="仿宋"/>
          <w:spacing w:val="-20"/>
          <w:sz w:val="32"/>
          <w:szCs w:val="32"/>
          <w:u w:val="single"/>
          <w:lang w:bidi="ar"/>
        </w:rPr>
      </w:pPr>
      <w:r>
        <w:rPr>
          <w:rFonts w:hint="eastAsia" w:ascii="仿宋" w:hAnsi="仿宋" w:eastAsia="仿宋" w:cs="仿宋"/>
          <w:spacing w:val="-20"/>
          <w:sz w:val="32"/>
          <w:szCs w:val="32"/>
          <w:lang w:bidi="ar"/>
        </w:rPr>
        <w:t>建设单位（盖章）：</w:t>
      </w:r>
      <w:r>
        <w:rPr>
          <w:rFonts w:hint="eastAsia" w:ascii="仿宋" w:hAnsi="仿宋" w:eastAsia="仿宋" w:cs="仿宋"/>
          <w:spacing w:val="-20"/>
          <w:sz w:val="32"/>
          <w:szCs w:val="32"/>
          <w:u w:val="single"/>
          <w:lang w:bidi="ar"/>
        </w:rPr>
        <w:t xml:space="preserve"> </w:t>
      </w:r>
      <w:r>
        <w:rPr>
          <w:rFonts w:hint="eastAsia" w:ascii="仿宋" w:hAnsi="仿宋" w:eastAsia="仿宋" w:cs="仿宋"/>
          <w:spacing w:val="-20"/>
          <w:sz w:val="32"/>
          <w:szCs w:val="32"/>
          <w:u w:val="single"/>
          <w:lang w:eastAsia="zh-CN" w:bidi="ar"/>
        </w:rPr>
        <w:t>承德富龙现代农业发展有限公司</w:t>
      </w:r>
      <w:r>
        <w:rPr>
          <w:rFonts w:hint="eastAsia" w:ascii="仿宋" w:hAnsi="仿宋" w:eastAsia="仿宋" w:cs="仿宋"/>
          <w:sz w:val="32"/>
          <w:szCs w:val="32"/>
          <w:u w:val="single"/>
          <w:lang w:bidi="ar"/>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840" w:leftChars="400"/>
        <w:jc w:val="left"/>
        <w:textAlignment w:val="auto"/>
        <w:rPr>
          <w:rFonts w:hint="eastAsia" w:ascii="仿宋" w:hAnsi="仿宋" w:eastAsia="仿宋" w:cs="仿宋"/>
          <w:sz w:val="32"/>
          <w:szCs w:val="32"/>
          <w:u w:val="single"/>
        </w:rPr>
      </w:pPr>
      <w:r>
        <w:rPr>
          <w:rFonts w:hint="eastAsia" w:ascii="仿宋" w:hAnsi="仿宋" w:eastAsia="仿宋" w:cs="仿宋"/>
          <w:sz w:val="32"/>
          <w:szCs w:val="32"/>
          <w:lang w:bidi="ar"/>
        </w:rPr>
        <w:t>编制日期：</w:t>
      </w:r>
      <w:r>
        <w:rPr>
          <w:rFonts w:hint="eastAsia" w:ascii="仿宋" w:hAnsi="仿宋" w:eastAsia="仿宋" w:cs="仿宋"/>
          <w:sz w:val="32"/>
          <w:szCs w:val="32"/>
          <w:u w:val="single"/>
          <w:lang w:bidi="ar"/>
        </w:rPr>
        <w:t xml:space="preserve">           202</w:t>
      </w:r>
      <w:r>
        <w:rPr>
          <w:rFonts w:hint="eastAsia" w:ascii="仿宋" w:hAnsi="仿宋" w:eastAsia="仿宋" w:cs="仿宋"/>
          <w:sz w:val="32"/>
          <w:szCs w:val="32"/>
          <w:u w:val="single"/>
          <w:lang w:val="en-US" w:eastAsia="zh-CN" w:bidi="ar"/>
        </w:rPr>
        <w:t>3</w:t>
      </w:r>
      <w:r>
        <w:rPr>
          <w:rFonts w:hint="eastAsia" w:ascii="仿宋" w:hAnsi="仿宋" w:eastAsia="仿宋" w:cs="仿宋"/>
          <w:sz w:val="32"/>
          <w:szCs w:val="32"/>
          <w:u w:val="single"/>
          <w:lang w:bidi="ar"/>
        </w:rPr>
        <w:t>年</w:t>
      </w:r>
      <w:r>
        <w:rPr>
          <w:rFonts w:hint="eastAsia" w:ascii="仿宋" w:hAnsi="仿宋" w:eastAsia="仿宋" w:cs="仿宋"/>
          <w:sz w:val="32"/>
          <w:szCs w:val="32"/>
          <w:u w:val="single"/>
          <w:lang w:val="en-US" w:eastAsia="zh-CN" w:bidi="ar"/>
        </w:rPr>
        <w:t>6</w:t>
      </w:r>
      <w:r>
        <w:rPr>
          <w:rFonts w:hint="eastAsia" w:ascii="仿宋" w:hAnsi="仿宋" w:eastAsia="仿宋" w:cs="仿宋"/>
          <w:sz w:val="32"/>
          <w:szCs w:val="32"/>
          <w:u w:val="single"/>
          <w:lang w:bidi="ar"/>
        </w:rPr>
        <w:t xml:space="preserve">月          </w:t>
      </w:r>
    </w:p>
    <w:p>
      <w:pPr>
        <w:adjustRightInd w:val="0"/>
        <w:snapToGrid w:val="0"/>
        <w:spacing w:line="288" w:lineRule="auto"/>
        <w:ind w:firstLine="1040"/>
        <w:rPr>
          <w:rFonts w:ascii="仿宋_GB2312" w:eastAsia="仿宋_GB2312" w:cs="仿宋_GB2312"/>
          <w:sz w:val="36"/>
          <w:szCs w:val="36"/>
          <w:u w:val="single"/>
        </w:rPr>
      </w:pPr>
      <w:bookmarkStart w:id="0" w:name="_Hlk57884087"/>
    </w:p>
    <w:p>
      <w:pPr>
        <w:adjustRightInd w:val="0"/>
        <w:snapToGrid w:val="0"/>
        <w:spacing w:line="288" w:lineRule="auto"/>
        <w:ind w:firstLine="1040"/>
        <w:rPr>
          <w:rFonts w:ascii="仿宋_GB2312" w:eastAsia="仿宋_GB2312" w:cs="仿宋_GB2312"/>
          <w:sz w:val="36"/>
          <w:szCs w:val="36"/>
        </w:rPr>
      </w:pPr>
    </w:p>
    <w:p>
      <w:pPr>
        <w:adjustRightInd w:val="0"/>
        <w:snapToGrid w:val="0"/>
        <w:spacing w:line="288" w:lineRule="auto"/>
        <w:ind w:firstLine="1040"/>
        <w:rPr>
          <w:rFonts w:ascii="仿宋_GB2312" w:eastAsia="仿宋_GB2312" w:cs="仿宋_GB2312"/>
          <w:sz w:val="36"/>
          <w:szCs w:val="36"/>
        </w:rPr>
      </w:pPr>
    </w:p>
    <w:p>
      <w:pPr>
        <w:adjustRightInd w:val="0"/>
        <w:snapToGrid w:val="0"/>
        <w:spacing w:line="288" w:lineRule="auto"/>
        <w:ind w:firstLine="1040"/>
        <w:rPr>
          <w:rFonts w:ascii="仿宋_GB2312" w:eastAsia="仿宋_GB2312" w:cs="仿宋_GB2312"/>
          <w:sz w:val="36"/>
          <w:szCs w:val="36"/>
        </w:rPr>
      </w:pPr>
    </w:p>
    <w:bookmarkEnd w:id="0"/>
    <w:p>
      <w:pPr>
        <w:adjustRightInd w:val="0"/>
        <w:snapToGrid w:val="0"/>
        <w:spacing w:line="288" w:lineRule="auto"/>
        <w:jc w:val="center"/>
        <w:rPr>
          <w:rFonts w:ascii="楷体_GB2312" w:eastAsia="楷体_GB2312" w:cs="楷体_GB2312"/>
          <w:sz w:val="36"/>
          <w:szCs w:val="36"/>
        </w:rPr>
      </w:pPr>
      <w:r>
        <w:rPr>
          <w:rFonts w:hint="eastAsia" w:ascii="楷体_GB2312" w:hAnsi="Times New Roman" w:eastAsia="楷体_GB2312" w:cs="楷体_GB2312"/>
          <w:sz w:val="36"/>
          <w:szCs w:val="36"/>
          <w:lang w:bidi="ar"/>
        </w:rPr>
        <w:t>中华人民共和国生态环境部制</w:t>
      </w:r>
    </w:p>
    <w:p>
      <w:pPr>
        <w:jc w:val="center"/>
        <w:rPr>
          <w:rFonts w:ascii="黑体" w:eastAsia="黑体" w:cs="黑体"/>
          <w:snapToGrid w:val="0"/>
          <w:sz w:val="30"/>
          <w:szCs w:val="30"/>
        </w:rPr>
        <w:sectPr>
          <w:pgSz w:w="11906" w:h="16838"/>
          <w:pgMar w:top="1702" w:right="1531" w:bottom="1702" w:left="1531" w:header="851" w:footer="1077" w:gutter="0"/>
          <w:pgNumType w:start="1"/>
          <w:cols w:space="425" w:num="1"/>
          <w:docGrid w:type="lines" w:linePitch="312" w:charSpace="0"/>
        </w:sectPr>
      </w:pPr>
    </w:p>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0"/>
        <w:rPr>
          <w:rFonts w:hint="default" w:ascii="黑体" w:eastAsia="黑体" w:cs="黑体"/>
          <w:snapToGrid w:val="0"/>
          <w:sz w:val="30"/>
          <w:szCs w:val="30"/>
        </w:rPr>
      </w:pPr>
      <w:r>
        <w:rPr>
          <w:rFonts w:hint="eastAsia" w:ascii="黑体" w:eastAsia="黑体" w:cs="黑体"/>
          <w:snapToGrid w:val="0"/>
          <w:sz w:val="30"/>
          <w:szCs w:val="30"/>
          <w:lang w:eastAsia="zh-CN"/>
        </w:rPr>
        <w:t>一</w:t>
      </w:r>
      <w:r>
        <w:rPr>
          <w:rFonts w:ascii="黑体" w:eastAsia="黑体" w:cs="黑体"/>
          <w:snapToGrid w:val="0"/>
          <w:sz w:val="30"/>
          <w:szCs w:val="30"/>
        </w:rPr>
        <w:t>、</w:t>
      </w:r>
      <w:r>
        <w:rPr>
          <w:rFonts w:hint="eastAsia" w:ascii="黑体" w:hAnsi="宋体" w:eastAsia="黑体" w:cs="黑体"/>
          <w:snapToGrid w:val="0"/>
          <w:kern w:val="0"/>
          <w:sz w:val="30"/>
          <w:szCs w:val="30"/>
          <w:lang w:val="en-US" w:eastAsia="zh-CN" w:bidi="ar-SA"/>
        </w:rPr>
        <w:t>建设项目基本情况</w:t>
      </w:r>
    </w:p>
    <w:tbl>
      <w:tblPr>
        <w:tblStyle w:val="24"/>
        <w:tblW w:w="524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27"/>
        <w:gridCol w:w="2208"/>
        <w:gridCol w:w="2156"/>
        <w:gridCol w:w="30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建设项目名称</w:t>
            </w:r>
          </w:p>
        </w:tc>
        <w:tc>
          <w:tcPr>
            <w:tcW w:w="3963" w:type="pct"/>
            <w:gridSpan w:val="3"/>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木兰皇家农业综合示范区蒸汽供给项目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项目代码</w:t>
            </w:r>
          </w:p>
        </w:tc>
        <w:tc>
          <w:tcPr>
            <w:tcW w:w="3963" w:type="pct"/>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2103-130828-89-01-346864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建设单位联系人</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冯效宇</w:t>
            </w:r>
          </w:p>
        </w:tc>
        <w:tc>
          <w:tcPr>
            <w:tcW w:w="115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联系方式</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both"/>
              <w:rPr>
                <w:rFonts w:hint="default" w:ascii="Times New Roman" w:hAnsi="Times New Roman" w:eastAsia="宋体"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建设地点</w:t>
            </w:r>
          </w:p>
        </w:tc>
        <w:tc>
          <w:tcPr>
            <w:tcW w:w="3963" w:type="pct"/>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围场满族蒙古族自治县半截塔镇什八克村9组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地理坐标</w:t>
            </w:r>
          </w:p>
        </w:tc>
        <w:tc>
          <w:tcPr>
            <w:tcW w:w="3963" w:type="pct"/>
            <w:gridSpan w:val="3"/>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u w:val="single"/>
                <w:lang w:val="en-US" w:eastAsia="zh-CN" w:bidi="ar"/>
              </w:rPr>
              <w:t>117</w:t>
            </w:r>
            <w:r>
              <w:rPr>
                <w:rFonts w:hint="default" w:ascii="Times New Roman" w:hAnsi="Times New Roman" w:eastAsia="宋体" w:cs="Times New Roman"/>
                <w:sz w:val="24"/>
                <w:szCs w:val="24"/>
                <w:lang w:bidi="ar"/>
              </w:rPr>
              <w:t>度</w:t>
            </w:r>
            <w:r>
              <w:rPr>
                <w:rFonts w:hint="default" w:ascii="Times New Roman" w:hAnsi="Times New Roman" w:eastAsia="宋体" w:cs="Times New Roman"/>
                <w:sz w:val="24"/>
                <w:szCs w:val="24"/>
                <w:u w:val="single"/>
                <w:lang w:bidi="ar"/>
              </w:rPr>
              <w:t>2</w:t>
            </w:r>
            <w:r>
              <w:rPr>
                <w:rFonts w:hint="default" w:ascii="Times New Roman" w:hAnsi="Times New Roman" w:eastAsia="宋体" w:cs="Times New Roman"/>
                <w:sz w:val="24"/>
                <w:szCs w:val="24"/>
                <w:u w:val="single"/>
                <w:lang w:val="en-US" w:eastAsia="zh-CN" w:bidi="ar"/>
              </w:rPr>
              <w:t>5</w:t>
            </w:r>
            <w:r>
              <w:rPr>
                <w:rFonts w:hint="default" w:ascii="Times New Roman" w:hAnsi="Times New Roman" w:eastAsia="宋体" w:cs="Times New Roman"/>
                <w:sz w:val="24"/>
                <w:szCs w:val="24"/>
                <w:lang w:bidi="ar"/>
              </w:rPr>
              <w:t>分</w:t>
            </w:r>
            <w:r>
              <w:rPr>
                <w:rFonts w:hint="default" w:ascii="Times New Roman" w:hAnsi="Times New Roman" w:eastAsia="宋体" w:cs="Times New Roman"/>
                <w:sz w:val="24"/>
                <w:szCs w:val="24"/>
                <w:u w:val="single"/>
                <w:lang w:val="en-US" w:eastAsia="zh-CN" w:bidi="ar"/>
              </w:rPr>
              <w:t>42</w:t>
            </w:r>
            <w:r>
              <w:rPr>
                <w:rFonts w:hint="default" w:ascii="Times New Roman" w:hAnsi="Times New Roman" w:eastAsia="宋体" w:cs="Times New Roman"/>
                <w:sz w:val="24"/>
                <w:szCs w:val="24"/>
                <w:u w:val="single"/>
                <w:lang w:bidi="ar"/>
              </w:rPr>
              <w:t>.</w:t>
            </w:r>
            <w:r>
              <w:rPr>
                <w:rFonts w:hint="default" w:ascii="Times New Roman" w:hAnsi="Times New Roman" w:eastAsia="宋体" w:cs="Times New Roman"/>
                <w:sz w:val="24"/>
                <w:szCs w:val="24"/>
                <w:u w:val="single"/>
                <w:lang w:val="en-US" w:eastAsia="zh-CN" w:bidi="ar"/>
              </w:rPr>
              <w:t>825</w:t>
            </w:r>
            <w:r>
              <w:rPr>
                <w:rFonts w:hint="default" w:ascii="Times New Roman" w:hAnsi="Times New Roman" w:eastAsia="宋体" w:cs="Times New Roman"/>
                <w:sz w:val="24"/>
                <w:szCs w:val="24"/>
                <w:lang w:bidi="ar"/>
              </w:rPr>
              <w:t>秒，</w:t>
            </w:r>
            <w:r>
              <w:rPr>
                <w:rFonts w:hint="default" w:ascii="Times New Roman" w:hAnsi="Times New Roman" w:eastAsia="宋体" w:cs="Times New Roman"/>
                <w:sz w:val="24"/>
                <w:szCs w:val="24"/>
                <w:u w:val="single"/>
                <w:lang w:bidi="ar"/>
              </w:rPr>
              <w:t>4</w:t>
            </w:r>
            <w:r>
              <w:rPr>
                <w:rFonts w:hint="default" w:ascii="Times New Roman" w:hAnsi="Times New Roman" w:eastAsia="宋体" w:cs="Times New Roman"/>
                <w:sz w:val="24"/>
                <w:szCs w:val="24"/>
                <w:u w:val="single"/>
                <w:lang w:val="en-US" w:eastAsia="zh-CN" w:bidi="ar"/>
              </w:rPr>
              <w:t>1</w:t>
            </w:r>
            <w:r>
              <w:rPr>
                <w:rFonts w:hint="default" w:ascii="Times New Roman" w:hAnsi="Times New Roman" w:eastAsia="宋体" w:cs="Times New Roman"/>
                <w:sz w:val="24"/>
                <w:szCs w:val="24"/>
                <w:lang w:bidi="ar"/>
              </w:rPr>
              <w:t>度</w:t>
            </w:r>
            <w:r>
              <w:rPr>
                <w:rFonts w:hint="default" w:ascii="Times New Roman" w:hAnsi="Times New Roman" w:eastAsia="宋体" w:cs="Times New Roman"/>
                <w:sz w:val="24"/>
                <w:szCs w:val="24"/>
                <w:u w:val="single"/>
                <w:lang w:val="en-US" w:eastAsia="zh-CN" w:bidi="ar"/>
              </w:rPr>
              <w:t>56</w:t>
            </w:r>
            <w:r>
              <w:rPr>
                <w:rFonts w:hint="default" w:ascii="Times New Roman" w:hAnsi="Times New Roman" w:eastAsia="宋体" w:cs="Times New Roman"/>
                <w:sz w:val="24"/>
                <w:szCs w:val="24"/>
                <w:lang w:bidi="ar"/>
              </w:rPr>
              <w:t>分</w:t>
            </w:r>
            <w:r>
              <w:rPr>
                <w:rFonts w:hint="default" w:ascii="Times New Roman" w:hAnsi="Times New Roman" w:eastAsia="宋体" w:cs="Times New Roman"/>
                <w:sz w:val="24"/>
                <w:szCs w:val="24"/>
                <w:u w:val="single"/>
                <w:lang w:val="en-US" w:eastAsia="zh-CN" w:bidi="ar"/>
              </w:rPr>
              <w:t>44</w:t>
            </w:r>
            <w:r>
              <w:rPr>
                <w:rFonts w:hint="default" w:ascii="Times New Roman" w:hAnsi="Times New Roman" w:eastAsia="宋体" w:cs="Times New Roman"/>
                <w:sz w:val="24"/>
                <w:szCs w:val="24"/>
                <w:u w:val="single"/>
                <w:lang w:bidi="ar"/>
              </w:rPr>
              <w:t>.</w:t>
            </w:r>
            <w:r>
              <w:rPr>
                <w:rFonts w:hint="default" w:ascii="Times New Roman" w:hAnsi="Times New Roman" w:eastAsia="宋体" w:cs="Times New Roman"/>
                <w:sz w:val="24"/>
                <w:szCs w:val="24"/>
                <w:u w:val="single"/>
                <w:lang w:val="en-US" w:eastAsia="zh-CN" w:bidi="ar"/>
              </w:rPr>
              <w:t>399</w:t>
            </w:r>
            <w:r>
              <w:rPr>
                <w:rFonts w:hint="default" w:ascii="Times New Roman" w:hAnsi="Times New Roman" w:eastAsia="宋体" w:cs="Times New Roman"/>
                <w:sz w:val="24"/>
                <w:szCs w:val="24"/>
                <w:lang w:bidi="ar"/>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国民经济</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行业类别</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D4430热力生产和供应</w:t>
            </w:r>
          </w:p>
        </w:tc>
        <w:tc>
          <w:tcPr>
            <w:tcW w:w="115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bookmarkStart w:id="1" w:name="_Hlk49843745"/>
            <w:r>
              <w:rPr>
                <w:rFonts w:hint="default" w:ascii="Times New Roman" w:hAnsi="Times New Roman" w:eastAsia="宋体" w:cs="Times New Roman"/>
                <w:sz w:val="24"/>
                <w:szCs w:val="24"/>
                <w:lang w:bidi="ar"/>
              </w:rPr>
              <w:t>建设项目</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行业类别</w:t>
            </w:r>
            <w:bookmarkEnd w:id="1"/>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四十一、电力、热力生产和供应业91热力生产和供应工程</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建设性质</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bidi="ar"/>
              </w:rPr>
              <w:t>新建（迁建）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sym w:font="Wingdings 2" w:char="0052"/>
            </w:r>
            <w:r>
              <w:rPr>
                <w:rFonts w:hint="default" w:ascii="Times New Roman" w:hAnsi="Times New Roman" w:eastAsia="宋体" w:cs="Times New Roman"/>
                <w:sz w:val="24"/>
                <w:szCs w:val="24"/>
                <w:lang w:bidi="ar"/>
              </w:rPr>
              <w:t>改建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bidi="ar"/>
              </w:rPr>
              <w:t>扩建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□技术改造</w:t>
            </w:r>
          </w:p>
        </w:tc>
        <w:tc>
          <w:tcPr>
            <w:tcW w:w="115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建设项目</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申报情形</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 xml:space="preserve">☑首次申报项目             </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□不予批准后再次申报项目</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 xml:space="preserve">□超五年重新审核项目     </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项目审批（核准/</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备案）部门（选填）</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围场满族蒙古族自治县行政审批局</w:t>
            </w:r>
          </w:p>
        </w:tc>
        <w:tc>
          <w:tcPr>
            <w:tcW w:w="115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项目审批（核准/</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备案）文号（选填）</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围审批备字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[2021]14号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总投资（万元）</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5000</w:t>
            </w:r>
          </w:p>
        </w:tc>
        <w:tc>
          <w:tcPr>
            <w:tcW w:w="1159"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环保投资（万元）</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FF0000"/>
                <w:sz w:val="24"/>
                <w:szCs w:val="24"/>
                <w:highlight w:val="yellow"/>
                <w:lang w:val="en-US" w:eastAsia="zh-CN"/>
              </w:rPr>
            </w:pPr>
            <w:r>
              <w:rPr>
                <w:rFonts w:hint="default" w:ascii="Times New Roman" w:hAnsi="Times New Roman" w:eastAsia="宋体" w:cs="Times New Roman"/>
                <w:color w:val="auto"/>
                <w:sz w:val="24"/>
                <w:szCs w:val="24"/>
                <w:lang w:val="en-US" w:eastAsia="zh-CN"/>
              </w:rPr>
              <w:t>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环保投资占比（%）</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40</w:t>
            </w:r>
          </w:p>
        </w:tc>
        <w:tc>
          <w:tcPr>
            <w:tcW w:w="1159"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施工工期</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202</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年</w:t>
            </w:r>
            <w:r>
              <w:rPr>
                <w:rFonts w:hint="eastAsia" w:ascii="Times New Roman" w:hAnsi="Times New Roman" w:eastAsia="宋体" w:cs="Times New Roman"/>
                <w:color w:val="auto"/>
                <w:sz w:val="24"/>
                <w:szCs w:val="24"/>
                <w:highlight w:val="none"/>
                <w:shd w:val="clear" w:color="auto" w:fill="auto"/>
                <w:lang w:val="en-US" w:eastAsia="zh-CN"/>
              </w:rPr>
              <w:t>9</w:t>
            </w:r>
            <w:r>
              <w:rPr>
                <w:rFonts w:hint="default" w:ascii="Times New Roman" w:hAnsi="Times New Roman" w:eastAsia="宋体" w:cs="Times New Roman"/>
                <w:color w:val="auto"/>
                <w:sz w:val="24"/>
                <w:szCs w:val="24"/>
                <w:highlight w:val="none"/>
                <w:shd w:val="clear" w:color="auto" w:fill="auto"/>
                <w:lang w:val="en-US" w:eastAsia="zh-CN"/>
              </w:rPr>
              <w:t>月-202</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年</w:t>
            </w:r>
            <w:r>
              <w:rPr>
                <w:rFonts w:hint="eastAsia" w:ascii="Times New Roman" w:hAnsi="Times New Roman" w:eastAsia="宋体" w:cs="Times New Roman"/>
                <w:color w:val="auto"/>
                <w:sz w:val="24"/>
                <w:szCs w:val="24"/>
                <w:highlight w:val="none"/>
                <w:shd w:val="clear" w:color="auto" w:fill="auto"/>
                <w:lang w:val="en-US" w:eastAsia="zh-CN"/>
              </w:rPr>
              <w:t>12</w:t>
            </w:r>
            <w:r>
              <w:rPr>
                <w:rFonts w:hint="default" w:ascii="Times New Roman" w:hAnsi="Times New Roman" w:eastAsia="宋体" w:cs="Times New Roman"/>
                <w:color w:val="auto"/>
                <w:sz w:val="24"/>
                <w:szCs w:val="24"/>
                <w:highlight w:val="none"/>
                <w:shd w:val="clear" w:color="auto" w:fill="auto"/>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是否开工建设</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bidi="ar"/>
              </w:rPr>
              <w:sym w:font="Wingdings 2" w:char="0052"/>
            </w:r>
            <w:r>
              <w:rPr>
                <w:rFonts w:hint="default" w:ascii="Times New Roman" w:hAnsi="Times New Roman" w:eastAsia="宋体" w:cs="Times New Roman"/>
                <w:color w:val="auto"/>
                <w:sz w:val="24"/>
                <w:szCs w:val="24"/>
                <w:lang w:bidi="ar"/>
              </w:rPr>
              <w:t>否</w:t>
            </w:r>
          </w:p>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sym w:font="Wingdings 2" w:char="00A3"/>
            </w:r>
            <w:r>
              <w:rPr>
                <w:rFonts w:hint="default" w:ascii="Times New Roman" w:hAnsi="Times New Roman" w:eastAsia="宋体" w:cs="Times New Roman"/>
                <w:color w:val="auto"/>
                <w:sz w:val="24"/>
                <w:szCs w:val="24"/>
                <w:lang w:bidi="ar"/>
              </w:rPr>
              <w:t>是：</w:t>
            </w:r>
          </w:p>
        </w:tc>
        <w:tc>
          <w:tcPr>
            <w:tcW w:w="1159"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lang w:bidi="ar"/>
              </w:rPr>
              <w:t>用地（用海）</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bidi="ar"/>
              </w:rPr>
              <w:t>面积（m</w:t>
            </w:r>
            <w:r>
              <w:rPr>
                <w:rFonts w:hint="default" w:ascii="Times New Roman" w:hAnsi="Times New Roman" w:eastAsia="宋体" w:cs="Times New Roman"/>
                <w:spacing w:val="-6"/>
                <w:sz w:val="24"/>
                <w:szCs w:val="24"/>
                <w:vertAlign w:val="superscript"/>
                <w:lang w:bidi="ar"/>
              </w:rPr>
              <w:t>2</w:t>
            </w:r>
            <w:r>
              <w:rPr>
                <w:rFonts w:hint="default" w:ascii="Times New Roman" w:hAnsi="Times New Roman" w:eastAsia="宋体" w:cs="Times New Roman"/>
                <w:spacing w:val="-6"/>
                <w:sz w:val="24"/>
                <w:szCs w:val="24"/>
                <w:lang w:bidi="ar"/>
              </w:rPr>
              <w:t>）</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sz w:val="24"/>
                <w:szCs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专项评价设置情况</w:t>
            </w:r>
          </w:p>
        </w:tc>
        <w:tc>
          <w:tcPr>
            <w:tcW w:w="3963"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大气专项评价：项目运营期排放废气含有汞及其化合物（以Hg计），且厂界外500米范围内有燕格柏沟门村、司家窝铺环境空气保护目标。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3"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lang w:bidi="ar"/>
              </w:rPr>
              <w:t>规划情况</w:t>
            </w:r>
          </w:p>
        </w:tc>
        <w:tc>
          <w:tcPr>
            <w:tcW w:w="7372"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kern w:val="0"/>
                <w:sz w:val="24"/>
                <w:szCs w:val="24"/>
                <w:highlight w:val="yellow"/>
                <w:lang w:val="en-US" w:eastAsia="zh-CN"/>
              </w:rPr>
            </w:pPr>
            <w:r>
              <w:rPr>
                <w:rFonts w:hint="default" w:ascii="Times New Roman" w:hAnsi="Times New Roman" w:eastAsia="宋体" w:cs="Times New Roman"/>
                <w:kern w:val="0"/>
                <w:sz w:val="24"/>
                <w:szCs w:val="24"/>
                <w:lang w:val="en-US" w:eastAsia="zh-CN"/>
              </w:rPr>
              <w:t>2014年10月围场满族蒙古族自治县发布《木兰皇家现代农业综合示范区总体规划》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5"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规划环境影响</w:t>
            </w:r>
          </w:p>
          <w:p>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lang w:bidi="ar"/>
              </w:rPr>
              <w:t>评价情况</w:t>
            </w:r>
          </w:p>
        </w:tc>
        <w:tc>
          <w:tcPr>
            <w:tcW w:w="7372"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spacing w:line="360" w:lineRule="exac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5" w:hRule="atLeast"/>
          <w:jc w:val="center"/>
        </w:trPr>
        <w:tc>
          <w:tcPr>
            <w:tcW w:w="1927"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lang w:bidi="ar"/>
              </w:rPr>
              <w:t>规划及规划环境影响评价符合性分析</w:t>
            </w:r>
          </w:p>
        </w:tc>
        <w:tc>
          <w:tcPr>
            <w:tcW w:w="7372"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rPr>
              <w:t>《</w:t>
            </w:r>
            <w:r>
              <w:rPr>
                <w:rFonts w:hint="default" w:ascii="Times New Roman" w:hAnsi="Times New Roman" w:eastAsia="宋体" w:cs="Times New Roman"/>
                <w:kern w:val="0"/>
                <w:sz w:val="24"/>
                <w:szCs w:val="24"/>
                <w:lang w:val="en-US" w:eastAsia="zh-CN"/>
              </w:rPr>
              <w:t>木兰皇家现代农业综合示范区总体规划》 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木兰皇家现代农业综合示范区总体规划》指出：供热设施规划。中心城镇范围内实行集中供热。采用锅炉房供热，并逐渐利用太阳能资源供热，充分考虑综合、节约、安全利用热能。供热管网可参考《城市热力网设计规范（CJJ34-2002）》。其他村庄的供热方式可以采用传统供暖方式供暖。</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本项目为木兰皇家农业综合示范区蒸汽供给项目</w:t>
            </w:r>
            <w:r>
              <w:rPr>
                <w:rFonts w:hint="default" w:ascii="Times New Roman" w:hAnsi="Times New Roman" w:eastAsia="宋体" w:cs="Times New Roman"/>
                <w:kern w:val="0"/>
                <w:sz w:val="24"/>
                <w:szCs w:val="24"/>
                <w:lang w:val="en-US" w:eastAsia="zh-CN"/>
              </w:rPr>
              <w:t>，项目建设在示范区</w:t>
            </w:r>
            <w:r>
              <w:rPr>
                <w:rFonts w:hint="eastAsia" w:ascii="Times New Roman" w:hAnsi="Times New Roman" w:eastAsia="宋体" w:cs="Times New Roman"/>
                <w:kern w:val="0"/>
                <w:sz w:val="24"/>
                <w:szCs w:val="24"/>
                <w:lang w:val="en-US" w:eastAsia="zh-CN"/>
              </w:rPr>
              <w:t>承德富龙现代农业发展有限公司</w:t>
            </w:r>
            <w:r>
              <w:rPr>
                <w:rFonts w:hint="default" w:ascii="Times New Roman" w:hAnsi="Times New Roman" w:eastAsia="宋体" w:cs="Times New Roman"/>
                <w:kern w:val="0"/>
                <w:sz w:val="24"/>
                <w:szCs w:val="24"/>
                <w:lang w:val="en-US" w:eastAsia="zh-CN"/>
              </w:rPr>
              <w:t>内部，</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项目建设符合《木兰皇家现代农业综合示范区总体规划》中的相关要求。</w:t>
            </w:r>
          </w:p>
        </w:tc>
      </w:tr>
    </w:tbl>
    <w:p>
      <w:pPr>
        <w:rPr>
          <w:szCs w:val="21"/>
        </w:rPr>
      </w:pPr>
      <w:r>
        <w:rPr>
          <w:szCs w:val="21"/>
        </w:rPr>
        <w:br w:type="column"/>
      </w:r>
    </w:p>
    <w:tbl>
      <w:tblPr>
        <w:tblStyle w:val="24"/>
        <w:tblW w:w="51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35"/>
        <w:gridCol w:w="88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286" w:type="pct"/>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pPr>
              <w:pStyle w:val="33"/>
              <w:numPr>
                <w:ilvl w:val="4"/>
                <w:numId w:val="0"/>
              </w:numPr>
              <w:ind w:leftChars="0"/>
              <w:jc w:val="both"/>
              <w:rPr>
                <w:rFonts w:ascii="Times New Roman" w:hAnsi="Times New Roman" w:eastAsia="宋体" w:cs="Times New Roman"/>
                <w:kern w:val="0"/>
                <w:sz w:val="24"/>
              </w:rPr>
            </w:pPr>
            <w:r>
              <w:br w:type="column"/>
            </w:r>
            <w:r>
              <w:br w:type="page"/>
            </w:r>
            <w:r>
              <w:rPr>
                <w:rFonts w:ascii="Times New Roman" w:hAnsi="Times New Roman" w:eastAsia="宋体" w:cs="Times New Roman"/>
                <w:kern w:val="0"/>
                <w:sz w:val="24"/>
                <w:lang w:bidi="ar"/>
              </w:rPr>
              <w:t>其他符合性分析</w:t>
            </w:r>
          </w:p>
        </w:tc>
        <w:tc>
          <w:tcPr>
            <w:tcW w:w="4713" w:type="pct"/>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1、三线一单符合性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关于以改善环境质量为核心加强环境影响评价管理的通知》（环境保护部文件：环评[2016]150号）、《承德市人民政府关于加快实施“三线一单”生态环境分区管控的意见》（承德市生态环境局2021年6月18发布），进行项目“三线一单”符合性分析如下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项目与生态保护红线的符合性分析：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根据承德市生态保护红线成果，本项目不在生态保护红线范围内，项目选址距离生态红线最近为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南侧353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米</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lang w:val="en-US" w:eastAsia="zh-CN"/>
              </w:rPr>
              <w:t>不占用生态保护红线，符合生态环境保护的要求，项目选址与生态保护红线位置关系如下图所示</w:t>
            </w:r>
            <w:r>
              <w:rPr>
                <w:rFonts w:hint="default" w:ascii="Times New Roman" w:hAnsi="Times New Roman" w:eastAsia="宋体" w:cs="Times New Roman"/>
                <w:sz w:val="24"/>
                <w:szCs w:val="24"/>
              </w:rPr>
              <w:t>：</w:t>
            </w:r>
          </w:p>
          <w:p>
            <w:pPr>
              <w:pStyle w:val="4"/>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b/>
                <w:bCs/>
              </w:rPr>
            </w:pPr>
            <w:r>
              <w:rPr>
                <w:rFonts w:hint="default"/>
                <w:color w:val="FF0000"/>
              </w:rPr>
              <mc:AlternateContent>
                <mc:Choice Requires="wps">
                  <w:drawing>
                    <wp:anchor distT="0" distB="0" distL="114300" distR="114300" simplePos="0" relativeHeight="251666432" behindDoc="0" locked="0" layoutInCell="1" allowOverlap="1">
                      <wp:simplePos x="0" y="0"/>
                      <wp:positionH relativeFrom="column">
                        <wp:posOffset>3601085</wp:posOffset>
                      </wp:positionH>
                      <wp:positionV relativeFrom="paragraph">
                        <wp:posOffset>1565275</wp:posOffset>
                      </wp:positionV>
                      <wp:extent cx="806450" cy="318135"/>
                      <wp:effectExtent l="262255" t="4445" r="17145" b="325120"/>
                      <wp:wrapNone/>
                      <wp:docPr id="7" name="圆角矩形标注 47"/>
                      <wp:cNvGraphicFramePr/>
                      <a:graphic xmlns:a="http://schemas.openxmlformats.org/drawingml/2006/main">
                        <a:graphicData uri="http://schemas.microsoft.com/office/word/2010/wordprocessingShape">
                          <wps:wsp>
                            <wps:cNvSpPr/>
                            <wps:spPr>
                              <a:xfrm flipV="1">
                                <a:off x="0" y="0"/>
                                <a:ext cx="806450" cy="318135"/>
                              </a:xfrm>
                              <a:prstGeom prst="wedgeRoundRectCallout">
                                <a:avLst>
                                  <a:gd name="adj1" fmla="val -78497"/>
                                  <a:gd name="adj2" fmla="val -143213"/>
                                  <a:gd name="adj3" fmla="val 16667"/>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353m</w:t>
                                  </w:r>
                                </w:p>
                              </w:txbxContent>
                            </wps:txbx>
                            <wps:bodyPr upright="1"/>
                          </wps:wsp>
                        </a:graphicData>
                      </a:graphic>
                    </wp:anchor>
                  </w:drawing>
                </mc:Choice>
                <mc:Fallback>
                  <w:pict>
                    <v:shape id="圆角矩形标注 47" o:spid="_x0000_s1026" o:spt="62" type="#_x0000_t62" style="position:absolute;left:0pt;flip:y;margin-left:283.55pt;margin-top:123.25pt;height:25.05pt;width:63.5pt;z-index:251666432;mso-width-relative:page;mso-height-relative:page;" filled="f" stroked="t" coordsize="21600,21600" o:gfxdata="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H/p79kA&#10;AAALAQAADwAAAAAAAAABACAAAAAiAAAAZHJzL2Rvd25yZXYueG1sUEsBAhQAFAAAAAgAh07iQDN+&#10;wjRXAgAAnwQAAA4AAAAAAAAAAQAgAAAAKAEAAGRycy9lMm9Eb2MueG1sUEsFBgAAAAAGAAYAWQEA&#10;APEFAAAAAA==&#10;" adj="-6155,-20134,14400">
                      <v:fill on="f" focussize="0,0"/>
                      <v:stroke color="#000000" joinstyle="miter"/>
                      <v:imagedata o:title=""/>
                      <o:lock v:ext="edit" aspectratio="f"/>
                      <v:textbox>
                        <w:txbxContent>
                          <w:p>
                            <w:pPr>
                              <w:ind w:left="0" w:leftChars="0" w:firstLine="0" w:firstLineChars="0"/>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353m</w:t>
                            </w:r>
                          </w:p>
                        </w:txbxContent>
                      </v:textbox>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3285490</wp:posOffset>
                      </wp:positionH>
                      <wp:positionV relativeFrom="paragraph">
                        <wp:posOffset>1773555</wp:posOffset>
                      </wp:positionV>
                      <wp:extent cx="184150" cy="580390"/>
                      <wp:effectExtent l="20955" t="1270" r="23495" b="8890"/>
                      <wp:wrapNone/>
                      <wp:docPr id="3" name="直接箭头连接符 3"/>
                      <wp:cNvGraphicFramePr/>
                      <a:graphic xmlns:a="http://schemas.openxmlformats.org/drawingml/2006/main">
                        <a:graphicData uri="http://schemas.microsoft.com/office/word/2010/wordprocessingShape">
                          <wps:wsp>
                            <wps:cNvCnPr/>
                            <wps:spPr>
                              <a:xfrm flipH="1">
                                <a:off x="4079240" y="7426960"/>
                                <a:ext cx="184150" cy="5803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8.7pt;margin-top:139.65pt;height:45.7pt;width:14.5pt;z-index:251665408;mso-width-relative:page;mso-height-relative:page;" filled="f" stroked="t" coordsize="21600,21600" o:gfxdata="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3Tu&#10;1dsAAAALAQAADwAAAAAAAAABACAAAAAiAAAAZHJzL2Rvd25yZXYueG1sUEsBAhQAFAAAAAgAh07i&#10;QJVL9OMfAgAA+AMAAA4AAAAAAAAAAQAgAAAAKgEAAGRycy9lMm9Eb2MueG1sUEsFBgAAAAAGAAYA&#10;WQEAALsFAAAAAA==&#10;">
                      <v:fill on="f" focussize="0,0"/>
                      <v:stroke weight="0.5pt" color="#FF0000 [3204]" miterlimit="8" joinstyle="miter" endarrow="open"/>
                      <v:imagedata o:title=""/>
                      <o:lock v:ext="edit" aspectratio="f"/>
                    </v:shape>
                  </w:pict>
                </mc:Fallback>
              </mc:AlternateContent>
            </w:r>
            <w:r>
              <w:drawing>
                <wp:inline distT="0" distB="0" distL="114300" distR="114300">
                  <wp:extent cx="5022215" cy="3549015"/>
                  <wp:effectExtent l="0" t="0" r="6985"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022215" cy="3549015"/>
                          </a:xfrm>
                          <a:prstGeom prst="rect">
                            <a:avLst/>
                          </a:prstGeom>
                          <a:noFill/>
                          <a:ln>
                            <a:noFill/>
                          </a:ln>
                        </pic:spPr>
                      </pic:pic>
                    </a:graphicData>
                  </a:graphic>
                </wp:inline>
              </w:drawing>
            </w:r>
          </w:p>
          <w:p>
            <w:pPr>
              <w:snapToGrid w:val="0"/>
              <w:spacing w:line="360" w:lineRule="auto"/>
              <w:ind w:firstLine="422"/>
              <w:jc w:val="center"/>
              <w:rPr>
                <w:rFonts w:ascii="Times New Roman" w:hAnsi="Times New Roman" w:cs="Times New Roman"/>
                <w:b/>
                <w:bCs/>
                <w:szCs w:val="21"/>
              </w:rPr>
            </w:pPr>
            <w:r>
              <w:rPr>
                <w:rFonts w:hint="eastAsia" w:ascii="Times New Roman" w:hAnsi="Times New Roman" w:cs="Times New Roman"/>
                <w:b/>
                <w:bCs/>
                <w:szCs w:val="21"/>
                <w:lang w:val="en-US" w:eastAsia="zh-CN"/>
              </w:rPr>
              <w:t>图</w:t>
            </w:r>
            <w:r>
              <w:rPr>
                <w:rFonts w:hint="default" w:ascii="Times New Roman" w:hAnsi="Times New Roman" w:cs="Times New Roman"/>
                <w:b/>
                <w:bCs/>
                <w:szCs w:val="21"/>
                <w:lang w:val="en-US" w:eastAsia="zh-CN"/>
              </w:rPr>
              <w:t xml:space="preserve">1-1 </w:t>
            </w:r>
            <w:r>
              <w:rPr>
                <w:rFonts w:hint="eastAsia" w:ascii="Times New Roman" w:hAnsi="Times New Roman" w:cs="Times New Roman"/>
                <w:b/>
                <w:bCs/>
                <w:szCs w:val="21"/>
                <w:lang w:val="en-US" w:eastAsia="zh-CN"/>
              </w:rPr>
              <w:t>项目选址与生态保护红线位置关系图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 xml:space="preserve">）项目与环境质量底线的符合性分析：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项目建设对环境质量的影响，强化污染防治措施和污染物排放控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1）环境空气：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根据《2022年承德市生态环境状况公报》中围场满族蒙古族自治县环境空气中的 PM</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、SO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、CO、O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现状监测统计资料，SO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的年平均质量浓度、NO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的年平均质量浓度、CO24小时平均浓度第95百分位数、PM</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年平均质量浓度、PM</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的年平均质量浓度、O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日最大8小时平均浓度达标。本项目引用《承德泓辉双合酒业有限公司粉条白酒、粉渣饲料和变性淀粉建设项目》检测报告（（辽鹏环测）字PY2211294-001号）总悬浮颗粒物、汞及其化合物的监测数据。根据监测结果总悬浮颗粒物、汞及其化合物监测24小时平均值符合《环境空气质量标准》（GB3095-2012）及其修改单（2018年8月13日）的二级标准。项目40t/h循环流化床燃煤锅炉废气经布袋除尘器+脱硫塔+PNCR高分子炉内脱硝后经1根45m高排气筒（DA001）排放</w:t>
            </w:r>
            <w:r>
              <w:rPr>
                <w:rFonts w:hint="eastAsia" w:ascii="Times New Roman" w:hAnsi="Times New Roman" w:eastAsia="宋体" w:cs="Times New Roman"/>
                <w:sz w:val="24"/>
                <w:szCs w:val="24"/>
                <w:lang w:val="en-US" w:eastAsia="zh-CN"/>
              </w:rPr>
              <w:t>；锅炉制煤系统上料、破碎废气经集气装置收集后经1套脉冲布袋除尘器处理，处理后的废气经1根15m高排气筒（DA002）排放；</w:t>
            </w:r>
            <w:r>
              <w:rPr>
                <w:rFonts w:hint="eastAsia" w:ascii="Times New Roman" w:hAnsi="Times New Roman" w:eastAsia="宋体" w:cs="Times New Roman"/>
                <w:color w:val="auto"/>
                <w:sz w:val="24"/>
                <w:szCs w:val="24"/>
                <w:shd w:val="clear" w:color="auto" w:fill="auto"/>
                <w:lang w:val="en-US" w:eastAsia="zh-CN"/>
              </w:rPr>
              <w:t>20t/h生物质锅炉废气经布袋除尘+低氮燃烧技术后经1根45m高排气筒（DA001）排放，锅炉除尘灰由灰仓仓顶自带低压脉冲袋式除尘器处理，</w:t>
            </w:r>
            <w:r>
              <w:rPr>
                <w:rFonts w:hint="eastAsia" w:ascii="Times New Roman" w:hAnsi="Times New Roman" w:eastAsia="宋体" w:cs="Times New Roman"/>
                <w:sz w:val="24"/>
                <w:szCs w:val="24"/>
                <w:lang w:val="en-US" w:eastAsia="zh-CN"/>
              </w:rPr>
              <w:t>处理后的废气经1根15m高排气筒（DA004）排放</w:t>
            </w:r>
            <w:r>
              <w:rPr>
                <w:rFonts w:hint="eastAsia" w:ascii="Times New Roman" w:hAnsi="Times New Roman" w:eastAsia="宋体" w:cs="Times New Roman"/>
                <w:color w:val="auto"/>
                <w:sz w:val="24"/>
                <w:szCs w:val="24"/>
                <w:shd w:val="clear" w:color="auto" w:fill="auto"/>
                <w:lang w:val="en-US" w:eastAsia="zh-CN"/>
              </w:rPr>
              <w:t>。</w:t>
            </w:r>
            <w:r>
              <w:rPr>
                <w:rFonts w:hint="eastAsia" w:ascii="Times New Roman" w:hAnsi="Times New Roman" w:eastAsia="宋体" w:cs="Times New Roman"/>
                <w:sz w:val="24"/>
                <w:szCs w:val="24"/>
                <w:lang w:val="en-US" w:eastAsia="zh-CN"/>
              </w:rPr>
              <w:t>经分析可知，项目建设不会突破大气环境质量底线。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2）水环境：本项目不新增员工，无新增生活污水；反渗透纯水制备废水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作为脱硫系统用水，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锅炉定期排水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能够满足《城市污水再生利用—城市杂用水水质》（GB/T18920-2020）中道路清扫水质标准，回用于厂区洒水降尘，全部综合利用，不外排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。因此项目建设对区域水环境质量影响较小，项目建设不会突破水环境质量底线。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3）声环境：本项目</w:t>
            </w:r>
            <w:r>
              <w:rPr>
                <w:rFonts w:hint="eastAsia" w:ascii="Times New Roman" w:hAnsi="Times New Roman" w:eastAsia="宋体" w:cs="Times New Roman"/>
                <w:sz w:val="24"/>
                <w:szCs w:val="24"/>
                <w:lang w:val="en-US" w:eastAsia="zh-CN"/>
              </w:rPr>
              <w:t>设备</w:t>
            </w:r>
            <w:r>
              <w:rPr>
                <w:rFonts w:hint="default" w:ascii="Times New Roman" w:hAnsi="Times New Roman" w:eastAsia="宋体" w:cs="Times New Roman"/>
                <w:sz w:val="24"/>
                <w:szCs w:val="24"/>
                <w:lang w:val="en-US" w:eastAsia="zh-CN"/>
              </w:rPr>
              <w:t>选用低产噪设备</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szCs w:val="24"/>
                <w:lang w:val="en-US" w:eastAsia="zh-CN"/>
              </w:rPr>
              <w:t>并且位于</w:t>
            </w:r>
            <w:r>
              <w:rPr>
                <w:rFonts w:hint="default" w:ascii="Times New Roman" w:hAnsi="Times New Roman" w:eastAsia="宋体" w:cs="Times New Roman"/>
                <w:color w:val="auto"/>
                <w:sz w:val="24"/>
                <w:szCs w:val="24"/>
                <w:lang w:val="en-US" w:eastAsia="zh-CN"/>
              </w:rPr>
              <w:t>封闭</w:t>
            </w:r>
            <w:r>
              <w:rPr>
                <w:rFonts w:hint="eastAsia" w:ascii="Times New Roman" w:hAnsi="Times New Roman" w:eastAsia="宋体" w:cs="Times New Roman"/>
                <w:color w:val="auto"/>
                <w:sz w:val="24"/>
                <w:szCs w:val="24"/>
                <w:lang w:val="en-US" w:eastAsia="zh-CN"/>
              </w:rPr>
              <w:t>的车间内</w:t>
            </w:r>
            <w:r>
              <w:rPr>
                <w:rFonts w:hint="default" w:ascii="Times New Roman" w:hAnsi="Times New Roman" w:eastAsia="宋体" w:cs="Times New Roman"/>
                <w:color w:val="auto"/>
                <w:sz w:val="24"/>
                <w:szCs w:val="24"/>
                <w:lang w:val="en-US" w:eastAsia="zh-CN"/>
              </w:rPr>
              <w:t>、设备基础减振、合理布局等措施；车辆减速慢行，禁</w:t>
            </w:r>
            <w:r>
              <w:rPr>
                <w:rFonts w:hint="default" w:ascii="Times New Roman" w:hAnsi="Times New Roman" w:eastAsia="宋体" w:cs="Times New Roman"/>
                <w:sz w:val="24"/>
                <w:szCs w:val="24"/>
                <w:lang w:val="en-US" w:eastAsia="zh-CN"/>
              </w:rPr>
              <w:t xml:space="preserve">止鸣笛。经噪声影响分析满足相应标准要求，项目建设不会突破声环境质量底线。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地下水和土壤环境：根据工程分析，危险废物暂存间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采取防渗，防渗系数≤1×10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cm/s；脱硫系统内配套的沉淀池采取防渗，防渗系数≤1×10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cm/s，垂直入渗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对区域地下水质量和土壤环境质量影响较小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；40t/h循环流化床燃煤锅炉废气经布袋除尘器+脱硫塔+PNCR高分子炉内脱硝后经1根45m高排气筒（DA001）排放，采取措施后颗粒物、二氧化硫、氮氧化物、汞及其化合物（以Hg计）自由沉降量较少，自由沉降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对区域土壤环境质量影响较小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。因此，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项目建设不会突破地下水质量和土壤环境质量底线的要求。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综上，项目建设符合环境质量底线的要求。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 xml:space="preserve">项目与资源利用上线的符合性分析：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本项目用电量284.8万kW·h/a，用水量为</w:t>
            </w:r>
            <w:r>
              <w:rPr>
                <w:rFonts w:hint="eastAsia" w:ascii="Times New Roman" w:hAnsi="Times New Roman" w:cs="Times New Roman"/>
                <w:color w:val="auto"/>
                <w:sz w:val="24"/>
                <w:szCs w:val="24"/>
                <w:lang w:val="en-US" w:eastAsia="zh-CN"/>
              </w:rPr>
              <w:t>480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48000</w:t>
            </w:r>
            <w:r>
              <w:rPr>
                <w:rFonts w:hint="default" w:ascii="Times New Roman" w:hAnsi="Times New Roman" w:cs="Times New Roman"/>
                <w:color w:val="auto"/>
                <w:kern w:val="44"/>
                <w:sz w:val="24"/>
                <w:szCs w:val="24"/>
                <w:lang w:val="en-US" w:eastAsia="zh-CN"/>
              </w:rPr>
              <w:t>m</w:t>
            </w:r>
            <w:r>
              <w:rPr>
                <w:rFonts w:hint="eastAsia" w:ascii="Times New Roman" w:hAnsi="Times New Roman" w:cs="Times New Roman"/>
                <w:color w:val="auto"/>
                <w:kern w:val="44"/>
                <w:sz w:val="24"/>
                <w:szCs w:val="24"/>
                <w:vertAlign w:val="superscript"/>
                <w:lang w:val="en-US" w:eastAsia="zh-CN"/>
              </w:rPr>
              <w:t>3</w:t>
            </w:r>
            <w:r>
              <w:rPr>
                <w:rFonts w:hint="default" w:ascii="Times New Roman" w:hAnsi="Times New Roman" w:cs="Times New Roman"/>
                <w:color w:val="auto"/>
                <w:kern w:val="44"/>
                <w:sz w:val="24"/>
                <w:szCs w:val="24"/>
                <w:lang w:val="en-US" w:eastAsia="zh-CN"/>
              </w:rPr>
              <w: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用煤量为9680t/a，用煤量已经取得了承德市发展和改革委员会《关于木兰皇家农业综合示范区用煤项目新增</w:t>
            </w:r>
            <w:r>
              <w:rPr>
                <w:rFonts w:hint="eastAsia" w:ascii="Times New Roman" w:hAnsi="Times New Roman" w:eastAsia="宋体" w:cs="Times New Roman"/>
                <w:color w:val="auto"/>
                <w:sz w:val="24"/>
                <w:szCs w:val="24"/>
                <w:lang w:val="en-US" w:eastAsia="zh-CN"/>
              </w:rPr>
              <w:t>用煤指标的划拨意见》，</w:t>
            </w:r>
            <w:r>
              <w:rPr>
                <w:rFonts w:hint="default" w:ascii="Times New Roman" w:hAnsi="Times New Roman" w:eastAsia="宋体" w:cs="Times New Roman"/>
                <w:color w:val="auto"/>
                <w:sz w:val="24"/>
                <w:szCs w:val="24"/>
                <w:lang w:val="en-US" w:eastAsia="zh-CN"/>
              </w:rPr>
              <w:t>用电由当地乡镇供电网供电</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 xml:space="preserve">厂区自备水井，不会达到资源利用上线。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项目符合资源利用上线的要求。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项目与环境准入负面清单符合性分析：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项目位于围场满族蒙古族自治县半截塔镇什八克村</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组，中心位置地理坐标：E117°25′42.82587″，N41°56′44.39968″，根据《承德市人民政府关于加快实施“三线一单”生态环境分区管控的意见》的附件《承德市“三线一单”生态环境准入清单》可知，项目所在区域编号为ZH13082831479，管控类型为一般管控单元，项目环境管控单元准入清单符合性分析判定内容如下表所示</w:t>
            </w:r>
            <w:r>
              <w:rPr>
                <w:rFonts w:hint="eastAsia" w:ascii="Times New Roman" w:hAnsi="Times New Roman" w:eastAsia="宋体" w:cs="Times New Roman"/>
                <w:sz w:val="24"/>
                <w:szCs w:val="24"/>
                <w:lang w:val="en-US" w:eastAsia="zh-CN"/>
              </w:rPr>
              <w:t>：</w:t>
            </w:r>
          </w:p>
          <w:p>
            <w:pPr>
              <w:autoSpaceDE w:val="0"/>
              <w:autoSpaceDN w:val="0"/>
              <w:adjustRightInd w:val="0"/>
              <w:snapToGrid w:val="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表1-1 </w:t>
            </w:r>
            <w:r>
              <w:rPr>
                <w:rFonts w:hint="default" w:ascii="Times New Roman" w:hAnsi="Times New Roman" w:eastAsia="宋体" w:cs="Times New Roman"/>
                <w:b/>
                <w:bCs/>
              </w:rPr>
              <w:t>项目环境管控单元准入清单符合性分析表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371"/>
              <w:gridCol w:w="428"/>
              <w:gridCol w:w="494"/>
              <w:gridCol w:w="542"/>
              <w:gridCol w:w="575"/>
              <w:gridCol w:w="903"/>
              <w:gridCol w:w="1033"/>
              <w:gridCol w:w="1264"/>
              <w:gridCol w:w="2010"/>
              <w:gridCol w:w="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编号</w:t>
                  </w:r>
                </w:p>
              </w:tc>
              <w:tc>
                <w:tcPr>
                  <w:tcW w:w="2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省</w:t>
                  </w:r>
                </w:p>
              </w:tc>
              <w:tc>
                <w:tcPr>
                  <w:tcW w:w="2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市</w:t>
                  </w:r>
                </w:p>
              </w:tc>
              <w:tc>
                <w:tcPr>
                  <w:tcW w:w="2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县</w:t>
                  </w:r>
                </w:p>
              </w:tc>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涉及乡镇</w:t>
                  </w:r>
                </w:p>
              </w:tc>
              <w:tc>
                <w:tcPr>
                  <w:tcW w:w="3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管控类型</w:t>
                  </w:r>
                </w:p>
              </w:tc>
              <w:tc>
                <w:tcPr>
                  <w:tcW w:w="5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环境要素类别</w:t>
                  </w:r>
                </w:p>
              </w:tc>
              <w:tc>
                <w:tcPr>
                  <w:tcW w:w="6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维度</w:t>
                  </w:r>
                </w:p>
              </w:tc>
              <w:tc>
                <w:tcPr>
                  <w:tcW w:w="7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管控措施</w:t>
                  </w:r>
                </w:p>
              </w:tc>
              <w:tc>
                <w:tcPr>
                  <w:tcW w:w="11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项目情况</w:t>
                  </w:r>
                </w:p>
              </w:tc>
              <w:tc>
                <w:tcPr>
                  <w:tcW w:w="2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jc w:val="center"/>
              </w:trPr>
              <w:tc>
                <w:tcPr>
                  <w:tcW w:w="29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ZH13082831479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 xml:space="preserve"> </w:t>
                  </w:r>
                </w:p>
              </w:tc>
              <w:tc>
                <w:tcPr>
                  <w:tcW w:w="21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河北省</w:t>
                  </w:r>
                </w:p>
              </w:tc>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承德市</w:t>
                  </w:r>
                </w:p>
              </w:tc>
              <w:tc>
                <w:tcPr>
                  <w:tcW w:w="28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围场满蒙自治县</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p>
              </w:tc>
              <w:tc>
                <w:tcPr>
                  <w:tcW w:w="31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 半截塔镇</w:t>
                  </w:r>
                </w:p>
              </w:tc>
              <w:tc>
                <w:tcPr>
                  <w:tcW w:w="33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一般管控单</w:t>
                  </w:r>
                  <w:r>
                    <w:rPr>
                      <w:rFonts w:hint="eastAsia"/>
                      <w:color w:val="000000" w:themeColor="text1"/>
                      <w:sz w:val="21"/>
                      <w:szCs w:val="21"/>
                      <w14:textFill>
                        <w14:solidFill>
                          <w14:schemeClr w14:val="tx1"/>
                        </w14:solidFill>
                      </w14:textFill>
                    </w:rPr>
                    <w:t>元</w:t>
                  </w:r>
                </w:p>
              </w:tc>
              <w:tc>
                <w:tcPr>
                  <w:tcW w:w="52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一般管控区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、部分区域涉及农用地优</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先保护区</w:t>
                  </w:r>
                </w:p>
              </w:tc>
              <w:tc>
                <w:tcPr>
                  <w:tcW w:w="6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空间布局约束</w:t>
                  </w:r>
                </w:p>
              </w:tc>
              <w:tc>
                <w:tcPr>
                  <w:tcW w:w="737" w:type="pct"/>
                  <w:vMerge w:val="restart"/>
                  <w:noWrap w:val="0"/>
                  <w:vAlign w:val="center"/>
                </w:tcPr>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严格执行国家和省关于产业准入、总量控制和污染物排放标准等管控要求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农用地优先保护区执行承德市总体准入清单要求（农用地优先保护区区内严格控制新建有色金属冶炼、石油加工、化工、焦化、电镀、制革等行业企业。原则上禁止改变现状土地用途。应实行严格保护，确保其面积不减少、土壤环境质量不下降，除法律规定的重点建设项目选址确实无法避让外，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他任何建设不得占用。）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p>
              </w:tc>
              <w:tc>
                <w:tcPr>
                  <w:tcW w:w="117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1、项目符合产业准入要求，污染物达标排放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锅炉所产生废气采取各项措施后颗粒物、二氧化硫、氮氧化物、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汞及其化合物（以Hg计）满足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《锅炉大气污染物排放标准》（DB 13/ 5161—2020）中表1大气污染物排放限值的要求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；锅炉制煤系统上料、破碎产生的废气采取措施后颗粒物满足</w:t>
                  </w:r>
                  <w:r>
                    <w:rPr>
                      <w:rFonts w:hint="default" w:ascii="Times New Roman" w:hAnsi="Times New Roman" w:eastAsia="宋体" w:cs="Times New Roman"/>
                      <w:szCs w:val="21"/>
                      <w:lang w:val="en-US"/>
                    </w:rPr>
                    <w:t>《大气污染物综合排放标准》（GB16297-1996）表2中二级标准颗粒物最高允许排放浓度和最高允许排放速率限值要求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；灰仓粉尘有组织排放执行《大气污染物综合排放标准》 （GB16297-1996）表2中相关限值的要求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厂界无组织颗粒物排放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《大气污染物综合排放标准》（GB16297-1996）表2无组织排放监控浓度限值要求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，主要污染物通过总量交易平台取得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2、本项目不涉及农用地优先保护区</w:t>
                  </w:r>
                </w:p>
              </w:tc>
              <w:tc>
                <w:tcPr>
                  <w:tcW w:w="265" w:type="pct"/>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2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8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3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52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6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污染物排放管控</w:t>
                  </w:r>
                </w:p>
              </w:tc>
              <w:tc>
                <w:tcPr>
                  <w:tcW w:w="737"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p>
              </w:tc>
              <w:tc>
                <w:tcPr>
                  <w:tcW w:w="1172"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color w:val="FF0000"/>
                      <w:sz w:val="21"/>
                      <w:szCs w:val="21"/>
                      <w:lang w:val="en-US" w:eastAsia="zh-CN"/>
                    </w:rPr>
                  </w:pPr>
                </w:p>
              </w:tc>
              <w:tc>
                <w:tcPr>
                  <w:tcW w:w="265"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2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8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3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52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6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环境风险防控</w:t>
                  </w:r>
                </w:p>
              </w:tc>
              <w:tc>
                <w:tcPr>
                  <w:tcW w:w="737"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color w:val="000000" w:themeColor="text1"/>
                      <w:sz w:val="21"/>
                      <w:szCs w:val="21"/>
                      <w:lang w:val="en-US" w:eastAsia="zh-CN"/>
                      <w14:textFill>
                        <w14:solidFill>
                          <w14:schemeClr w14:val="tx1"/>
                        </w14:solidFill>
                      </w14:textFill>
                    </w:rPr>
                  </w:pPr>
                </w:p>
              </w:tc>
              <w:tc>
                <w:tcPr>
                  <w:tcW w:w="1172"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color w:val="FF0000"/>
                      <w:sz w:val="21"/>
                      <w:szCs w:val="21"/>
                      <w:lang w:val="en-US" w:eastAsia="zh-CN"/>
                    </w:rPr>
                  </w:pPr>
                </w:p>
              </w:tc>
              <w:tc>
                <w:tcPr>
                  <w:tcW w:w="265"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8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3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52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6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737"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color w:val="000000" w:themeColor="text1"/>
                      <w:sz w:val="21"/>
                      <w:szCs w:val="21"/>
                      <w14:textFill>
                        <w14:solidFill>
                          <w14:schemeClr w14:val="tx1"/>
                        </w14:solidFill>
                      </w14:textFill>
                    </w:rPr>
                  </w:pPr>
                </w:p>
              </w:tc>
              <w:tc>
                <w:tcPr>
                  <w:tcW w:w="1172"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color w:val="FF0000"/>
                      <w:sz w:val="21"/>
                      <w:szCs w:val="21"/>
                      <w:lang w:val="en-US" w:eastAsia="zh-CN"/>
                    </w:rPr>
                  </w:pPr>
                </w:p>
              </w:tc>
              <w:tc>
                <w:tcPr>
                  <w:tcW w:w="265"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color w:val="000000" w:themeColor="text1"/>
                      <w:sz w:val="21"/>
                      <w:szCs w:val="21"/>
                      <w:lang w:val="en-US" w:eastAsia="zh-CN"/>
                      <w14:textFill>
                        <w14:solidFill>
                          <w14:schemeClr w14:val="tx1"/>
                        </w14:solidFill>
                      </w14:textFill>
                    </w:rPr>
                  </w:pPr>
                </w:p>
              </w:tc>
            </w:tr>
          </w:tbl>
          <w:p>
            <w:pPr>
              <w:pStyle w:val="33"/>
              <w:numPr>
                <w:ilvl w:val="4"/>
                <w:numId w:val="0"/>
              </w:numPr>
              <w:ind w:leftChars="0"/>
              <w:jc w:val="center"/>
            </w:pPr>
            <w:r>
              <w:drawing>
                <wp:inline distT="0" distB="0" distL="114300" distR="114300">
                  <wp:extent cx="5361305" cy="3783965"/>
                  <wp:effectExtent l="0" t="0" r="10795"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361305" cy="3783965"/>
                          </a:xfrm>
                          <a:prstGeom prst="rect">
                            <a:avLst/>
                          </a:prstGeom>
                          <a:noFill/>
                          <a:ln>
                            <a:noFill/>
                          </a:ln>
                        </pic:spPr>
                      </pic:pic>
                    </a:graphicData>
                  </a:graphic>
                </wp:inline>
              </w:drawing>
            </w:r>
          </w:p>
          <w:p>
            <w:pPr>
              <w:snapToGrid w:val="0"/>
              <w:spacing w:line="360" w:lineRule="auto"/>
              <w:ind w:firstLine="422"/>
              <w:jc w:val="center"/>
              <w:rPr>
                <w:rFonts w:ascii="Times New Roman" w:hAnsi="Times New Roman" w:cs="Times New Roman"/>
                <w:b/>
                <w:bCs/>
                <w:szCs w:val="21"/>
              </w:rPr>
            </w:pPr>
            <w:r>
              <w:rPr>
                <w:rFonts w:hint="eastAsia" w:ascii="Times New Roman" w:hAnsi="Times New Roman" w:cs="Times New Roman"/>
                <w:b/>
                <w:bCs/>
                <w:szCs w:val="21"/>
                <w:lang w:val="en-US" w:eastAsia="zh-CN"/>
              </w:rPr>
              <w:t xml:space="preserve">图 </w:t>
            </w:r>
            <w:r>
              <w:rPr>
                <w:rFonts w:hint="default" w:ascii="Times New Roman" w:hAnsi="Times New Roman" w:cs="Times New Roman"/>
                <w:b/>
                <w:bCs/>
                <w:szCs w:val="21"/>
                <w:lang w:val="en-US" w:eastAsia="zh-CN"/>
              </w:rPr>
              <w:t xml:space="preserve">1-2 </w:t>
            </w:r>
            <w:r>
              <w:rPr>
                <w:rFonts w:hint="eastAsia" w:ascii="Times New Roman" w:hAnsi="Times New Roman" w:cs="Times New Roman"/>
                <w:b/>
                <w:bCs/>
                <w:szCs w:val="21"/>
                <w:lang w:val="en-US" w:eastAsia="zh-CN"/>
              </w:rPr>
              <w:t>三线一单分区管控位置图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ascii="Times New Roman" w:hAnsi="Times New Roman" w:eastAsia="宋体" w:cs="Times New Roman"/>
                <w:sz w:val="24"/>
              </w:rPr>
            </w:pPr>
            <w:r>
              <w:rPr>
                <w:rFonts w:hint="eastAsia" w:ascii="Times New Roman" w:hAnsi="Times New Roman" w:eastAsia="宋体" w:cs="Times New Roman"/>
                <w:sz w:val="24"/>
                <w:lang w:val="en-US" w:eastAsia="zh-CN"/>
              </w:rPr>
              <w:t>由以上分析结果可知，项目符合《关于以改善环境质量为核心加强环境影响评价管理的通知》（环评</w:t>
            </w:r>
            <w:r>
              <w:rPr>
                <w:rFonts w:hint="default" w:ascii="Times New Roman" w:hAnsi="Times New Roman" w:eastAsia="宋体" w:cs="Times New Roman"/>
                <w:sz w:val="24"/>
                <w:lang w:val="en-US" w:eastAsia="zh-CN"/>
              </w:rPr>
              <w:t>[2016]150</w:t>
            </w:r>
            <w:r>
              <w:rPr>
                <w:rFonts w:hint="eastAsia" w:ascii="Times New Roman" w:hAnsi="Times New Roman" w:eastAsia="宋体" w:cs="Times New Roman"/>
                <w:sz w:val="24"/>
                <w:lang w:val="en-US" w:eastAsia="zh-CN"/>
              </w:rPr>
              <w:t>号）和《承德市</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三线一单</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生态环境准入清单》（承德市生态环境局，</w:t>
            </w:r>
            <w:r>
              <w:rPr>
                <w:rFonts w:hint="default" w:ascii="Times New Roman" w:hAnsi="Times New Roman" w:eastAsia="宋体" w:cs="Times New Roman"/>
                <w:sz w:val="24"/>
                <w:lang w:val="en-US" w:eastAsia="zh-CN"/>
              </w:rPr>
              <w:t>2021</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6</w:t>
            </w:r>
            <w:r>
              <w:rPr>
                <w:rFonts w:hint="eastAsia" w:ascii="Times New Roman" w:hAnsi="Times New Roman" w:eastAsia="宋体" w:cs="Times New Roman"/>
                <w:sz w:val="24"/>
                <w:lang w:val="en-US" w:eastAsia="zh-CN"/>
              </w:rPr>
              <w:t>月）中关于</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三线一单</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管控要求</w:t>
            </w:r>
            <w:r>
              <w:rPr>
                <w:rFonts w:ascii="Times New Roman" w:hAnsi="Times New Roman" w:eastAsia="宋体" w:cs="Times New Roman"/>
                <w:sz w:val="24"/>
              </w:rPr>
              <w:t>。</w:t>
            </w:r>
          </w:p>
          <w:p>
            <w:pPr>
              <w:numPr>
                <w:ilvl w:val="0"/>
                <w:numId w:val="3"/>
              </w:numPr>
              <w:snapToGrid w:val="0"/>
              <w:spacing w:line="360" w:lineRule="auto"/>
              <w:ind w:firstLine="480"/>
              <w:rPr>
                <w:rFonts w:hint="eastAsia" w:ascii="Times New Roman" w:hAnsi="Times New Roman" w:eastAsia="宋体" w:cs="Times New Roman"/>
                <w:b/>
                <w:bCs/>
                <w:kern w:val="0"/>
                <w:sz w:val="24"/>
              </w:rPr>
            </w:pPr>
            <w:r>
              <w:rPr>
                <w:rFonts w:hint="eastAsia" w:ascii="Times New Roman" w:hAnsi="Times New Roman" w:eastAsia="宋体" w:cs="Times New Roman"/>
                <w:b/>
                <w:bCs/>
                <w:kern w:val="0"/>
                <w:sz w:val="24"/>
                <w:lang w:val="en-US" w:eastAsia="zh-CN"/>
              </w:rPr>
              <w:t>《承德市城市总体规划（2016-2030 年）》符合性分析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sz w:val="24"/>
              </w:rPr>
            </w:pPr>
            <w:r>
              <w:rPr>
                <w:rFonts w:hint="eastAsia" w:ascii="Times New Roman" w:hAnsi="Times New Roman"/>
                <w:sz w:val="24"/>
              </w:rPr>
              <w:t>承德市城市总体规划中生态功能区如下图所示：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sz w:val="24"/>
              </w:rPr>
            </w:pPr>
            <w:r>
              <w:drawing>
                <wp:anchor distT="0" distB="0" distL="114300" distR="114300" simplePos="0" relativeHeight="251661312" behindDoc="0" locked="0" layoutInCell="1" allowOverlap="1">
                  <wp:simplePos x="0" y="0"/>
                  <wp:positionH relativeFrom="column">
                    <wp:posOffset>215900</wp:posOffset>
                  </wp:positionH>
                  <wp:positionV relativeFrom="paragraph">
                    <wp:posOffset>591820</wp:posOffset>
                  </wp:positionV>
                  <wp:extent cx="2200910" cy="2451735"/>
                  <wp:effectExtent l="0" t="0" r="8890" b="5715"/>
                  <wp:wrapNone/>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8"/>
                          <a:stretch>
                            <a:fillRect/>
                          </a:stretch>
                        </pic:blipFill>
                        <pic:spPr>
                          <a:xfrm>
                            <a:off x="0" y="0"/>
                            <a:ext cx="2200910" cy="2451735"/>
                          </a:xfrm>
                          <a:prstGeom prst="rect">
                            <a:avLst/>
                          </a:prstGeom>
                          <a:noFill/>
                          <a:ln>
                            <a:noFill/>
                          </a:ln>
                        </pic:spPr>
                      </pic:pic>
                    </a:graphicData>
                  </a:graphic>
                </wp:anchor>
              </w:drawing>
            </w:r>
            <w:r>
              <w:rPr>
                <w:rFonts w:hint="default"/>
              </w:rPr>
              <mc:AlternateContent>
                <mc:Choice Requires="wps">
                  <w:drawing>
                    <wp:anchor distT="0" distB="0" distL="114300" distR="114300" simplePos="0" relativeHeight="251663360" behindDoc="0" locked="0" layoutInCell="1" allowOverlap="1">
                      <wp:simplePos x="0" y="0"/>
                      <wp:positionH relativeFrom="column">
                        <wp:posOffset>2995295</wp:posOffset>
                      </wp:positionH>
                      <wp:positionV relativeFrom="paragraph">
                        <wp:posOffset>1180465</wp:posOffset>
                      </wp:positionV>
                      <wp:extent cx="741680" cy="292100"/>
                      <wp:effectExtent l="120650" t="4445" r="13970" b="179705"/>
                      <wp:wrapNone/>
                      <wp:docPr id="44" name="圆角矩形标注 44"/>
                      <wp:cNvGraphicFramePr/>
                      <a:graphic xmlns:a="http://schemas.openxmlformats.org/drawingml/2006/main">
                        <a:graphicData uri="http://schemas.microsoft.com/office/word/2010/wordprocessingShape">
                          <wps:wsp>
                            <wps:cNvSpPr/>
                            <wps:spPr>
                              <a:xfrm>
                                <a:off x="0" y="0"/>
                                <a:ext cx="741680" cy="292100"/>
                              </a:xfrm>
                              <a:prstGeom prst="wedgeRoundRectCallout">
                                <a:avLst>
                                  <a:gd name="adj1" fmla="val -62046"/>
                                  <a:gd name="adj2" fmla="val 105218"/>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eastAsia="宋体"/>
                                      <w:lang w:eastAsia="zh-CN"/>
                                    </w:rPr>
                                  </w:pPr>
                                  <w:r>
                                    <w:rPr>
                                      <w:rFonts w:hint="eastAsia"/>
                                      <w:lang w:eastAsia="zh-CN"/>
                                    </w:rPr>
                                    <w:t>本项目</w:t>
                                  </w:r>
                                </w:p>
                              </w:txbxContent>
                            </wps:txbx>
                            <wps:bodyPr upright="1"/>
                          </wps:wsp>
                        </a:graphicData>
                      </a:graphic>
                    </wp:anchor>
                  </w:drawing>
                </mc:Choice>
                <mc:Fallback>
                  <w:pict>
                    <v:shape id="_x0000_s1026" o:spid="_x0000_s1026" o:spt="62" type="#_x0000_t62" style="position:absolute;left:0pt;margin-left:235.85pt;margin-top:92.95pt;height:23pt;width:58.4pt;z-index:251663360;mso-width-relative:page;mso-height-relative:page;" fillcolor="#FFFFFF" filled="t" stroked="t" coordsize="21600,21600" o:gfxdata="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Y2BhNsAAAAL&#10;AQAADwAAAAAAAAABACAAAAAiAAAAZHJzL2Rvd25yZXYueG1sUEsBAhQAFAAAAAgAh07iQJh9TSNS&#10;AgAAvgQAAA4AAAAAAAAAAQAgAAAAKgEAAGRycy9lMm9Eb2MueG1sUEsFBgAAAAAGAAYAWQEAAO4F&#10;AAAAAA==&#10;" adj="-2602,33527,14400">
                      <v:fill on="t" focussize="0,0"/>
                      <v:stroke color="#000000" joinstyle="miter"/>
                      <v:imagedata o:title=""/>
                      <o:lock v:ext="edit" aspectratio="f"/>
                      <v:textbox>
                        <w:txbxContent>
                          <w:p>
                            <w:pPr>
                              <w:ind w:left="0" w:leftChars="0" w:firstLine="0" w:firstLineChars="0"/>
                              <w:jc w:val="center"/>
                              <w:rPr>
                                <w:rFonts w:hint="eastAsia" w:eastAsia="宋体"/>
                                <w:lang w:eastAsia="zh-CN"/>
                              </w:rPr>
                            </w:pPr>
                            <w:r>
                              <w:rPr>
                                <w:rFonts w:hint="eastAsia"/>
                                <w:lang w:eastAsia="zh-CN"/>
                              </w:rPr>
                              <w:t>本项目</w:t>
                            </w:r>
                          </w:p>
                        </w:txbxContent>
                      </v:textbox>
                    </v:shape>
                  </w:pict>
                </mc:Fallback>
              </mc:AlternateContent>
            </w:r>
            <w:r>
              <w:rPr>
                <w:rFonts w:hint="default"/>
              </w:rPr>
              <mc:AlternateContent>
                <mc:Choice Requires="wps">
                  <w:drawing>
                    <wp:anchor distT="0" distB="0" distL="114300" distR="114300" simplePos="0" relativeHeight="251662336" behindDoc="0" locked="0" layoutInCell="1" allowOverlap="1">
                      <wp:simplePos x="0" y="0"/>
                      <wp:positionH relativeFrom="column">
                        <wp:posOffset>2802255</wp:posOffset>
                      </wp:positionH>
                      <wp:positionV relativeFrom="paragraph">
                        <wp:posOffset>1655445</wp:posOffset>
                      </wp:positionV>
                      <wp:extent cx="76200" cy="76200"/>
                      <wp:effectExtent l="1270" t="2540" r="17780" b="16510"/>
                      <wp:wrapNone/>
                      <wp:docPr id="41" name="五角星 41"/>
                      <wp:cNvGraphicFramePr/>
                      <a:graphic xmlns:a="http://schemas.openxmlformats.org/drawingml/2006/main">
                        <a:graphicData uri="http://schemas.microsoft.com/office/word/2010/wordprocessingShape">
                          <wps:wsp>
                            <wps:cNvSpPr/>
                            <wps:spPr>
                              <a:xfrm flipV="1">
                                <a:off x="0" y="0"/>
                                <a:ext cx="76200" cy="76200"/>
                              </a:xfrm>
                              <a:prstGeom prst="star5">
                                <a:avLst>
                                  <a:gd name="adj" fmla="val 0"/>
                                  <a:gd name="hf" fmla="val 105146"/>
                                  <a:gd name="vf" fmla="val 110557"/>
                                </a:avLst>
                              </a:prstGeom>
                              <a:solidFill>
                                <a:srgbClr val="FF0000"/>
                              </a:solidFill>
                              <a:ln w="9525"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style="position:absolute;left:0pt;flip:y;margin-left:220.65pt;margin-top:130.35pt;height:6pt;width:6pt;z-index:251662336;mso-width-relative:page;mso-height-relative:page;" fillcolor="#FF0000" filled="t" stroked="t" coordsize="76200,76200" o:gfxdata="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uWpQ93AAAAAsBAAAPAAAAAAAAAAEAIAAAACIAAABkcnMv&#10;ZG93bnJldi54bWxQSwECFAAUAAAACACHTuJAl3vs3DgCAACkBAAADgAAAAAAAAABACAAAAArAQAA&#10;ZHJzL2Uyb0RvYy54bWxQSwUGAAAAAAYABgBZAQAA1QUAAAAA&#10;" path="m0,29105l38100,42122,38100,0,38100,42122,76199,29105,38100,42122,61647,76199,38100,42122,14552,76199,38100,42122xe">
                      <v:path textboxrect="0,0,76200,76200" o:connectlocs="38100,0;0,29105;14552,76199;61647,76199;76199,29105" o:connectangles="247,164,82,82,0"/>
                      <v:fill on="t" focussize="0,0"/>
                      <v:stroke color="#FFFF00" joinstyle="miter"/>
                      <v:imagedata o:title=""/>
                      <o:lock v:ext="edit" aspectratio="f"/>
                      <v:textbox>
                        <w:txbxContent>
                          <w:p/>
                        </w:txbxContent>
                      </v:textbox>
                    </v:shape>
                  </w:pict>
                </mc:Fallback>
              </mc:AlternateContent>
            </w:r>
            <w:r>
              <w:drawing>
                <wp:inline distT="0" distB="0" distL="114300" distR="114300">
                  <wp:extent cx="5027930" cy="3053715"/>
                  <wp:effectExtent l="0" t="0" r="1270" b="1333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9"/>
                          <a:stretch>
                            <a:fillRect/>
                          </a:stretch>
                        </pic:blipFill>
                        <pic:spPr>
                          <a:xfrm>
                            <a:off x="0" y="0"/>
                            <a:ext cx="5027930" cy="3053715"/>
                          </a:xfrm>
                          <a:prstGeom prst="rect">
                            <a:avLst/>
                          </a:prstGeom>
                          <a:noFill/>
                          <a:ln>
                            <a:noFill/>
                          </a:ln>
                        </pic:spPr>
                      </pic:pic>
                    </a:graphicData>
                  </a:graphic>
                </wp:inline>
              </w:drawing>
            </w:r>
          </w:p>
          <w:p>
            <w:pPr>
              <w:adjustRightInd w:val="0"/>
              <w:snapToGrid w:val="0"/>
              <w:spacing w:line="360" w:lineRule="auto"/>
              <w:jc w:val="center"/>
            </w:pPr>
            <w:r>
              <w:drawing>
                <wp:inline distT="0" distB="0" distL="114300" distR="114300">
                  <wp:extent cx="5051425" cy="1378585"/>
                  <wp:effectExtent l="0" t="0" r="15875" b="1206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stretch>
                            <a:fillRect/>
                          </a:stretch>
                        </pic:blipFill>
                        <pic:spPr>
                          <a:xfrm>
                            <a:off x="0" y="0"/>
                            <a:ext cx="5051425" cy="1378585"/>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b/>
                <w:color w:val="auto"/>
                <w:sz w:val="21"/>
                <w:szCs w:val="21"/>
              </w:rPr>
              <w:t>图1-</w:t>
            </w:r>
            <w:r>
              <w:rPr>
                <w:rFonts w:hint="eastAsia"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承德市生态功能区图</w:t>
            </w:r>
          </w:p>
          <w:p>
            <w:pPr>
              <w:adjustRightInd w:val="0"/>
              <w:snapToGrid w:val="0"/>
              <w:spacing w:line="360" w:lineRule="auto"/>
              <w:ind w:firstLine="480" w:firstLineChars="200"/>
              <w:rPr>
                <w:rFonts w:hint="eastAsia" w:ascii="Times New Roman" w:hAnsi="Times New Roman" w:eastAsia="宋体" w:cs="Times New Roman"/>
                <w:kern w:val="0"/>
                <w:sz w:val="24"/>
              </w:rPr>
            </w:pPr>
            <w:r>
              <w:rPr>
                <w:rFonts w:ascii="Times New Roman" w:hAnsi="Times New Roman" w:eastAsia="宋体" w:cs="Times New Roman"/>
                <w:kern w:val="0"/>
                <w:sz w:val="24"/>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本项目所属区域为</w:t>
            </w:r>
            <w:r>
              <w:rPr>
                <w:rFonts w:hint="default" w:ascii="Times New Roman" w:hAnsi="Times New Roman" w:eastAsia="宋体" w:cs="Times New Roman"/>
                <w:kern w:val="0"/>
                <w:sz w:val="24"/>
                <w:lang w:val="en-US" w:eastAsia="zh-CN"/>
              </w:rPr>
              <w:t>围场满族蒙古族自治县半截塔镇</w:t>
            </w:r>
            <w:r>
              <w:rPr>
                <w:rFonts w:ascii="Times New Roman" w:hAnsi="Times New Roman" w:eastAsia="宋体" w:cs="Times New Roman"/>
                <w:kern w:val="0"/>
                <w:sz w:val="24"/>
              </w:rPr>
              <w:t>，根据承德市总体规划，</w:t>
            </w:r>
            <w:r>
              <w:rPr>
                <w:rFonts w:hint="default" w:ascii="Times New Roman" w:hAnsi="Times New Roman" w:eastAsia="宋体" w:cs="Times New Roman"/>
                <w:kern w:val="0"/>
                <w:sz w:val="24"/>
              </w:rPr>
              <w:t>围场满族蒙古族自治县半截塔镇</w:t>
            </w:r>
            <w:r>
              <w:rPr>
                <w:rFonts w:ascii="Times New Roman" w:hAnsi="Times New Roman" w:eastAsia="宋体" w:cs="Times New Roman"/>
                <w:kern w:val="0"/>
                <w:sz w:val="24"/>
              </w:rPr>
              <w:t>属于“冀北及燕山山地生态区（Ⅱ）——</w:t>
            </w:r>
            <w:r>
              <w:rPr>
                <w:rFonts w:hint="eastAsia" w:ascii="Times New Roman" w:hAnsi="Times New Roman" w:eastAsia="宋体" w:cs="Times New Roman"/>
                <w:kern w:val="0"/>
                <w:sz w:val="24"/>
              </w:rPr>
              <w:t>冀北山地森林生态亚区</w:t>
            </w:r>
            <w:r>
              <w:rPr>
                <w:rFonts w:ascii="Times New Roman" w:hAnsi="Times New Roman" w:eastAsia="宋体" w:cs="Times New Roman"/>
                <w:kern w:val="0"/>
                <w:sz w:val="24"/>
              </w:rPr>
              <w:t>（Ⅱ-</w:t>
            </w:r>
            <w:r>
              <w:rPr>
                <w:rFonts w:hint="eastAsia" w:ascii="Times New Roman" w:hAnsi="Times New Roman" w:eastAsia="宋体" w:cs="Times New Roman"/>
                <w:kern w:val="0"/>
                <w:sz w:val="24"/>
              </w:rPr>
              <w:t>1</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滦河</w:t>
            </w:r>
            <w:r>
              <w:rPr>
                <w:rFonts w:ascii="Times New Roman" w:hAnsi="Times New Roman" w:eastAsia="宋体" w:cs="Times New Roman"/>
                <w:kern w:val="0"/>
                <w:sz w:val="24"/>
                <w:lang w:val="en-US" w:eastAsia="zh-CN"/>
              </w:rPr>
              <w:t>上游生物多样性保护功能区</w:t>
            </w:r>
            <w:r>
              <w:rPr>
                <w:rFonts w:ascii="Times New Roman" w:hAnsi="Times New Roman" w:eastAsia="宋体" w:cs="Times New Roman"/>
                <w:kern w:val="0"/>
                <w:sz w:val="24"/>
              </w:rPr>
              <w:t>（Ⅱ-</w:t>
            </w:r>
            <w:r>
              <w:rPr>
                <w:rFonts w:hint="eastAsia" w:ascii="Times New Roman" w:hAnsi="Times New Roman" w:eastAsia="宋体" w:cs="Times New Roman"/>
                <w:kern w:val="0"/>
                <w:sz w:val="24"/>
              </w:rPr>
              <w:t>1-</w:t>
            </w:r>
            <w:r>
              <w:rPr>
                <w:rFonts w:hint="eastAsia" w:ascii="Times New Roman" w:hAnsi="Times New Roman" w:eastAsia="宋体" w:cs="Times New Roman"/>
                <w:kern w:val="0"/>
                <w:sz w:val="24"/>
                <w:lang w:val="en-US" w:eastAsia="zh-CN"/>
              </w:rPr>
              <w:t>3</w:t>
            </w:r>
            <w:r>
              <w:rPr>
                <w:rFonts w:ascii="Times New Roman" w:hAnsi="Times New Roman" w:eastAsia="宋体" w:cs="Times New Roman"/>
                <w:kern w:val="0"/>
                <w:sz w:val="24"/>
              </w:rPr>
              <w:t>）”，该区域主要生态环境问题</w:t>
            </w:r>
            <w:r>
              <w:rPr>
                <w:rFonts w:hint="eastAsia" w:ascii="Times New Roman" w:hAnsi="Times New Roman" w:eastAsia="宋体" w:cs="Times New Roman"/>
                <w:kern w:val="0"/>
                <w:sz w:val="24"/>
              </w:rPr>
              <w:t>、</w:t>
            </w:r>
            <w:r>
              <w:rPr>
                <w:rFonts w:ascii="Times New Roman" w:hAnsi="Times New Roman" w:eastAsia="宋体" w:cs="Times New Roman"/>
                <w:kern w:val="0"/>
                <w:sz w:val="24"/>
              </w:rPr>
              <w:t>生态服务功能、建设方向及措施如下表所示</w:t>
            </w:r>
            <w:r>
              <w:rPr>
                <w:rFonts w:hint="eastAsia" w:ascii="Times New Roman" w:hAnsi="Times New Roman" w:eastAsia="宋体" w:cs="Times New Roman"/>
                <w:kern w:val="0"/>
                <w:sz w:val="24"/>
              </w:rPr>
              <w:t>。</w:t>
            </w:r>
          </w:p>
          <w:p>
            <w:pPr>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 xml:space="preserve">  承德市总体规划中生态功能区划相关功能分区</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1"/>
              <w:gridCol w:w="1297"/>
              <w:gridCol w:w="1740"/>
              <w:gridCol w:w="986"/>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生态区</w:t>
                  </w:r>
                </w:p>
              </w:tc>
              <w:tc>
                <w:tcPr>
                  <w:tcW w:w="449"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生态亚区</w:t>
                  </w:r>
                </w:p>
              </w:tc>
              <w:tc>
                <w:tcPr>
                  <w:tcW w:w="756"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生态功能区</w:t>
                  </w:r>
                </w:p>
              </w:tc>
              <w:tc>
                <w:tcPr>
                  <w:tcW w:w="1014"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主要生态环境问题</w:t>
                  </w:r>
                </w:p>
              </w:tc>
              <w:tc>
                <w:tcPr>
                  <w:tcW w:w="574"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生态服务功能</w:t>
                  </w:r>
                </w:p>
              </w:tc>
              <w:tc>
                <w:tcPr>
                  <w:tcW w:w="1791"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建设方向及措施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冀北及燕山山地生态区Ⅱ</w:t>
                  </w:r>
                </w:p>
              </w:tc>
              <w:tc>
                <w:tcPr>
                  <w:tcW w:w="449"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冀北山地森林生态亚区Ⅱ-</w:t>
                  </w:r>
                  <w:r>
                    <w:rPr>
                      <w:rFonts w:hint="default" w:ascii="Times New Roman" w:hAnsi="Times New Roman" w:cs="Times New Roman"/>
                      <w:color w:val="auto"/>
                      <w:sz w:val="21"/>
                      <w:szCs w:val="21"/>
                      <w:lang w:val="en-US" w:eastAsia="zh-CN"/>
                    </w:rPr>
                    <w:t>1</w:t>
                  </w:r>
                </w:p>
              </w:tc>
              <w:tc>
                <w:tcPr>
                  <w:tcW w:w="756" w:type="pct"/>
                  <w:vAlign w:val="center"/>
                </w:tcPr>
                <w:p>
                  <w:pPr>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eastAsia="zh-CN"/>
                    </w:rPr>
                    <w:t>滦河</w:t>
                  </w:r>
                  <w:r>
                    <w:rPr>
                      <w:rFonts w:hint="default" w:ascii="Times New Roman" w:hAnsi="Times New Roman" w:cs="Times New Roman"/>
                      <w:color w:val="auto"/>
                      <w:sz w:val="21"/>
                      <w:szCs w:val="21"/>
                      <w:lang w:val="en-US" w:eastAsia="zh-CN"/>
                    </w:rPr>
                    <w:t>上游生物多样性保护功能区</w:t>
                  </w:r>
                  <w:r>
                    <w:rPr>
                      <w:rFonts w:hint="default" w:ascii="Times New Roman" w:hAnsi="Times New Roman" w:cs="Times New Roman"/>
                      <w:color w:val="auto"/>
                    </w:rPr>
                    <w:t>Ⅱ-1-</w:t>
                  </w:r>
                  <w:r>
                    <w:rPr>
                      <w:rFonts w:hint="default" w:ascii="Times New Roman" w:hAnsi="Times New Roman" w:cs="Times New Roman"/>
                      <w:color w:val="auto"/>
                      <w:lang w:val="en-US" w:eastAsia="zh-CN"/>
                    </w:rPr>
                    <w:t>3</w:t>
                  </w:r>
                </w:p>
              </w:tc>
              <w:tc>
                <w:tcPr>
                  <w:tcW w:w="1014" w:type="pct"/>
                  <w:vAlign w:val="center"/>
                </w:tcPr>
                <w:p>
                  <w:pPr>
                    <w:spacing w:line="240" w:lineRule="auto"/>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生物多样性减少，水土流失严重，草地退化，沙化面积不断扩大。</w:t>
                  </w:r>
                </w:p>
              </w:tc>
              <w:tc>
                <w:tcPr>
                  <w:tcW w:w="574" w:type="pct"/>
                  <w:vAlign w:val="center"/>
                </w:tcPr>
                <w:p>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生物多样性保护、荒漠化防治、水资源保护</w:t>
                  </w:r>
                </w:p>
              </w:tc>
              <w:tc>
                <w:tcPr>
                  <w:tcW w:w="1791" w:type="pct"/>
                  <w:vAlign w:val="center"/>
                </w:tcPr>
                <w:p>
                  <w:pPr>
                    <w:spacing w:line="240" w:lineRule="auto"/>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积极进行生物多样性保护工作，水土流失综合防治，积极推进退耕还林;增加植被覆度，增强水源涵养功能。加强滦河上游自然保护区的保护与管理，强力恢复植被、不断扩大种群，防治病虫害。</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sz w:val="24"/>
              </w:rPr>
            </w:pPr>
            <w:r>
              <w:rPr>
                <w:rFonts w:hint="eastAsia" w:ascii="Times New Roman" w:hAnsi="Times New Roman" w:eastAsia="宋体"/>
                <w:sz w:val="24"/>
              </w:rPr>
              <w:t>本项目</w:t>
            </w:r>
            <w:r>
              <w:rPr>
                <w:rFonts w:hint="eastAsia" w:ascii="Times New Roman" w:hAnsi="Times New Roman" w:eastAsia="宋体"/>
                <w:sz w:val="24"/>
                <w:lang w:eastAsia="zh-CN"/>
              </w:rPr>
              <w:t>为木兰皇家农业综合示范区蒸汽供给项目</w:t>
            </w:r>
            <w:r>
              <w:rPr>
                <w:rFonts w:hint="eastAsia" w:ascii="Times New Roman" w:hAnsi="Times New Roman" w:eastAsia="宋体"/>
                <w:sz w:val="24"/>
              </w:rPr>
              <w:t>，</w:t>
            </w:r>
            <w:r>
              <w:rPr>
                <w:rFonts w:hint="eastAsia" w:ascii="Times New Roman" w:hAnsi="Times New Roman" w:eastAsia="宋体"/>
                <w:sz w:val="24"/>
                <w:lang w:eastAsia="zh-CN"/>
              </w:rPr>
              <w:t>项目</w:t>
            </w:r>
            <w:r>
              <w:rPr>
                <w:rFonts w:hint="eastAsia" w:ascii="Times New Roman" w:hAnsi="Times New Roman" w:eastAsia="宋体"/>
                <w:sz w:val="24"/>
              </w:rPr>
              <w:t>在</w:t>
            </w:r>
            <w:r>
              <w:rPr>
                <w:rFonts w:hint="eastAsia" w:ascii="Times New Roman" w:hAnsi="Times New Roman" w:eastAsia="宋体"/>
                <w:sz w:val="24"/>
                <w:lang w:eastAsia="zh-CN"/>
              </w:rPr>
              <w:t>承德富龙现代农业发展有限公司内部</w:t>
            </w:r>
            <w:r>
              <w:rPr>
                <w:rFonts w:hint="eastAsia" w:ascii="Times New Roman" w:hAnsi="Times New Roman" w:eastAsia="宋体"/>
                <w:sz w:val="24"/>
              </w:rPr>
              <w:t>建设，不新增用地。因此，</w:t>
            </w:r>
            <w:r>
              <w:rPr>
                <w:rFonts w:hint="eastAsia" w:ascii="Times New Roman" w:hAnsi="Times New Roman" w:eastAsia="宋体"/>
                <w:sz w:val="24"/>
                <w:lang w:val="en-US" w:eastAsia="zh-CN"/>
              </w:rPr>
              <w:t>本项目建设符合承德市总体规划中生态功能区划相关功能分区的相关要求</w:t>
            </w:r>
            <w:r>
              <w:rPr>
                <w:rFonts w:hint="eastAsia" w:ascii="Times New Roman" w:hAnsi="Times New Roman" w:eastAsia="宋体"/>
                <w:sz w:val="24"/>
              </w:rPr>
              <w:t>。</w:t>
            </w:r>
          </w:p>
          <w:p>
            <w:pPr>
              <w:adjustRightInd w:val="0"/>
              <w:snapToGrid w:val="0"/>
              <w:spacing w:line="360" w:lineRule="auto"/>
              <w:ind w:firstLine="482" w:firstLineChars="200"/>
              <w:rPr>
                <w:rFonts w:hint="eastAsia" w:ascii="Times New Roman" w:hAnsi="Times New Roman" w:eastAsia="宋体" w:cs="Times New Roman"/>
                <w:b/>
                <w:bCs/>
                <w:kern w:val="0"/>
                <w:sz w:val="24"/>
                <w:lang w:val="en-US" w:eastAsia="zh-CN"/>
              </w:rPr>
            </w:pPr>
            <w:r>
              <w:rPr>
                <w:rFonts w:hint="eastAsia" w:ascii="Times New Roman" w:hAnsi="Times New Roman" w:eastAsia="宋体" w:cs="Times New Roman"/>
                <w:b/>
                <w:bCs/>
                <w:kern w:val="0"/>
                <w:sz w:val="24"/>
                <w:lang w:val="en-US" w:eastAsia="zh-CN"/>
              </w:rPr>
              <w:t>3、产业政策符合性分析</w:t>
            </w:r>
          </w:p>
          <w:p>
            <w:pPr>
              <w:adjustRightInd w:val="0"/>
              <w:snapToGrid w:val="0"/>
              <w:spacing w:line="360" w:lineRule="auto"/>
              <w:ind w:firstLine="480" w:firstLineChars="200"/>
              <w:rPr>
                <w:rFonts w:hint="eastAsia" w:ascii="Times New Roman" w:hAnsi="Times New Roman" w:eastAsia="宋体"/>
                <w:sz w:val="24"/>
                <w:lang w:val="en-US" w:eastAsia="zh-CN"/>
              </w:rPr>
            </w:pPr>
            <w:r>
              <w:rPr>
                <w:rFonts w:hint="eastAsia" w:ascii="Times New Roman" w:hAnsi="Times New Roman" w:eastAsia="宋体"/>
                <w:sz w:val="24"/>
                <w:lang w:val="en-US" w:eastAsia="zh-CN"/>
              </w:rPr>
              <w:t>本项目为《国民经济行业分类》（GB/T4754-2017）中D4430热力生产和供应，经查阅《产业结构调整指导目录(2019年本)》，本项目不属于限制类、淘汰类，运营过程中不使用国家明令禁止淘汰类和限制类工艺和设备，且未列入《市场准入负面清单（2022版）》，符合国家产业政策。</w:t>
            </w:r>
          </w:p>
          <w:p>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承德市2022年大气污染综合治理工作实施方案》，全市范围内禁止新建35蒸吨/小时及以下燃煤锅炉，新上用煤项目执行减（等）量替代，新建35蒸吨/小时及以上燃煤锅炉必须符合设区市政府的集中供暖规划或者工业园区建设规划，建设符合节能和环保要求的治理措施，污染物排放达到《锅炉大气污染物排放标准》（DB13/5151-2020）要求。</w:t>
            </w:r>
          </w:p>
          <w:p>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项目主要新增一台40t/h循环流化床燃煤锅炉及配套设备为园区企业供汽，符合园区建设规划，</w:t>
            </w:r>
            <w:r>
              <w:rPr>
                <w:rFonts w:hint="eastAsia" w:ascii="Times New Roman" w:hAnsi="Times New Roman" w:eastAsia="宋体" w:cs="Times New Roman"/>
                <w:b w:val="0"/>
                <w:bCs/>
                <w:color w:val="auto"/>
                <w:sz w:val="24"/>
                <w:szCs w:val="24"/>
                <w:highlight w:val="none"/>
                <w:lang w:eastAsia="zh-CN"/>
              </w:rPr>
              <w:t>用煤量</w:t>
            </w:r>
            <w:r>
              <w:rPr>
                <w:rFonts w:hint="eastAsia" w:ascii="Times New Roman" w:hAnsi="Times New Roman" w:eastAsia="宋体" w:cs="Times New Roman"/>
                <w:b w:val="0"/>
                <w:bCs/>
                <w:color w:val="auto"/>
                <w:sz w:val="24"/>
                <w:szCs w:val="24"/>
                <w:highlight w:val="none"/>
                <w:lang w:val="en-US" w:eastAsia="zh-CN"/>
              </w:rPr>
              <w:t>已经取得了承德市发展和改革委员会《关于木兰皇家农业综合示范区用煤项目新增用煤指标的划拨意见》。40t/h循环流化床燃煤锅炉废气经布袋除尘器+脱硫塔+PNCR高分子炉内脱硝后经1根45m高排气筒（DA001）排放，</w:t>
            </w:r>
            <w:r>
              <w:rPr>
                <w:rFonts w:hint="eastAsia" w:ascii="Times New Roman" w:hAnsi="Times New Roman" w:cs="Times New Roman"/>
                <w:color w:val="auto"/>
                <w:sz w:val="24"/>
                <w:szCs w:val="24"/>
                <w:lang w:val="en-US" w:eastAsia="zh-CN"/>
              </w:rPr>
              <w:t>污染物排放达到《锅炉大气污染物排放标准》（DB13/5151-2020）相关要求。</w:t>
            </w:r>
            <w:r>
              <w:rPr>
                <w:rFonts w:hint="eastAsia" w:ascii="Times New Roman" w:hAnsi="Times New Roman" w:eastAsia="宋体" w:cs="Times New Roman"/>
                <w:b w:val="0"/>
                <w:bCs/>
                <w:color w:val="auto"/>
                <w:sz w:val="24"/>
                <w:szCs w:val="24"/>
                <w:highlight w:val="none"/>
                <w:lang w:val="en-US" w:eastAsia="zh-CN"/>
              </w:rPr>
              <w:t>项目建设符合</w:t>
            </w:r>
            <w:r>
              <w:rPr>
                <w:rFonts w:hint="eastAsia" w:ascii="Times New Roman" w:hAnsi="Times New Roman" w:cs="Times New Roman"/>
                <w:color w:val="auto"/>
                <w:sz w:val="24"/>
                <w:szCs w:val="24"/>
                <w:lang w:val="en-US" w:eastAsia="zh-CN"/>
              </w:rPr>
              <w:t>《承德市2022年大气污染综合治理工作实施方案》的相关要求。</w:t>
            </w:r>
          </w:p>
          <w:p>
            <w:pPr>
              <w:adjustRightInd w:val="0"/>
              <w:snapToGrid w:val="0"/>
              <w:spacing w:line="360" w:lineRule="auto"/>
              <w:ind w:firstLine="480" w:firstLineChars="200"/>
              <w:rPr>
                <w:rFonts w:hint="default" w:ascii="Times New Roman" w:hAnsi="Times New Roman" w:eastAsia="宋体"/>
                <w:sz w:val="24"/>
                <w:lang w:val="en-US" w:eastAsia="zh-CN"/>
              </w:rPr>
            </w:pPr>
            <w:r>
              <w:rPr>
                <w:rFonts w:hint="eastAsia" w:ascii="Times New Roman" w:hAnsi="Times New Roman" w:eastAsia="宋体"/>
                <w:sz w:val="24"/>
                <w:lang w:val="en-US" w:eastAsia="zh-CN"/>
              </w:rPr>
              <w:t>承德富龙现代农业发展有限公司于2021年取得围场满族蒙古族自治县行政审批局关于《木兰皇家农业综合示范区蒸汽供给项目》备案（围审批备字[2021]14号）。项目建设符合国家和地方产业政策。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color w:val="auto"/>
                <w:sz w:val="24"/>
                <w:szCs w:val="24"/>
                <w:highlight w:val="none"/>
                <w:lang w:eastAsia="zh-CN"/>
              </w:rPr>
            </w:pPr>
            <w:r>
              <w:rPr>
                <w:rFonts w:hint="eastAsia" w:ascii="Times New Roman" w:hAnsi="Times New Roman" w:eastAsia="宋体"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highlight w:val="none"/>
              </w:rPr>
              <w:t>《河北省生态环境保护“十</w:t>
            </w:r>
            <w:r>
              <w:rPr>
                <w:rFonts w:hint="default" w:ascii="Times New Roman" w:hAnsi="Times New Roman" w:eastAsia="宋体" w:cs="Times New Roman"/>
                <w:b/>
                <w:bCs w:val="0"/>
                <w:color w:val="auto"/>
                <w:sz w:val="24"/>
                <w:szCs w:val="24"/>
                <w:highlight w:val="none"/>
                <w:lang w:eastAsia="zh-CN"/>
              </w:rPr>
              <w:t>四</w:t>
            </w:r>
            <w:r>
              <w:rPr>
                <w:rFonts w:hint="default" w:ascii="Times New Roman" w:hAnsi="Times New Roman" w:eastAsia="宋体" w:cs="Times New Roman"/>
                <w:b/>
                <w:bCs w:val="0"/>
                <w:color w:val="auto"/>
                <w:sz w:val="24"/>
                <w:szCs w:val="24"/>
                <w:highlight w:val="none"/>
              </w:rPr>
              <w:t>五”规划》</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冀政字〔2022〕2号</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color w:val="auto"/>
                <w:sz w:val="28"/>
                <w:szCs w:val="28"/>
                <w:highlight w:val="none"/>
              </w:rPr>
              <w:t xml:space="preserve"> </w:t>
            </w:r>
            <w:r>
              <w:rPr>
                <w:rFonts w:hint="default" w:ascii="Times New Roman" w:hAnsi="Times New Roman" w:eastAsia="宋体" w:cs="Times New Roman"/>
                <w:b/>
                <w:bCs w:val="0"/>
                <w:color w:val="auto"/>
                <w:sz w:val="24"/>
                <w:szCs w:val="24"/>
                <w:highlight w:val="none"/>
                <w:lang w:eastAsia="zh-CN"/>
              </w:rPr>
              <w:t>符合性</w:t>
            </w:r>
            <w:r>
              <w:rPr>
                <w:rFonts w:hint="eastAsia" w:ascii="Times New Roman" w:hAnsi="Times New Roman" w:eastAsia="宋体" w:cs="Times New Roman"/>
                <w:b/>
                <w:bCs w:val="0"/>
                <w:color w:val="auto"/>
                <w:sz w:val="24"/>
                <w:szCs w:val="24"/>
                <w:highlight w:val="none"/>
                <w:lang w:eastAsia="zh-CN"/>
              </w:rPr>
              <w:t>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《河北省生态环境保护“十四五”规划》指出</w:t>
            </w:r>
            <w:r>
              <w:rPr>
                <w:rFonts w:hint="eastAsia" w:ascii="Times New Roman" w:hAnsi="Times New Roman" w:eastAsia="宋体" w:cs="Times New Roman"/>
                <w:b w:val="0"/>
                <w:bCs/>
                <w:color w:val="auto"/>
                <w:sz w:val="24"/>
                <w:szCs w:val="24"/>
                <w:highlight w:val="none"/>
                <w:lang w:eastAsia="zh-CN"/>
              </w:rPr>
              <w:t>：控制煤炭消费总量。全面实施煤炭消费总量控制，建设项目严格执行煤炭减量替代。严格控制燃煤发电装机规模，严禁新建自备燃煤机组，推动自备燃煤机组实施清洁能源替代，鼓励自备电厂转为公用电厂。加强农村散煤复燃管控，强化散煤治理监督体系建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实施终端用能清洁化替代。建设产业集群集中供汽供热或清洁低碳能源中心，推动锅炉和工业炉窑使用清洁低碳能源或利用工厂余热、电厂热力。有序推进清洁取暖，实施农村清洁取暖农户动态管理，规范“新增”和“退出”农户标准、程序，建立健全维修服务体系，基本完成种养殖业及农副产品加工业燃煤设施清洁能源替代。加强煤炭等化石能源清洁高效利用，提升煤矿洗选技术水平，煤矿原煤入选率保持在90%以上。</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eastAsia="宋体"/>
                <w:lang w:eastAsia="zh-CN"/>
              </w:rPr>
            </w:pPr>
            <w:r>
              <w:rPr>
                <w:rFonts w:hint="eastAsia" w:ascii="Times New Roman" w:hAnsi="Times New Roman" w:eastAsia="宋体" w:cs="Times New Roman"/>
                <w:b w:val="0"/>
                <w:bCs/>
                <w:color w:val="auto"/>
                <w:sz w:val="24"/>
                <w:szCs w:val="24"/>
                <w:highlight w:val="none"/>
                <w:lang w:eastAsia="zh-CN"/>
              </w:rPr>
              <w:t>本项目属于木兰皇家农业综合示范区蒸汽供给项目，用煤量</w:t>
            </w:r>
            <w:r>
              <w:rPr>
                <w:rFonts w:hint="eastAsia" w:ascii="Times New Roman" w:hAnsi="Times New Roman" w:eastAsia="宋体" w:cs="Times New Roman"/>
                <w:b w:val="0"/>
                <w:bCs/>
                <w:color w:val="auto"/>
                <w:sz w:val="24"/>
                <w:szCs w:val="24"/>
                <w:highlight w:val="none"/>
                <w:lang w:val="en-US" w:eastAsia="zh-CN"/>
              </w:rPr>
              <w:t>已经取得了承德市发展和改革委员会《关于木兰皇家农业综合示范区用煤项目新增用煤指标的划拨意见》，</w:t>
            </w:r>
            <w:r>
              <w:rPr>
                <w:rFonts w:hint="default" w:ascii="Times New Roman" w:hAnsi="Times New Roman" w:eastAsia="宋体" w:cs="Times New Roman"/>
                <w:color w:val="auto"/>
                <w:sz w:val="24"/>
                <w:szCs w:val="24"/>
                <w:highlight w:val="none"/>
                <w:lang w:eastAsia="zh-CN"/>
              </w:rPr>
              <w:t>项目建设</w:t>
            </w:r>
            <w:r>
              <w:rPr>
                <w:rFonts w:hint="default" w:ascii="Times New Roman" w:hAnsi="Times New Roman" w:eastAsia="宋体" w:cs="Times New Roman"/>
                <w:color w:val="auto"/>
                <w:sz w:val="24"/>
                <w:szCs w:val="24"/>
                <w:highlight w:val="none"/>
              </w:rPr>
              <w:t>符合《河北省生态环境保护“十</w:t>
            </w:r>
            <w:r>
              <w:rPr>
                <w:rFonts w:hint="default" w:ascii="Times New Roman" w:hAnsi="Times New Roman" w:eastAsia="宋体" w:cs="Times New Roman"/>
                <w:color w:val="auto"/>
                <w:sz w:val="24"/>
                <w:szCs w:val="24"/>
                <w:highlight w:val="none"/>
                <w:lang w:eastAsia="zh-CN"/>
              </w:rPr>
              <w:t>四</w:t>
            </w:r>
            <w:r>
              <w:rPr>
                <w:rFonts w:hint="default" w:ascii="Times New Roman" w:hAnsi="Times New Roman" w:eastAsia="宋体" w:cs="Times New Roman"/>
                <w:color w:val="auto"/>
                <w:sz w:val="24"/>
                <w:szCs w:val="24"/>
                <w:highlight w:val="none"/>
              </w:rPr>
              <w:t>五”规划》中的相关要求</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val="0"/>
                <w:color w:val="auto"/>
                <w:sz w:val="24"/>
                <w:szCs w:val="24"/>
                <w:highlight w:val="none"/>
                <w:lang w:eastAsia="zh-CN"/>
              </w:rPr>
            </w:pPr>
            <w:r>
              <w:rPr>
                <w:rFonts w:hint="eastAsia" w:ascii="Times New Roman" w:hAnsi="Times New Roman" w:eastAsia="宋体" w:cs="Times New Roman"/>
                <w:b/>
                <w:bCs w:val="0"/>
                <w:color w:val="auto"/>
                <w:sz w:val="24"/>
                <w:szCs w:val="24"/>
                <w:highlight w:val="none"/>
                <w:lang w:val="en-US" w:eastAsia="zh-CN"/>
              </w:rPr>
              <w:t xml:space="preserve">《承德市生态环境保护“十四五”规划》（承市政字〔2022〕16号） </w:t>
            </w:r>
            <w:r>
              <w:rPr>
                <w:rFonts w:hint="default" w:ascii="Times New Roman" w:hAnsi="Times New Roman" w:eastAsia="宋体" w:cs="Times New Roman"/>
                <w:b/>
                <w:bCs w:val="0"/>
                <w:color w:val="auto"/>
                <w:sz w:val="24"/>
                <w:szCs w:val="24"/>
                <w:highlight w:val="none"/>
                <w:lang w:eastAsia="zh-CN"/>
              </w:rPr>
              <w:t>符合性</w:t>
            </w:r>
            <w:r>
              <w:rPr>
                <w:rFonts w:hint="eastAsia" w:ascii="Times New Roman" w:hAnsi="Times New Roman" w:eastAsia="宋体" w:cs="Times New Roman"/>
                <w:b/>
                <w:bCs w:val="0"/>
                <w:color w:val="auto"/>
                <w:sz w:val="24"/>
                <w:szCs w:val="24"/>
                <w:highlight w:val="none"/>
                <w:lang w:eastAsia="zh-CN"/>
              </w:rPr>
              <w:t>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《承德市生态环境保护“十四五”规划》指出：</w:t>
            </w:r>
            <w:r>
              <w:rPr>
                <w:rFonts w:hint="default" w:ascii="Times New Roman" w:hAnsi="Times New Roman" w:eastAsia="宋体" w:cs="Times New Roman"/>
                <w:b w:val="0"/>
                <w:bCs/>
                <w:color w:val="auto"/>
                <w:sz w:val="24"/>
                <w:szCs w:val="24"/>
                <w:highlight w:val="none"/>
                <w:lang w:val="en-US" w:eastAsia="zh-CN"/>
              </w:rPr>
              <w:t>控制煤炭消费总量。加强煤炭等化石能源清洁高效利用，建设项目严格执行煤炭减量替代，全面实施煤炭消费总量控制。严格控制燃煤发电装机规模，严禁新建自备燃煤机组，推动自备燃煤机组实施清洁能源替代，鼓励自备电厂转为公用电厂。加强农村散煤复燃管控，强化散煤治理监督体系建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实施终端用能清洁化替代。建设产业集群集中供汽供热或清洁低碳能源中心，推动锅炉和工业炉窑使用清洁低碳能源或利用工厂余热、电厂热力。有序推进清洁取暖，到2025年，除不具备改造条件的偏远山区和坝上地区外，其他农村地区实现清洁取暖全覆盖，基本完成种养殖业及农副产品加工业燃煤设施清洁能源替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kern w:val="0"/>
                <w:szCs w:val="21"/>
              </w:rPr>
            </w:pPr>
            <w:r>
              <w:rPr>
                <w:rFonts w:hint="eastAsia" w:ascii="Times New Roman" w:hAnsi="Times New Roman" w:eastAsia="宋体" w:cs="Times New Roman"/>
                <w:b w:val="0"/>
                <w:bCs/>
                <w:color w:val="auto"/>
                <w:sz w:val="24"/>
                <w:szCs w:val="24"/>
                <w:highlight w:val="none"/>
                <w:lang w:eastAsia="zh-CN"/>
              </w:rPr>
              <w:t>本项目属于木兰皇家农业综合示范区蒸汽供给项目，用煤量</w:t>
            </w:r>
            <w:r>
              <w:rPr>
                <w:rFonts w:hint="eastAsia" w:ascii="Times New Roman" w:hAnsi="Times New Roman" w:eastAsia="宋体" w:cs="Times New Roman"/>
                <w:b w:val="0"/>
                <w:bCs/>
                <w:color w:val="auto"/>
                <w:sz w:val="24"/>
                <w:szCs w:val="24"/>
                <w:highlight w:val="none"/>
                <w:lang w:val="en-US" w:eastAsia="zh-CN"/>
              </w:rPr>
              <w:t>已经取得了承德市发展和改革委员会《关于木兰皇家农业综合示范区用煤项目新增用煤指标的划拨意见》，</w:t>
            </w:r>
            <w:r>
              <w:rPr>
                <w:rFonts w:hint="default" w:ascii="Times New Roman" w:hAnsi="Times New Roman" w:eastAsia="宋体" w:cs="Times New Roman"/>
                <w:color w:val="auto"/>
                <w:sz w:val="24"/>
                <w:szCs w:val="24"/>
                <w:highlight w:val="none"/>
                <w:lang w:eastAsia="zh-CN"/>
              </w:rPr>
              <w:t>项目建设</w:t>
            </w:r>
            <w:r>
              <w:rPr>
                <w:rFonts w:hint="default" w:ascii="Times New Roman" w:hAnsi="Times New Roman" w:eastAsia="宋体" w:cs="Times New Roman"/>
                <w:color w:val="auto"/>
                <w:sz w:val="24"/>
                <w:szCs w:val="24"/>
                <w:highlight w:val="none"/>
              </w:rPr>
              <w:t>符合</w:t>
            </w:r>
            <w:r>
              <w:rPr>
                <w:rFonts w:hint="default" w:ascii="Times New Roman" w:hAnsi="Times New Roman" w:eastAsia="宋体" w:cs="Times New Roman"/>
                <w:color w:val="auto"/>
                <w:sz w:val="24"/>
                <w:szCs w:val="24"/>
                <w:highlight w:val="none"/>
                <w:lang w:val="en-US" w:eastAsia="zh-CN"/>
              </w:rPr>
              <w:t>《承德市生态环境保护“十四五”规划》</w:t>
            </w:r>
            <w:r>
              <w:rPr>
                <w:rFonts w:hint="default" w:ascii="Times New Roman" w:hAnsi="Times New Roman" w:eastAsia="宋体" w:cs="Times New Roman"/>
                <w:color w:val="auto"/>
                <w:sz w:val="24"/>
                <w:szCs w:val="24"/>
                <w:highlight w:val="none"/>
              </w:rPr>
              <w:t>中的相关要求</w:t>
            </w:r>
            <w:r>
              <w:rPr>
                <w:rFonts w:hint="eastAsia" w:ascii="Times New Roman" w:hAnsi="Times New Roman" w:eastAsia="宋体" w:cs="Times New Roman"/>
                <w:color w:val="auto"/>
                <w:sz w:val="24"/>
                <w:szCs w:val="24"/>
                <w:highlight w:val="none"/>
                <w:lang w:eastAsia="zh-CN"/>
              </w:rPr>
              <w:t>。</w:t>
            </w:r>
          </w:p>
        </w:tc>
      </w:tr>
    </w:tbl>
    <w:p>
      <w:pPr>
        <w:spacing w:line="360" w:lineRule="auto"/>
        <w:rPr>
          <w:rFonts w:ascii="Times New Roman" w:hAnsi="Times New Roman" w:eastAsia="黑体" w:cs="Times New Roman"/>
          <w:sz w:val="30"/>
          <w:lang w:bidi="ar"/>
        </w:rPr>
        <w:sectPr>
          <w:footerReference r:id="rId3" w:type="default"/>
          <w:pgSz w:w="11906" w:h="16838"/>
          <w:pgMar w:top="1702" w:right="1531" w:bottom="1702" w:left="1531" w:header="851" w:footer="1077" w:gutter="0"/>
          <w:pgNumType w:start="1"/>
          <w:cols w:space="425" w:num="1"/>
          <w:docGrid w:type="lines" w:linePitch="312" w:charSpace="0"/>
        </w:sectPr>
      </w:pPr>
    </w:p>
    <w:p>
      <w:pPr>
        <w:pStyle w:val="19"/>
        <w:spacing w:beforeAutospacing="0" w:afterAutospacing="0" w:line="360" w:lineRule="auto"/>
        <w:jc w:val="center"/>
        <w:outlineLvl w:val="0"/>
        <w:rPr>
          <w:rFonts w:hint="default" w:ascii="黑体" w:eastAsia="黑体" w:cs="黑体"/>
          <w:snapToGrid w:val="0"/>
          <w:sz w:val="30"/>
          <w:szCs w:val="30"/>
        </w:rPr>
      </w:pPr>
      <w:r>
        <w:rPr>
          <w:rFonts w:ascii="黑体" w:eastAsia="黑体" w:cs="黑体"/>
          <w:snapToGrid w:val="0"/>
          <w:sz w:val="30"/>
          <w:szCs w:val="30"/>
        </w:rPr>
        <w:t>二、建设项目工程分析</w:t>
      </w:r>
    </w:p>
    <w:tbl>
      <w:tblPr>
        <w:tblStyle w:val="24"/>
        <w:tblW w:w="93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56" w:type="dxa"/>
            <w:tcBorders>
              <w:top w:val="single" w:color="auto" w:sz="8" w:space="0"/>
              <w:left w:val="single" w:color="auto" w:sz="8" w:space="0"/>
              <w:bottom w:val="single" w:color="auto" w:sz="4" w:space="0"/>
              <w:right w:val="single" w:color="auto" w:sz="4" w:space="0"/>
            </w:tcBorders>
            <w:shd w:val="clear" w:color="auto" w:fill="auto"/>
            <w:vAlign w:val="center"/>
          </w:tcPr>
          <w:p>
            <w:pPr>
              <w:pStyle w:val="19"/>
              <w:adjustRightInd w:val="0"/>
              <w:snapToGrid w:val="0"/>
              <w:spacing w:beforeAutospacing="0" w:afterAutospacing="0"/>
              <w:jc w:val="center"/>
              <w:rPr>
                <w:rFonts w:hint="default" w:ascii="Times New Roman" w:hAnsi="Times New Roman"/>
                <w:sz w:val="21"/>
                <w:szCs w:val="21"/>
              </w:rPr>
            </w:pPr>
            <w:r>
              <w:rPr>
                <w:rFonts w:hint="default" w:ascii="Times New Roman" w:hAnsi="Times New Roman"/>
                <w:sz w:val="21"/>
                <w:szCs w:val="21"/>
              </w:rPr>
              <w:t>建设内容</w:t>
            </w:r>
          </w:p>
        </w:tc>
        <w:tc>
          <w:tcPr>
            <w:tcW w:w="8894" w:type="dxa"/>
            <w:tcBorders>
              <w:top w:val="single" w:color="auto" w:sz="8" w:space="0"/>
              <w:left w:val="single" w:color="auto" w:sz="4" w:space="0"/>
              <w:bottom w:val="single" w:color="auto" w:sz="4" w:space="0"/>
              <w:right w:val="single" w:color="auto" w:sz="8" w:space="0"/>
            </w:tcBorders>
            <w:shd w:val="clear" w:color="auto" w:fill="auto"/>
          </w:tcPr>
          <w:p>
            <w:pPr>
              <w:autoSpaceDE w:val="0"/>
              <w:autoSpaceDN w:val="0"/>
              <w:adjustRightInd w:val="0"/>
              <w:snapToGrid w:val="0"/>
              <w:spacing w:line="360" w:lineRule="auto"/>
              <w:ind w:firstLine="482" w:firstLineChars="200"/>
              <w:jc w:val="left"/>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1</w:t>
            </w:r>
            <w:r>
              <w:rPr>
                <w:rFonts w:ascii="Times New Roman" w:hAnsi="Times New Roman" w:eastAsia="宋体" w:cs="Times New Roman"/>
                <w:b/>
                <w:bCs/>
                <w:kern w:val="0"/>
                <w:sz w:val="24"/>
              </w:rPr>
              <w:t>、工程内容</w:t>
            </w:r>
          </w:p>
          <w:p>
            <w:pPr>
              <w:pStyle w:val="45"/>
              <w:snapToGrid w:val="0"/>
              <w:ind w:firstLine="480"/>
              <w:rPr>
                <w:rFonts w:ascii="Times New Roman" w:hAnsi="Times New Roman" w:cs="Times New Roman"/>
                <w:sz w:val="24"/>
                <w:szCs w:val="24"/>
              </w:rPr>
            </w:pPr>
            <w:r>
              <w:rPr>
                <w:rFonts w:hint="eastAsia" w:ascii="Times New Roman" w:hAnsi="Times New Roman" w:cs="Times New Roman"/>
                <w:sz w:val="24"/>
                <w:szCs w:val="24"/>
                <w:lang w:val="en-US" w:eastAsia="zh-CN"/>
              </w:rPr>
              <w:t>本项目为木兰皇家农业综合示范区蒸汽供给项目，承德富龙现代农业发展有限公司作为示范区集中供热站，为示范区内用汽企业提供蒸汽。项目主要新增一台40t/h循环流化床燃煤锅炉及配套设备为园区企业供汽，改造1台20t/h生物质锅炉，作为应急备用锅炉，同时对原有的锅炉房进行改造，将原有的生物质库改造成煤棚，改造原有渣库，新建破碎楼、灰仓及配套设施等。项目建成后，前期主要为园区内承德富龙现代农业发展有限公司和围场满族蒙古族自治县保承中药材种植有限公司提供蒸汽，后期如有其他用汽企业入驻需另行环评。</w:t>
            </w:r>
            <w:r>
              <w:rPr>
                <w:rFonts w:hint="eastAsia" w:ascii="Times New Roman" w:hAnsi="Times New Roman" w:cs="Times New Roman"/>
                <w:sz w:val="24"/>
                <w:szCs w:val="24"/>
              </w:rPr>
              <w:t>本项目主要建设内容详见下表：</w:t>
            </w:r>
          </w:p>
          <w:p>
            <w:pPr>
              <w:pStyle w:val="45"/>
              <w:snapToGrid w:val="0"/>
              <w:jc w:val="center"/>
              <w:rPr>
                <w:rFonts w:ascii="Times New Roman" w:hAnsi="Times New Roman" w:cs="Times New Roman"/>
                <w:b/>
                <w:bCs/>
                <w:sz w:val="21"/>
                <w:szCs w:val="21"/>
              </w:rPr>
            </w:pPr>
            <w:r>
              <w:rPr>
                <w:rFonts w:ascii="Times New Roman" w:hAnsi="Times New Roman" w:cs="Times New Roman"/>
                <w:b/>
                <w:bCs/>
                <w:sz w:val="21"/>
                <w:szCs w:val="21"/>
              </w:rPr>
              <w:t>表</w:t>
            </w:r>
            <w:r>
              <w:rPr>
                <w:rFonts w:hint="eastAsia" w:ascii="Times New Roman" w:hAnsi="Times New Roman" w:cs="Times New Roman"/>
                <w:b/>
                <w:bCs/>
                <w:sz w:val="21"/>
                <w:szCs w:val="21"/>
              </w:rPr>
              <w:t>2-1</w:t>
            </w:r>
            <w:r>
              <w:rPr>
                <w:rFonts w:ascii="Times New Roman" w:hAnsi="Times New Roman" w:cs="Times New Roman"/>
                <w:b/>
                <w:bCs/>
                <w:sz w:val="21"/>
                <w:szCs w:val="21"/>
              </w:rPr>
              <w:t xml:space="preserve">  主要建设内容一览表</w:t>
            </w:r>
          </w:p>
          <w:tbl>
            <w:tblPr>
              <w:tblStyle w:val="24"/>
              <w:tblW w:w="4983"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9"/>
              <w:gridCol w:w="885"/>
              <w:gridCol w:w="6021"/>
              <w:gridCol w:w="9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b/>
                      <w:szCs w:val="21"/>
                    </w:rPr>
                  </w:pPr>
                  <w:r>
                    <w:rPr>
                      <w:rFonts w:ascii="Times New Roman" w:hAnsi="Times New Roman" w:cs="Times New Roman"/>
                      <w:b/>
                      <w:szCs w:val="21"/>
                    </w:rPr>
                    <w:t>工程类型</w:t>
                  </w:r>
                </w:p>
              </w:tc>
              <w:tc>
                <w:tcPr>
                  <w:tcW w:w="512" w:type="pc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b/>
                      <w:szCs w:val="21"/>
                    </w:rPr>
                  </w:pPr>
                  <w:r>
                    <w:rPr>
                      <w:rFonts w:ascii="Times New Roman" w:hAnsi="Times New Roman" w:cs="Times New Roman"/>
                      <w:b/>
                      <w:szCs w:val="21"/>
                    </w:rPr>
                    <w:t>名称</w:t>
                  </w:r>
                </w:p>
              </w:tc>
              <w:tc>
                <w:tcPr>
                  <w:tcW w:w="3487" w:type="pct"/>
                  <w:shd w:val="clear" w:color="auto" w:fill="auto"/>
                  <w:tcMar>
                    <w:top w:w="0" w:type="dxa"/>
                    <w:left w:w="108" w:type="dxa"/>
                    <w:bottom w:w="0" w:type="dxa"/>
                    <w:right w:w="108" w:type="dxa"/>
                  </w:tcMar>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建设内容及规模</w:t>
                  </w:r>
                </w:p>
              </w:tc>
              <w:tc>
                <w:tcPr>
                  <w:tcW w:w="537" w:type="pct"/>
                  <w:shd w:val="clear" w:color="auto" w:fill="auto"/>
                  <w:tcMar>
                    <w:top w:w="0" w:type="dxa"/>
                    <w:left w:w="108" w:type="dxa"/>
                    <w:bottom w:w="0" w:type="dxa"/>
                    <w:right w:w="108" w:type="dxa"/>
                  </w:tcMar>
                  <w:vAlign w:val="center"/>
                </w:tcPr>
                <w:p>
                  <w:pPr>
                    <w:spacing w:line="280" w:lineRule="exact"/>
                    <w:jc w:val="center"/>
                    <w:rPr>
                      <w:rFonts w:hint="eastAsia" w:ascii="Times New Roman" w:hAnsi="Times New Roman" w:cs="Times New Roman" w:eastAsiaTheme="minorEastAsia"/>
                      <w:b/>
                      <w:szCs w:val="21"/>
                      <w:lang w:eastAsia="zh-CN"/>
                    </w:rPr>
                  </w:pPr>
                  <w:r>
                    <w:rPr>
                      <w:rFonts w:hint="eastAsia" w:ascii="Times New Roman" w:hAnsi="Times New Roman" w:cs="Times New Roman"/>
                      <w:b/>
                      <w:szCs w:val="21"/>
                      <w:lang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restar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主体工程</w:t>
                  </w:r>
                </w:p>
              </w:tc>
              <w:tc>
                <w:tcPr>
                  <w:tcW w:w="512" w:type="pct"/>
                  <w:shd w:val="clear" w:color="auto" w:fill="auto"/>
                  <w:tcMar>
                    <w:top w:w="0" w:type="dxa"/>
                    <w:left w:w="108" w:type="dxa"/>
                    <w:bottom w:w="0" w:type="dxa"/>
                    <w:right w:w="108" w:type="dxa"/>
                  </w:tcMar>
                  <w:vAlign w:val="center"/>
                </w:tcPr>
                <w:p>
                  <w:pPr>
                    <w:pStyle w:val="53"/>
                    <w:ind w:firstLine="0" w:firstLineChars="0"/>
                    <w:rPr>
                      <w:rFonts w:ascii="Times New Roman" w:hAnsi="Times New Roman" w:cs="Times New Roman"/>
                      <w:szCs w:val="21"/>
                    </w:rPr>
                  </w:pPr>
                  <w:r>
                    <w:rPr>
                      <w:rFonts w:hint="default" w:ascii="Times New Roman" w:hAnsi="Times New Roman" w:eastAsia="宋体" w:cs="Times New Roman"/>
                      <w:sz w:val="21"/>
                      <w:szCs w:val="21"/>
                      <w:lang w:val="en-US" w:eastAsia="zh-CN"/>
                    </w:rPr>
                    <w:t>锅炉房</w:t>
                  </w:r>
                </w:p>
              </w:tc>
              <w:tc>
                <w:tcPr>
                  <w:tcW w:w="3487" w:type="pct"/>
                  <w:shd w:val="clear" w:color="auto" w:fill="auto"/>
                  <w:tcMar>
                    <w:top w:w="0" w:type="dxa"/>
                    <w:left w:w="108" w:type="dxa"/>
                    <w:bottom w:w="0" w:type="dxa"/>
                    <w:right w:w="108" w:type="dxa"/>
                  </w:tcMar>
                  <w:vAlign w:val="center"/>
                </w:tcPr>
                <w:p>
                  <w:pPr>
                    <w:pStyle w:val="53"/>
                    <w:ind w:firstLine="0" w:firstLineChars="0"/>
                    <w:rPr>
                      <w:rFonts w:ascii="Times New Roman" w:hAnsi="Times New Roman" w:cs="Times New Roman"/>
                      <w:szCs w:val="21"/>
                      <w:u w:val="none"/>
                    </w:rPr>
                  </w:pPr>
                  <w:r>
                    <w:rPr>
                      <w:rFonts w:hint="default" w:ascii="Times New Roman" w:hAnsi="Times New Roman" w:eastAsia="宋体" w:cs="Times New Roman"/>
                      <w:color w:val="auto"/>
                      <w:sz w:val="21"/>
                      <w:szCs w:val="21"/>
                      <w:u w:val="none"/>
                      <w:lang w:val="en-US" w:eastAsia="zh-CN"/>
                    </w:rPr>
                    <w:t>1座，占地面积为</w:t>
                  </w:r>
                  <w:r>
                    <w:rPr>
                      <w:rFonts w:hint="eastAsia" w:eastAsia="宋体" w:cs="Times New Roman"/>
                      <w:color w:val="auto"/>
                      <w:sz w:val="21"/>
                      <w:szCs w:val="21"/>
                      <w:u w:val="none"/>
                      <w:lang w:val="en-US" w:eastAsia="zh-CN"/>
                    </w:rPr>
                    <w:t>1000</w:t>
                  </w:r>
                  <w:r>
                    <w:rPr>
                      <w:rFonts w:hint="eastAsia" w:ascii="Times New Roman" w:hAnsi="Times New Roman" w:eastAsia="宋体" w:cs="Times New Roman"/>
                      <w:color w:val="auto"/>
                      <w:sz w:val="21"/>
                      <w:szCs w:val="21"/>
                      <w:u w:val="none"/>
                      <w:lang w:val="en-US" w:eastAsia="zh-CN"/>
                    </w:rPr>
                    <w:t xml:space="preserve"> </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，位于厂区东南侧</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537" w:type="pct"/>
                  <w:shd w:val="clear" w:color="auto" w:fill="auto"/>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改造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pStyle w:val="53"/>
                    <w:ind w:firstLine="0" w:firstLineChars="0"/>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破碎楼</w:t>
                  </w:r>
                </w:p>
              </w:tc>
              <w:tc>
                <w:tcPr>
                  <w:tcW w:w="3487" w:type="pct"/>
                  <w:shd w:val="clear" w:color="auto" w:fill="auto"/>
                  <w:tcMar>
                    <w:top w:w="0" w:type="dxa"/>
                    <w:left w:w="108" w:type="dxa"/>
                    <w:bottom w:w="0" w:type="dxa"/>
                    <w:right w:w="108" w:type="dxa"/>
                  </w:tcMar>
                  <w:vAlign w:val="center"/>
                </w:tcPr>
                <w:p>
                  <w:pPr>
                    <w:pStyle w:val="53"/>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座</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，占地面积为</w:t>
                  </w:r>
                  <w:r>
                    <w:rPr>
                      <w:rFonts w:hint="eastAsia" w:eastAsia="宋体" w:cs="Times New Roman"/>
                      <w:color w:val="000000" w:themeColor="text1"/>
                      <w:sz w:val="21"/>
                      <w:szCs w:val="21"/>
                      <w:u w:val="none"/>
                      <w:lang w:val="en-US" w:eastAsia="zh-CN"/>
                      <w14:textFill>
                        <w14:solidFill>
                          <w14:schemeClr w14:val="tx1"/>
                        </w14:solidFill>
                      </w14:textFill>
                    </w:rPr>
                    <w:t>43</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，用于</w:t>
                  </w:r>
                  <w:r>
                    <w:rPr>
                      <w:rFonts w:hint="eastAsia" w:eastAsia="宋体" w:cs="Times New Roman"/>
                      <w:color w:val="000000" w:themeColor="text1"/>
                      <w:sz w:val="21"/>
                      <w:szCs w:val="21"/>
                      <w:u w:val="none"/>
                      <w:lang w:val="en-US" w:eastAsia="zh-CN"/>
                      <w14:textFill>
                        <w14:solidFill>
                          <w14:schemeClr w14:val="tx1"/>
                        </w14:solidFill>
                      </w14:textFill>
                    </w:rPr>
                    <w:t>标煤破碎</w:t>
                  </w:r>
                </w:p>
              </w:tc>
              <w:tc>
                <w:tcPr>
                  <w:tcW w:w="537" w:type="pct"/>
                  <w:shd w:val="clear" w:color="auto" w:fill="auto"/>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新建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restart"/>
                  <w:shd w:val="clear" w:color="auto" w:fill="auto"/>
                  <w:tcMar>
                    <w:top w:w="0" w:type="dxa"/>
                    <w:left w:w="108" w:type="dxa"/>
                    <w:bottom w:w="0" w:type="dxa"/>
                    <w:right w:w="108" w:type="dxa"/>
                  </w:tcMar>
                  <w:vAlign w:val="center"/>
                </w:tcPr>
                <w:p>
                  <w:pPr>
                    <w:spacing w:line="0" w:lineRule="atLeast"/>
                    <w:jc w:val="center"/>
                    <w:rPr>
                      <w:rFonts w:ascii="Times New Roman" w:hAnsi="Times New Roman" w:eastAsia="宋体" w:cs="Times New Roman"/>
                      <w:szCs w:val="21"/>
                    </w:rPr>
                  </w:pPr>
                  <w:r>
                    <w:rPr>
                      <w:rFonts w:hint="eastAsia" w:ascii="Times New Roman" w:hAnsi="Times New Roman" w:cs="Times New Roman"/>
                      <w:szCs w:val="21"/>
                      <w:lang w:eastAsia="zh-CN"/>
                    </w:rPr>
                    <w:t>储存</w:t>
                  </w:r>
                  <w:r>
                    <w:rPr>
                      <w:rFonts w:ascii="Times New Roman" w:hAnsi="Times New Roman" w:cs="Times New Roman"/>
                      <w:szCs w:val="21"/>
                    </w:rPr>
                    <w:t>工程</w:t>
                  </w:r>
                </w:p>
              </w:tc>
              <w:tc>
                <w:tcPr>
                  <w:tcW w:w="512" w:type="pct"/>
                  <w:shd w:val="clear" w:color="auto" w:fill="auto"/>
                  <w:tcMar>
                    <w:top w:w="0" w:type="dxa"/>
                    <w:left w:w="108" w:type="dxa"/>
                    <w:bottom w:w="0" w:type="dxa"/>
                    <w:right w:w="108" w:type="dxa"/>
                  </w:tcMar>
                  <w:vAlign w:val="center"/>
                </w:tcPr>
                <w:p>
                  <w:pPr>
                    <w:pStyle w:val="53"/>
                    <w:ind w:firstLine="0" w:firstLineChars="0"/>
                    <w:rPr>
                      <w:rFonts w:hint="eastAsia" w:ascii="Times New Roman" w:hAnsi="Times New Roman" w:eastAsia="宋体" w:cs="Times New Roman"/>
                      <w:szCs w:val="21"/>
                      <w:lang w:eastAsia="zh-CN"/>
                    </w:rPr>
                  </w:pPr>
                  <w:r>
                    <w:rPr>
                      <w:rFonts w:hint="default" w:ascii="Times New Roman" w:hAnsi="Times New Roman" w:eastAsia="宋体" w:cs="Times New Roman"/>
                      <w:sz w:val="21"/>
                      <w:szCs w:val="21"/>
                    </w:rPr>
                    <w:t>煤</w:t>
                  </w:r>
                  <w:r>
                    <w:rPr>
                      <w:rFonts w:hint="eastAsia" w:ascii="Times New Roman" w:hAnsi="Times New Roman" w:eastAsia="宋体" w:cs="Times New Roman"/>
                      <w:sz w:val="21"/>
                      <w:szCs w:val="21"/>
                      <w:lang w:eastAsia="zh-CN"/>
                    </w:rPr>
                    <w:t>棚</w:t>
                  </w:r>
                </w:p>
              </w:tc>
              <w:tc>
                <w:tcPr>
                  <w:tcW w:w="3487" w:type="pct"/>
                  <w:shd w:val="clear" w:color="auto" w:fill="auto"/>
                  <w:tcMar>
                    <w:top w:w="0" w:type="dxa"/>
                    <w:left w:w="108" w:type="dxa"/>
                    <w:bottom w:w="0" w:type="dxa"/>
                    <w:right w:w="108" w:type="dxa"/>
                  </w:tcMar>
                  <w:vAlign w:val="center"/>
                </w:tcPr>
                <w:p>
                  <w:pPr>
                    <w:pStyle w:val="53"/>
                    <w:ind w:firstLine="0" w:firstLineChars="0"/>
                    <w:rPr>
                      <w:rFonts w:ascii="Times New Roman" w:hAnsi="Times New Roman" w:cs="Times New Roman"/>
                      <w:szCs w:val="21"/>
                      <w:u w:val="none"/>
                    </w:rPr>
                  </w:pPr>
                  <w:r>
                    <w:rPr>
                      <w:rFonts w:hint="default" w:ascii="Times New Roman" w:hAnsi="Times New Roman" w:eastAsia="宋体"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座</w:t>
                  </w:r>
                  <w:r>
                    <w:rPr>
                      <w:rFonts w:hint="default" w:ascii="Times New Roman" w:hAnsi="Times New Roman" w:eastAsia="宋体" w:cs="Times New Roman"/>
                      <w:color w:val="auto"/>
                      <w:sz w:val="21"/>
                      <w:szCs w:val="21"/>
                      <w:u w:val="none"/>
                      <w:lang w:val="en-US" w:eastAsia="zh-CN"/>
                    </w:rPr>
                    <w:t>，占地面积为</w:t>
                  </w:r>
                  <w:r>
                    <w:rPr>
                      <w:rFonts w:hint="eastAsia" w:eastAsia="宋体" w:cs="Times New Roman"/>
                      <w:color w:val="auto"/>
                      <w:sz w:val="21"/>
                      <w:szCs w:val="21"/>
                      <w:u w:val="none"/>
                      <w:lang w:val="en-US" w:eastAsia="zh-CN"/>
                    </w:rPr>
                    <w:t>2000</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，位于锅炉房西侧，用于煤储存。</w:t>
                  </w:r>
                </w:p>
              </w:tc>
              <w:tc>
                <w:tcPr>
                  <w:tcW w:w="537" w:type="pct"/>
                  <w:shd w:val="clear" w:color="auto" w:fill="auto"/>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改造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p>
              </w:tc>
              <w:tc>
                <w:tcPr>
                  <w:tcW w:w="512" w:type="pct"/>
                  <w:tcBorders>
                    <w:bottom w:val="single" w:color="auto" w:sz="4" w:space="0"/>
                  </w:tcBorders>
                  <w:shd w:val="clear" w:color="auto" w:fill="auto"/>
                  <w:tcMar>
                    <w:top w:w="0" w:type="dxa"/>
                    <w:left w:w="108" w:type="dxa"/>
                    <w:bottom w:w="0" w:type="dxa"/>
                    <w:right w:w="108" w:type="dxa"/>
                  </w:tcMar>
                  <w:vAlign w:val="center"/>
                </w:tcPr>
                <w:p>
                  <w:pPr>
                    <w:pStyle w:val="53"/>
                    <w:ind w:firstLine="0" w:firstLineChars="0"/>
                    <w:rPr>
                      <w:rFonts w:hint="eastAsia" w:ascii="Times New Roman" w:hAnsi="Times New Roman" w:cs="Times New Roman"/>
                      <w:kern w:val="44"/>
                      <w:szCs w:val="21"/>
                    </w:rPr>
                  </w:pPr>
                  <w:r>
                    <w:rPr>
                      <w:rFonts w:hint="default" w:ascii="Times New Roman" w:hAnsi="Times New Roman" w:eastAsia="宋体" w:cs="Times New Roman"/>
                      <w:sz w:val="21"/>
                      <w:szCs w:val="21"/>
                      <w:lang w:val="en-US" w:eastAsia="zh-CN"/>
                    </w:rPr>
                    <w:t>渣库</w:t>
                  </w:r>
                </w:p>
              </w:tc>
              <w:tc>
                <w:tcPr>
                  <w:tcW w:w="3487" w:type="pct"/>
                  <w:tcBorders>
                    <w:bottom w:val="single" w:color="auto" w:sz="4" w:space="0"/>
                  </w:tcBorders>
                  <w:shd w:val="clear" w:color="auto" w:fill="auto"/>
                  <w:tcMar>
                    <w:top w:w="0" w:type="dxa"/>
                    <w:left w:w="108" w:type="dxa"/>
                    <w:bottom w:w="0" w:type="dxa"/>
                    <w:right w:w="108" w:type="dxa"/>
                  </w:tcMar>
                  <w:vAlign w:val="center"/>
                </w:tcPr>
                <w:p>
                  <w:pPr>
                    <w:pStyle w:val="53"/>
                    <w:ind w:firstLine="0" w:firstLineChars="0"/>
                    <w:rPr>
                      <w:rFonts w:hint="eastAsia" w:ascii="Times New Roman" w:hAnsi="Times New Roman" w:cs="Times New Roman"/>
                      <w:szCs w:val="21"/>
                      <w:u w:val="none"/>
                    </w:rPr>
                  </w:pPr>
                  <w:r>
                    <w:rPr>
                      <w:rFonts w:hint="default" w:ascii="Times New Roman" w:hAnsi="Times New Roman" w:eastAsia="宋体"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座</w:t>
                  </w:r>
                  <w:r>
                    <w:rPr>
                      <w:rFonts w:hint="default" w:ascii="Times New Roman" w:hAnsi="Times New Roman" w:eastAsia="宋体" w:cs="Times New Roman"/>
                      <w:color w:val="auto"/>
                      <w:sz w:val="21"/>
                      <w:szCs w:val="21"/>
                      <w:u w:val="none"/>
                      <w:lang w:val="en-US" w:eastAsia="zh-CN"/>
                    </w:rPr>
                    <w:t>，占地面积为</w:t>
                  </w:r>
                  <w:r>
                    <w:rPr>
                      <w:rFonts w:hint="eastAsia" w:eastAsia="宋体" w:cs="Times New Roman"/>
                      <w:color w:val="auto"/>
                      <w:sz w:val="21"/>
                      <w:szCs w:val="21"/>
                      <w:u w:val="none"/>
                      <w:lang w:val="en-US" w:eastAsia="zh-CN"/>
                    </w:rPr>
                    <w:t>42</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，用于</w:t>
                  </w:r>
                  <w:r>
                    <w:rPr>
                      <w:rFonts w:hint="eastAsia" w:eastAsia="宋体" w:cs="Times New Roman"/>
                      <w:color w:val="auto"/>
                      <w:sz w:val="21"/>
                      <w:szCs w:val="21"/>
                      <w:u w:val="none"/>
                      <w:lang w:val="en-US" w:eastAsia="zh-CN"/>
                    </w:rPr>
                    <w:t>炉</w:t>
                  </w:r>
                  <w:r>
                    <w:rPr>
                      <w:rFonts w:hint="default" w:ascii="Times New Roman" w:hAnsi="Times New Roman" w:eastAsia="宋体" w:cs="Times New Roman"/>
                      <w:color w:val="auto"/>
                      <w:sz w:val="21"/>
                      <w:szCs w:val="21"/>
                      <w:u w:val="none"/>
                      <w:lang w:val="en-US" w:eastAsia="zh-CN"/>
                    </w:rPr>
                    <w:t>渣储存</w:t>
                  </w:r>
                </w:p>
              </w:tc>
              <w:tc>
                <w:tcPr>
                  <w:tcW w:w="537" w:type="pct"/>
                  <w:shd w:val="clear" w:color="auto" w:fill="auto"/>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lang w:eastAsia="zh-CN"/>
                    </w:rPr>
                  </w:pPr>
                  <w:r>
                    <w:rPr>
                      <w:rFonts w:hint="eastAsia" w:ascii="宋体" w:hAnsi="宋体" w:eastAsia="宋体" w:cs="宋体"/>
                      <w:szCs w:val="21"/>
                      <w:lang w:eastAsia="zh-CN"/>
                    </w:rPr>
                    <w:t>改造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p>
              </w:tc>
              <w:tc>
                <w:tcPr>
                  <w:tcW w:w="512" w:type="pct"/>
                  <w:tcBorders>
                    <w:top w:val="single" w:color="auto" w:sz="4" w:space="0"/>
                  </w:tcBorders>
                  <w:shd w:val="clear" w:color="auto" w:fill="auto"/>
                  <w:tcMar>
                    <w:top w:w="0" w:type="dxa"/>
                    <w:left w:w="108" w:type="dxa"/>
                    <w:bottom w:w="0" w:type="dxa"/>
                    <w:right w:w="108" w:type="dxa"/>
                  </w:tcMar>
                  <w:vAlign w:val="center"/>
                </w:tcPr>
                <w:p>
                  <w:pPr>
                    <w:pStyle w:val="53"/>
                    <w:ind w:firstLine="0" w:firstLineChars="0"/>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灰仓</w:t>
                  </w:r>
                </w:p>
              </w:tc>
              <w:tc>
                <w:tcPr>
                  <w:tcW w:w="3487" w:type="pct"/>
                  <w:tcBorders>
                    <w:top w:val="single" w:color="auto" w:sz="4" w:space="0"/>
                  </w:tcBorders>
                  <w:shd w:val="clear" w:color="auto" w:fill="auto"/>
                  <w:tcMar>
                    <w:top w:w="0" w:type="dxa"/>
                    <w:left w:w="108" w:type="dxa"/>
                    <w:bottom w:w="0" w:type="dxa"/>
                    <w:right w:w="108" w:type="dxa"/>
                  </w:tcMar>
                  <w:vAlign w:val="center"/>
                </w:tcPr>
                <w:p>
                  <w:pPr>
                    <w:pStyle w:val="53"/>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座</w:t>
                  </w:r>
                  <w:r>
                    <w:rPr>
                      <w:rFonts w:hint="default" w:ascii="Times New Roman" w:hAnsi="Times New Roman" w:eastAsia="宋体" w:cs="Times New Roman"/>
                      <w:color w:val="auto"/>
                      <w:sz w:val="21"/>
                      <w:szCs w:val="21"/>
                      <w:u w:val="none"/>
                      <w:lang w:val="en-US" w:eastAsia="zh-CN"/>
                    </w:rPr>
                    <w:t>，占地面积为</w:t>
                  </w:r>
                  <w:r>
                    <w:rPr>
                      <w:rFonts w:hint="eastAsia" w:eastAsia="宋体" w:cs="Times New Roman"/>
                      <w:color w:val="auto"/>
                      <w:sz w:val="21"/>
                      <w:szCs w:val="21"/>
                      <w:u w:val="none"/>
                      <w:lang w:val="en-US" w:eastAsia="zh-CN"/>
                    </w:rPr>
                    <w:t>48</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，用于</w:t>
                  </w:r>
                  <w:r>
                    <w:rPr>
                      <w:rFonts w:hint="eastAsia" w:eastAsia="宋体" w:cs="Times New Roman"/>
                      <w:color w:val="auto"/>
                      <w:sz w:val="21"/>
                      <w:szCs w:val="21"/>
                      <w:u w:val="none"/>
                      <w:lang w:val="en-US" w:eastAsia="zh-CN"/>
                    </w:rPr>
                    <w:t>炉灰</w:t>
                  </w:r>
                  <w:r>
                    <w:rPr>
                      <w:rFonts w:hint="default" w:ascii="Times New Roman" w:hAnsi="Times New Roman" w:eastAsia="宋体" w:cs="Times New Roman"/>
                      <w:color w:val="auto"/>
                      <w:sz w:val="21"/>
                      <w:szCs w:val="21"/>
                      <w:u w:val="none"/>
                      <w:lang w:val="en-US" w:eastAsia="zh-CN"/>
                    </w:rPr>
                    <w:t>储存</w:t>
                  </w:r>
                </w:p>
              </w:tc>
              <w:tc>
                <w:tcPr>
                  <w:tcW w:w="537" w:type="pct"/>
                  <w:shd w:val="clear" w:color="auto" w:fill="auto"/>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rPr>
                  </w:pPr>
                  <w:r>
                    <w:rPr>
                      <w:rFonts w:hint="eastAsia" w:ascii="宋体" w:hAnsi="宋体" w:eastAsia="宋体" w:cs="宋体"/>
                      <w:szCs w:val="21"/>
                      <w:lang w:eastAsia="zh-CN"/>
                    </w:rPr>
                    <w:t>新建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restar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公用工程</w:t>
                  </w:r>
                </w:p>
              </w:tc>
              <w:tc>
                <w:tcPr>
                  <w:tcW w:w="512" w:type="pct"/>
                  <w:shd w:val="clear" w:color="auto" w:fill="auto"/>
                  <w:tcMar>
                    <w:top w:w="0" w:type="dxa"/>
                    <w:left w:w="108" w:type="dxa"/>
                    <w:bottom w:w="0" w:type="dxa"/>
                    <w:right w:w="108" w:type="dxa"/>
                  </w:tcMar>
                  <w:vAlign w:val="center"/>
                </w:tcPr>
                <w:p>
                  <w:pPr>
                    <w:pStyle w:val="53"/>
                    <w:ind w:firstLine="0" w:firstLineChars="0"/>
                    <w:rPr>
                      <w:rFonts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给水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工程</w:t>
                  </w:r>
                </w:p>
              </w:tc>
              <w:tc>
                <w:tcPr>
                  <w:tcW w:w="3487"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b w:val="0"/>
                      <w:bCs/>
                      <w:color w:val="000000" w:themeColor="text1"/>
                      <w:kern w:val="44"/>
                      <w:sz w:val="21"/>
                      <w:szCs w:val="21"/>
                      <w:vertAlign w:val="baseline"/>
                      <w:lang w:val="en-US" w:eastAsia="zh-CN"/>
                      <w14:textFill>
                        <w14:solidFill>
                          <w14:schemeClr w14:val="tx1"/>
                        </w14:solidFill>
                      </w14:textFill>
                    </w:rPr>
                    <w:t>依托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现有水井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供水</w:t>
                  </w:r>
                </w:p>
              </w:tc>
              <w:tc>
                <w:tcPr>
                  <w:tcW w:w="53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cs="Times New Roman"/>
                      <w:szCs w:val="21"/>
                    </w:rPr>
                  </w:pPr>
                  <w:r>
                    <w:rPr>
                      <w:rFonts w:hint="eastAsia" w:ascii="Times New Roman" w:hAnsi="Times New Roman" w:cs="Times New Roman"/>
                      <w:szCs w:val="21"/>
                      <w:lang w:val="en-US" w:eastAsia="zh-CN"/>
                    </w:rPr>
                    <w:t>依托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pStyle w:val="53"/>
                    <w:ind w:firstLine="0" w:firstLineChars="0"/>
                    <w:rPr>
                      <w:rFonts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排水工程</w:t>
                  </w:r>
                </w:p>
              </w:tc>
              <w:tc>
                <w:tcPr>
                  <w:tcW w:w="348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本项目不新增员工，无新增生活污水；反渗透纯水制备废水作为脱硫系统用水，锅炉定期排水用于厂区洒水降尘。</w:t>
                  </w:r>
                </w:p>
              </w:tc>
              <w:tc>
                <w:tcPr>
                  <w:tcW w:w="53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cs="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pStyle w:val="53"/>
                    <w:ind w:firstLine="0" w:firstLineChars="0"/>
                    <w:rPr>
                      <w:rFonts w:ascii="Times New Roman" w:hAnsi="Times New Roman" w:cs="Times New Roman"/>
                      <w:szCs w:val="21"/>
                    </w:rPr>
                  </w:pPr>
                  <w:r>
                    <w:rPr>
                      <w:rFonts w:hint="default" w:ascii="Times New Roman" w:hAnsi="Times New Roman" w:eastAsia="宋体" w:cs="Times New Roman"/>
                      <w:sz w:val="21"/>
                      <w:szCs w:val="21"/>
                    </w:rPr>
                    <w:t>供电</w:t>
                  </w:r>
                  <w:r>
                    <w:rPr>
                      <w:rFonts w:hint="default" w:ascii="Times New Roman" w:hAnsi="Times New Roman" w:eastAsia="宋体" w:cs="Times New Roman"/>
                      <w:sz w:val="21"/>
                      <w:szCs w:val="21"/>
                      <w:lang w:val="en-US" w:eastAsia="zh-CN"/>
                    </w:rPr>
                    <w:t>工程</w:t>
                  </w:r>
                </w:p>
              </w:tc>
              <w:tc>
                <w:tcPr>
                  <w:tcW w:w="3487" w:type="pct"/>
                  <w:shd w:val="clear" w:color="auto" w:fill="auto"/>
                  <w:tcMar>
                    <w:top w:w="0" w:type="dxa"/>
                    <w:left w:w="108" w:type="dxa"/>
                    <w:bottom w:w="0" w:type="dxa"/>
                    <w:right w:w="108" w:type="dxa"/>
                  </w:tcMar>
                  <w:vAlign w:val="center"/>
                </w:tcPr>
                <w:p>
                  <w:pPr>
                    <w:pStyle w:val="53"/>
                    <w:tabs>
                      <w:tab w:val="left" w:pos="498"/>
                      <w:tab w:val="center" w:pos="3342"/>
                    </w:tabs>
                    <w:ind w:firstLine="0" w:firstLineChars="0"/>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由当地乡镇供电网供电</w:t>
                  </w:r>
                </w:p>
              </w:tc>
              <w:tc>
                <w:tcPr>
                  <w:tcW w:w="537" w:type="pc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pStyle w:val="53"/>
                    <w:ind w:firstLine="0" w:firstLineChars="0"/>
                    <w:rPr>
                      <w:rFonts w:hint="eastAsia" w:ascii="Times New Roman" w:hAnsi="Times New Roman" w:eastAsia="宋体" w:cs="Times New Roman"/>
                      <w:sz w:val="21"/>
                      <w:szCs w:val="21"/>
                      <w:lang w:eastAsia="zh-CN"/>
                    </w:rPr>
                  </w:pPr>
                  <w:r>
                    <w:rPr>
                      <w:rFonts w:hint="eastAsia" w:eastAsia="宋体" w:cs="Times New Roman"/>
                      <w:sz w:val="21"/>
                      <w:szCs w:val="21"/>
                      <w:lang w:eastAsia="zh-CN"/>
                    </w:rPr>
                    <w:t>供热工程</w:t>
                  </w:r>
                </w:p>
              </w:tc>
              <w:tc>
                <w:tcPr>
                  <w:tcW w:w="3487" w:type="pct"/>
                  <w:shd w:val="clear" w:color="auto" w:fill="auto"/>
                  <w:tcMar>
                    <w:top w:w="0" w:type="dxa"/>
                    <w:left w:w="108" w:type="dxa"/>
                    <w:bottom w:w="0" w:type="dxa"/>
                    <w:right w:w="108" w:type="dxa"/>
                  </w:tcMar>
                  <w:vAlign w:val="center"/>
                </w:tcPr>
                <w:p>
                  <w:pPr>
                    <w:pStyle w:val="53"/>
                    <w:tabs>
                      <w:tab w:val="left" w:pos="498"/>
                      <w:tab w:val="center" w:pos="3342"/>
                    </w:tabs>
                    <w:ind w:firstLine="0" w:firstLineChars="0"/>
                    <w:jc w:val="center"/>
                    <w:rPr>
                      <w:rFonts w:hint="default" w:ascii="Times New Roman" w:hAnsi="Times New Roman" w:cs="Times New Roman"/>
                      <w:szCs w:val="21"/>
                      <w:lang w:val="en-US" w:eastAsia="zh-CN"/>
                    </w:rPr>
                  </w:pPr>
                  <w:r>
                    <w:rPr>
                      <w:rFonts w:hint="eastAsia" w:cs="Times New Roman"/>
                      <w:szCs w:val="21"/>
                      <w:lang w:val="en-US" w:eastAsia="zh-CN"/>
                    </w:rPr>
                    <w:t>由厂区内一台40t/h循环流化床燃煤锅炉进行供热</w:t>
                  </w:r>
                </w:p>
              </w:tc>
              <w:tc>
                <w:tcPr>
                  <w:tcW w:w="537" w:type="pc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62" w:type="pct"/>
                  <w:vMerge w:val="restar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环保工程</w:t>
                  </w:r>
                </w:p>
              </w:tc>
              <w:tc>
                <w:tcPr>
                  <w:tcW w:w="512"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r>
                    <w:rPr>
                      <w:rFonts w:hint="eastAsia"/>
                    </w:rPr>
                    <w:t>废气治理工程</w:t>
                  </w:r>
                </w:p>
              </w:tc>
              <w:tc>
                <w:tcPr>
                  <w:tcW w:w="3487" w:type="pct"/>
                  <w:shd w:val="clear" w:color="auto" w:fill="auto"/>
                  <w:tcMar>
                    <w:top w:w="0" w:type="dxa"/>
                    <w:left w:w="108" w:type="dxa"/>
                    <w:bottom w:w="0" w:type="dxa"/>
                    <w:right w:w="108" w:type="dxa"/>
                  </w:tcMar>
                  <w:vAlign w:val="center"/>
                </w:tcPr>
                <w:p>
                  <w:pPr>
                    <w:snapToGrid w:val="0"/>
                    <w:jc w:val="center"/>
                    <w:rPr>
                      <w:rFonts w:ascii="Times New Roman" w:hAnsi="Times New Roman" w:cs="Times New Roman"/>
                      <w:szCs w:val="21"/>
                    </w:rPr>
                  </w:pPr>
                  <w:r>
                    <w:rPr>
                      <w:rFonts w:hint="eastAsia" w:ascii="Times New Roman" w:hAnsi="Times New Roman" w:cs="Times New Roman"/>
                      <w:color w:val="000000" w:themeColor="text1"/>
                      <w:szCs w:val="21"/>
                      <w:lang w:val="en-US" w:eastAsia="zh-CN"/>
                      <w14:textFill>
                        <w14:solidFill>
                          <w14:schemeClr w14:val="tx1"/>
                        </w14:solidFill>
                      </w14:textFill>
                    </w:rPr>
                    <w:t>40t/h循环流化床燃煤锅炉废气经布袋除尘器+脱硫塔+PNCR高分子炉内脱硝后经1根45m高排气筒（DA001）排放；锅炉制煤系统上料、破碎废气经集气装置收集后经1套脉冲布袋除尘器处理，处理后的废气经1根15m高排气筒（DA002）排放；20t/h生物质锅炉废气经布袋除尘+低氮燃烧技术后经1根45m高排气筒（DA001）排放；锅炉除尘灰由灰仓仓顶自带低压脉冲袋式除尘器处理，处理后的废气经1根15m高排气筒（DA004）排放；破碎楼、煤棚、渣库车间封闭，定期洒水降尘</w:t>
                  </w:r>
                </w:p>
              </w:tc>
              <w:tc>
                <w:tcPr>
                  <w:tcW w:w="537" w:type="pct"/>
                  <w:shd w:val="clear" w:color="auto" w:fill="auto"/>
                  <w:tcMar>
                    <w:top w:w="0" w:type="dxa"/>
                    <w:left w:w="108" w:type="dxa"/>
                    <w:bottom w:w="0" w:type="dxa"/>
                    <w:right w:w="108" w:type="dxa"/>
                  </w:tcMar>
                  <w:vAlign w:val="center"/>
                </w:tcPr>
                <w:p>
                  <w:pPr>
                    <w:snapToGrid w:val="0"/>
                    <w:jc w:val="center"/>
                    <w:rPr>
                      <w:rFonts w:hint="default" w:ascii="Times New Roman" w:hAnsi="Times New Roman" w:cs="Times New Roman" w:eastAsiaTheme="minorEastAsia"/>
                      <w:szCs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color w:val="auto"/>
                      <w:szCs w:val="21"/>
                    </w:rPr>
                  </w:pPr>
                  <w:r>
                    <w:rPr>
                      <w:rFonts w:ascii="Times New Roman" w:hAnsi="Times New Roman" w:cs="Times New Roman"/>
                      <w:color w:val="auto"/>
                      <w:szCs w:val="21"/>
                    </w:rPr>
                    <w:t>废水</w:t>
                  </w:r>
                  <w:r>
                    <w:rPr>
                      <w:rFonts w:hint="eastAsia"/>
                      <w:color w:val="auto"/>
                    </w:rPr>
                    <w:t>治理工程</w:t>
                  </w:r>
                </w:p>
              </w:tc>
              <w:tc>
                <w:tcPr>
                  <w:tcW w:w="3487"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本项目不新增员工，无新增生活污水；反渗透纯水制备废水作为脱硫系统用水，锅炉定期排水用于厂区洒水降尘。</w:t>
                  </w:r>
                </w:p>
              </w:tc>
              <w:tc>
                <w:tcPr>
                  <w:tcW w:w="53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cs="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r>
                    <w:rPr>
                      <w:rFonts w:ascii="Times New Roman" w:hAnsi="Times New Roman" w:cs="Times New Roman"/>
                      <w:szCs w:val="21"/>
                    </w:rPr>
                    <w:t>噪声</w:t>
                  </w:r>
                  <w:r>
                    <w:rPr>
                      <w:rFonts w:hint="eastAsia"/>
                    </w:rPr>
                    <w:t>治理工程</w:t>
                  </w:r>
                </w:p>
              </w:tc>
              <w:tc>
                <w:tcPr>
                  <w:tcW w:w="3487"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r>
                    <w:rPr>
                      <w:rFonts w:hint="default" w:ascii="Times New Roman" w:hAnsi="Times New Roman" w:cs="Times New Roman"/>
                      <w:szCs w:val="21"/>
                      <w:lang w:val="en-US" w:eastAsia="zh-CN"/>
                    </w:rPr>
                    <w:t>本项目</w:t>
                  </w:r>
                  <w:r>
                    <w:rPr>
                      <w:rFonts w:hint="eastAsia" w:ascii="Times New Roman" w:hAnsi="Times New Roman" w:cs="Times New Roman"/>
                      <w:szCs w:val="21"/>
                      <w:lang w:val="en-US" w:eastAsia="zh-CN"/>
                    </w:rPr>
                    <w:t>设备</w:t>
                  </w:r>
                  <w:r>
                    <w:rPr>
                      <w:rFonts w:hint="default" w:ascii="Times New Roman" w:hAnsi="Times New Roman" w:cs="Times New Roman"/>
                      <w:szCs w:val="21"/>
                      <w:lang w:val="en-US" w:eastAsia="zh-CN"/>
                    </w:rPr>
                    <w:t>选用低产噪设备</w:t>
                  </w:r>
                  <w:r>
                    <w:rPr>
                      <w:rFonts w:hint="eastAsia" w:ascii="Times New Roman" w:hAnsi="Times New Roman" w:cs="Times New Roman"/>
                      <w:szCs w:val="21"/>
                      <w:lang w:val="en-US" w:eastAsia="zh-CN"/>
                    </w:rPr>
                    <w:t>，并且位于</w:t>
                  </w:r>
                  <w:r>
                    <w:rPr>
                      <w:rFonts w:hint="default" w:ascii="Times New Roman" w:hAnsi="Times New Roman" w:cs="Times New Roman"/>
                      <w:szCs w:val="21"/>
                      <w:lang w:val="en-US" w:eastAsia="zh-CN"/>
                    </w:rPr>
                    <w:t>封闭</w:t>
                  </w:r>
                  <w:r>
                    <w:rPr>
                      <w:rFonts w:hint="eastAsia" w:ascii="Times New Roman" w:hAnsi="Times New Roman" w:cs="Times New Roman"/>
                      <w:szCs w:val="21"/>
                      <w:lang w:val="en-US" w:eastAsia="zh-CN"/>
                    </w:rPr>
                    <w:t>的车间内</w:t>
                  </w:r>
                  <w:r>
                    <w:rPr>
                      <w:rFonts w:hint="default" w:ascii="Times New Roman" w:hAnsi="Times New Roman" w:cs="Times New Roman"/>
                      <w:szCs w:val="21"/>
                      <w:lang w:val="en-US" w:eastAsia="zh-CN"/>
                    </w:rPr>
                    <w:t>、设备基础减振、合理布局等措施；车辆减速慢行，禁止鸣笛</w:t>
                  </w:r>
                  <w:r>
                    <w:rPr>
                      <w:rFonts w:hint="eastAsia" w:ascii="Times New Roman" w:hAnsi="Times New Roman" w:cs="Times New Roman"/>
                      <w:szCs w:val="21"/>
                      <w:lang w:val="en-US" w:eastAsia="zh-CN"/>
                    </w:rPr>
                    <w:t>。</w:t>
                  </w:r>
                </w:p>
              </w:tc>
              <w:tc>
                <w:tcPr>
                  <w:tcW w:w="53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cs="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r>
                    <w:rPr>
                      <w:rFonts w:hint="eastAsia" w:ascii="Times New Roman" w:hAnsi="Times New Roman" w:cs="Times New Roman"/>
                      <w:szCs w:val="21"/>
                    </w:rPr>
                    <w:t>固废</w:t>
                  </w:r>
                  <w:r>
                    <w:rPr>
                      <w:rFonts w:hint="eastAsia"/>
                    </w:rPr>
                    <w:t>治理工程</w:t>
                  </w:r>
                </w:p>
              </w:tc>
              <w:tc>
                <w:tcPr>
                  <w:tcW w:w="3487"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r>
                    <w:rPr>
                      <w:rFonts w:hint="default" w:ascii="Times New Roman" w:hAnsi="Times New Roman" w:cs="Times New Roman"/>
                      <w:szCs w:val="21"/>
                      <w:lang w:val="en-US" w:eastAsia="zh-CN"/>
                    </w:rPr>
                    <w:t>锅炉</w:t>
                  </w:r>
                  <w:r>
                    <w:rPr>
                      <w:rFonts w:hint="default" w:ascii="Times New Roman" w:hAnsi="Times New Roman" w:cs="Times New Roman"/>
                      <w:szCs w:val="21"/>
                    </w:rPr>
                    <w:t>炉渣</w:t>
                  </w:r>
                  <w:r>
                    <w:rPr>
                      <w:rFonts w:hint="eastAsia" w:ascii="Times New Roman" w:hAnsi="Times New Roman" w:cs="Times New Roman"/>
                      <w:szCs w:val="21"/>
                      <w:lang w:eastAsia="zh-CN"/>
                    </w:rPr>
                    <w:t>以及</w:t>
                  </w:r>
                  <w:r>
                    <w:rPr>
                      <w:rFonts w:hint="default" w:ascii="Times New Roman" w:hAnsi="Times New Roman" w:cs="Times New Roman"/>
                      <w:szCs w:val="21"/>
                      <w:lang w:val="en-US" w:eastAsia="zh-CN"/>
                    </w:rPr>
                    <w:t>除尘灰集中收集后</w:t>
                  </w:r>
                  <w:r>
                    <w:rPr>
                      <w:rFonts w:hint="eastAsia" w:ascii="Times New Roman" w:hAnsi="Times New Roman" w:cs="Times New Roman"/>
                      <w:szCs w:val="21"/>
                      <w:lang w:val="en-US" w:eastAsia="zh-CN"/>
                    </w:rPr>
                    <w:t>外售</w:t>
                  </w:r>
                  <w:r>
                    <w:rPr>
                      <w:rFonts w:hint="default" w:ascii="Times New Roman" w:hAnsi="Times New Roman" w:cs="Times New Roman"/>
                      <w:color w:val="000000" w:themeColor="text1"/>
                      <w:szCs w:val="21"/>
                      <w:lang w:val="en-US" w:eastAsia="zh-CN"/>
                      <w14:textFill>
                        <w14:solidFill>
                          <w14:schemeClr w14:val="tx1"/>
                        </w14:solidFill>
                      </w14:textFill>
                    </w:rPr>
                    <w:t>；脱硫过程会产生池底固形物MgSO</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4</w:t>
                  </w:r>
                  <w:r>
                    <w:rPr>
                      <w:rFonts w:hint="default" w:ascii="Times New Roman" w:hAnsi="Times New Roman" w:cs="Times New Roman"/>
                      <w:szCs w:val="21"/>
                      <w:lang w:val="en-US" w:eastAsia="zh-CN"/>
                    </w:rPr>
                    <w:t>集中收集后</w:t>
                  </w:r>
                  <w:r>
                    <w:rPr>
                      <w:rFonts w:hint="eastAsia" w:ascii="Times New Roman" w:hAnsi="Times New Roman" w:cs="Times New Roman"/>
                      <w:szCs w:val="21"/>
                      <w:lang w:val="en-US" w:eastAsia="zh-CN"/>
                    </w:rPr>
                    <w:t>外售</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破碎</w:t>
                  </w:r>
                  <w:r>
                    <w:rPr>
                      <w:rFonts w:hint="default" w:ascii="Times New Roman" w:hAnsi="Times New Roman" w:cs="Times New Roman"/>
                      <w:szCs w:val="21"/>
                      <w:lang w:val="en-US" w:eastAsia="zh-CN"/>
                    </w:rPr>
                    <w:t>工序除尘灰收集后作为燃料回用；</w:t>
                  </w:r>
                  <w:r>
                    <w:rPr>
                      <w:rFonts w:hint="eastAsia" w:ascii="Times New Roman" w:hAnsi="Times New Roman" w:cs="Times New Roman"/>
                      <w:szCs w:val="21"/>
                      <w:lang w:val="en-US" w:eastAsia="zh-CN"/>
                    </w:rPr>
                    <w:t>单级反渗透水处理的废渗透膜，集中收集后定期由厂家回收；废润滑油、废油桶集中收集后贮存于危险废物暂存间，委托有危废处置资质的单位定期处理。</w:t>
                  </w:r>
                </w:p>
              </w:tc>
              <w:tc>
                <w:tcPr>
                  <w:tcW w:w="53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szCs w:val="21"/>
                    </w:rPr>
                  </w:pPr>
                </w:p>
              </w:tc>
            </w:tr>
          </w:tbl>
          <w:p>
            <w:pPr>
              <w:pStyle w:val="45"/>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eastAsia" w:ascii="Times New Roman" w:hAnsi="Times New Roman" w:cs="Times New Roman" w:eastAsiaTheme="minorEastAsia"/>
                <w:b/>
                <w:bCs/>
                <w:sz w:val="24"/>
                <w:szCs w:val="24"/>
                <w:lang w:eastAsia="zh-CN"/>
              </w:rPr>
            </w:pPr>
            <w:r>
              <w:rPr>
                <w:rFonts w:hint="eastAsia" w:ascii="Times New Roman" w:hAnsi="Times New Roman" w:cs="Times New Roman"/>
                <w:b/>
                <w:bCs/>
                <w:sz w:val="24"/>
                <w:szCs w:val="24"/>
                <w:lang w:val="en-US" w:eastAsia="zh-CN"/>
              </w:rPr>
              <w:t>2</w:t>
            </w:r>
            <w:r>
              <w:rPr>
                <w:rFonts w:ascii="Times New Roman" w:hAnsi="Times New Roman" w:cs="Times New Roman"/>
                <w:b/>
                <w:bCs/>
                <w:sz w:val="24"/>
                <w:szCs w:val="24"/>
              </w:rPr>
              <w:t>、</w:t>
            </w:r>
            <w:r>
              <w:rPr>
                <w:rFonts w:hint="eastAsia" w:ascii="Times New Roman" w:hAnsi="Times New Roman" w:cs="Times New Roman"/>
                <w:b/>
                <w:bCs/>
                <w:sz w:val="24"/>
                <w:szCs w:val="24"/>
              </w:rPr>
              <w:t>主要原辅材料及燃料的种类和用量</w:t>
            </w:r>
          </w:p>
          <w:p>
            <w:pPr>
              <w:adjustRightInd w:val="0"/>
              <w:snapToGrid w:val="0"/>
              <w:spacing w:line="360" w:lineRule="auto"/>
              <w:ind w:firstLine="48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项目主要新增一台40t/h循环流化床燃煤锅炉及配套设备为园区企业供汽，40t/h循环流化床燃煤锅炉型号为：QXF40-2.5-AⅠ燃煤锅炉，提供2.5MPa 225℃蒸汽，焓值为2805.57kJ/kg。目前需要用集中供热站蒸汽企业包括承德富龙现代农业发展有限公司和围场满族蒙古族自治县保承中药材种植有限公司，两家企业均为生产用汽。实际生产情况如下表所示：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szCs w:val="21"/>
                <w:lang w:val="en-US" w:eastAsia="zh-CN"/>
              </w:rPr>
            </w:pPr>
            <w:r>
              <w:rPr>
                <w:rFonts w:ascii="Times New Roman" w:hAnsi="Times New Roman" w:cs="Times New Roman"/>
                <w:b/>
                <w:bCs/>
                <w:szCs w:val="21"/>
              </w:rPr>
              <w:t>表</w:t>
            </w:r>
            <w:r>
              <w:rPr>
                <w:rFonts w:hint="eastAsia" w:ascii="Times New Roman" w:hAnsi="Times New Roman" w:cs="Times New Roman"/>
                <w:b/>
                <w:bCs/>
                <w:szCs w:val="21"/>
              </w:rPr>
              <w:t>2-</w:t>
            </w:r>
            <w:r>
              <w:rPr>
                <w:rFonts w:hint="eastAsia" w:ascii="Times New Roman" w:hAnsi="Times New Roman" w:cs="Times New Roman"/>
                <w:b/>
                <w:bCs/>
                <w:szCs w:val="21"/>
                <w:lang w:val="en-US" w:eastAsia="zh-CN"/>
              </w:rPr>
              <w:t>2</w:t>
            </w:r>
            <w:r>
              <w:rPr>
                <w:rFonts w:ascii="Times New Roman" w:hAnsi="Times New Roman" w:cs="Times New Roman"/>
                <w:b/>
                <w:bCs/>
                <w:szCs w:val="21"/>
              </w:rPr>
              <w:t xml:space="preserve">  </w:t>
            </w:r>
            <w:r>
              <w:rPr>
                <w:rFonts w:hint="eastAsia" w:ascii="Times New Roman" w:hAnsi="Times New Roman" w:cs="Times New Roman"/>
                <w:b/>
                <w:bCs/>
                <w:szCs w:val="21"/>
                <w:lang w:val="en-US" w:eastAsia="zh-CN"/>
              </w:rPr>
              <w:t>本项目蒸汽消费量</w:t>
            </w:r>
          </w:p>
          <w:tbl>
            <w:tblPr>
              <w:tblStyle w:val="24"/>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445"/>
              <w:gridCol w:w="2745"/>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bCs/>
                      <w:kern w:val="0"/>
                      <w:sz w:val="21"/>
                      <w:szCs w:val="21"/>
                      <w:lang w:bidi="ar"/>
                    </w:rPr>
                  </w:pPr>
                  <w:r>
                    <w:rPr>
                      <w:rFonts w:hint="default" w:ascii="Times New Roman" w:hAnsi="Times New Roman" w:eastAsia="宋体" w:cs="Times New Roman"/>
                      <w:b/>
                      <w:bCs/>
                      <w:kern w:val="0"/>
                      <w:sz w:val="21"/>
                      <w:szCs w:val="21"/>
                      <w:lang w:bidi="ar"/>
                    </w:rPr>
                    <w:t>名   称</w:t>
                  </w:r>
                </w:p>
              </w:tc>
              <w:tc>
                <w:tcPr>
                  <w:tcW w:w="24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bCs/>
                      <w:kern w:val="0"/>
                      <w:sz w:val="21"/>
                      <w:szCs w:val="21"/>
                      <w:lang w:eastAsia="zh-CN" w:bidi="ar"/>
                    </w:rPr>
                  </w:pPr>
                  <w:r>
                    <w:rPr>
                      <w:rFonts w:hint="default" w:ascii="Times New Roman" w:hAnsi="Times New Roman" w:eastAsia="宋体" w:cs="Times New Roman"/>
                      <w:b/>
                      <w:bCs/>
                      <w:kern w:val="0"/>
                      <w:sz w:val="21"/>
                      <w:szCs w:val="21"/>
                      <w:lang w:val="en-US" w:eastAsia="zh-CN" w:bidi="ar"/>
                    </w:rPr>
                    <w:t>承德富龙现代农业发展有限公司</w:t>
                  </w:r>
                </w:p>
              </w:tc>
              <w:tc>
                <w:tcPr>
                  <w:tcW w:w="27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bCs/>
                      <w:kern w:val="0"/>
                      <w:sz w:val="21"/>
                      <w:szCs w:val="21"/>
                      <w:lang w:eastAsia="zh-CN" w:bidi="ar"/>
                    </w:rPr>
                  </w:pPr>
                  <w:r>
                    <w:rPr>
                      <w:rFonts w:hint="default" w:ascii="Times New Roman" w:hAnsi="Times New Roman" w:eastAsia="宋体" w:cs="Times New Roman"/>
                      <w:b/>
                      <w:bCs/>
                      <w:kern w:val="0"/>
                      <w:sz w:val="21"/>
                      <w:szCs w:val="21"/>
                      <w:lang w:val="en-US" w:eastAsia="zh-CN" w:bidi="ar"/>
                    </w:rPr>
                    <w:t>围场满族蒙古族自治县保承中药材种植有限公司</w:t>
                  </w:r>
                </w:p>
              </w:tc>
              <w:tc>
                <w:tcPr>
                  <w:tcW w:w="120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bCs/>
                      <w:kern w:val="0"/>
                      <w:sz w:val="21"/>
                      <w:szCs w:val="21"/>
                      <w:lang w:eastAsia="zh-CN" w:bidi="ar"/>
                    </w:rPr>
                  </w:pPr>
                  <w:r>
                    <w:rPr>
                      <w:rFonts w:hint="default" w:ascii="Times New Roman" w:hAnsi="Times New Roman" w:eastAsia="宋体" w:cs="Times New Roman"/>
                      <w:b/>
                      <w:bCs/>
                      <w:kern w:val="0"/>
                      <w:sz w:val="21"/>
                      <w:szCs w:val="21"/>
                      <w:lang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小时</w:t>
                  </w:r>
                  <w:r>
                    <w:rPr>
                      <w:rFonts w:hint="default" w:ascii="Times New Roman" w:hAnsi="Times New Roman" w:eastAsia="宋体" w:cs="Times New Roman"/>
                      <w:kern w:val="0"/>
                      <w:sz w:val="21"/>
                      <w:szCs w:val="21"/>
                      <w:lang w:eastAsia="zh-CN" w:bidi="ar"/>
                    </w:rPr>
                    <w:t>蒸汽耗</w:t>
                  </w:r>
                  <w:r>
                    <w:rPr>
                      <w:rFonts w:hint="default" w:ascii="Times New Roman" w:hAnsi="Times New Roman" w:eastAsia="宋体" w:cs="Times New Roman"/>
                      <w:kern w:val="0"/>
                      <w:sz w:val="21"/>
                      <w:szCs w:val="21"/>
                      <w:lang w:bidi="ar"/>
                    </w:rPr>
                    <w:t>量(t)</w:t>
                  </w:r>
                </w:p>
              </w:tc>
              <w:tc>
                <w:tcPr>
                  <w:tcW w:w="24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15</w:t>
                  </w:r>
                </w:p>
              </w:tc>
              <w:tc>
                <w:tcPr>
                  <w:tcW w:w="27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val="en-US" w:eastAsia="zh-CN" w:bidi="ar"/>
                    </w:rPr>
                    <w:t>2</w:t>
                  </w:r>
                </w:p>
              </w:tc>
              <w:tc>
                <w:tcPr>
                  <w:tcW w:w="120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年利用小时（h）</w:t>
                  </w:r>
                </w:p>
              </w:tc>
              <w:tc>
                <w:tcPr>
                  <w:tcW w:w="24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2400</w:t>
                  </w:r>
                </w:p>
              </w:tc>
              <w:tc>
                <w:tcPr>
                  <w:tcW w:w="27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2400</w:t>
                  </w:r>
                </w:p>
              </w:tc>
              <w:tc>
                <w:tcPr>
                  <w:tcW w:w="120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kern w:val="0"/>
                      <w:sz w:val="21"/>
                      <w:szCs w:val="21"/>
                      <w:lang w:bidi="ar"/>
                    </w:rPr>
                  </w:pPr>
                  <w:r>
                    <w:rPr>
                      <w:rFonts w:hint="default" w:ascii="Times New Roman" w:hAnsi="Times New Roman" w:eastAsia="宋体" w:cs="Times New Roman"/>
                      <w:bCs/>
                      <w:kern w:val="0"/>
                      <w:sz w:val="21"/>
                      <w:szCs w:val="21"/>
                      <w:lang w:bidi="ar"/>
                    </w:rPr>
                    <w:t>本项目年耗</w:t>
                  </w:r>
                  <w:r>
                    <w:rPr>
                      <w:rFonts w:hint="default" w:ascii="Times New Roman" w:hAnsi="Times New Roman" w:eastAsia="宋体" w:cs="Times New Roman"/>
                      <w:bCs/>
                      <w:kern w:val="0"/>
                      <w:sz w:val="21"/>
                      <w:szCs w:val="21"/>
                      <w:lang w:eastAsia="zh-CN" w:bidi="ar"/>
                    </w:rPr>
                    <w:t>蒸汽</w:t>
                  </w:r>
                  <w:r>
                    <w:rPr>
                      <w:rFonts w:hint="default" w:ascii="Times New Roman" w:hAnsi="Times New Roman" w:eastAsia="宋体" w:cs="Times New Roman"/>
                      <w:bCs/>
                      <w:kern w:val="0"/>
                      <w:sz w:val="21"/>
                      <w:szCs w:val="21"/>
                      <w:lang w:bidi="ar"/>
                    </w:rPr>
                    <w:t>量(t)</w:t>
                  </w:r>
                </w:p>
              </w:tc>
              <w:tc>
                <w:tcPr>
                  <w:tcW w:w="24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kern w:val="0"/>
                      <w:sz w:val="21"/>
                      <w:szCs w:val="21"/>
                      <w:lang w:val="en-US" w:eastAsia="zh-CN" w:bidi="ar"/>
                    </w:rPr>
                  </w:pPr>
                  <w:r>
                    <w:rPr>
                      <w:rFonts w:hint="eastAsia" w:ascii="Times New Roman" w:hAnsi="Times New Roman" w:eastAsia="宋体" w:cs="Times New Roman"/>
                      <w:bCs/>
                      <w:kern w:val="0"/>
                      <w:sz w:val="21"/>
                      <w:szCs w:val="21"/>
                      <w:lang w:val="en-US" w:eastAsia="zh-CN" w:bidi="ar"/>
                    </w:rPr>
                    <w:t>36000</w:t>
                  </w:r>
                </w:p>
              </w:tc>
              <w:tc>
                <w:tcPr>
                  <w:tcW w:w="27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kern w:val="0"/>
                      <w:sz w:val="21"/>
                      <w:szCs w:val="21"/>
                      <w:lang w:val="en-US" w:eastAsia="zh-CN" w:bidi="ar"/>
                    </w:rPr>
                  </w:pPr>
                  <w:r>
                    <w:rPr>
                      <w:rFonts w:hint="eastAsia" w:ascii="Times New Roman" w:hAnsi="Times New Roman" w:eastAsia="宋体" w:cs="Times New Roman"/>
                      <w:bCs/>
                      <w:kern w:val="0"/>
                      <w:sz w:val="21"/>
                      <w:szCs w:val="21"/>
                      <w:lang w:val="en-US" w:eastAsia="zh-CN" w:bidi="ar"/>
                    </w:rPr>
                    <w:t>4800</w:t>
                  </w:r>
                </w:p>
              </w:tc>
              <w:tc>
                <w:tcPr>
                  <w:tcW w:w="120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kern w:val="0"/>
                      <w:sz w:val="21"/>
                      <w:szCs w:val="21"/>
                      <w:lang w:val="en-US" w:eastAsia="zh-CN" w:bidi="ar"/>
                    </w:rPr>
                  </w:pPr>
                  <w:r>
                    <w:rPr>
                      <w:rFonts w:hint="eastAsia" w:ascii="Times New Roman" w:hAnsi="Times New Roman" w:eastAsia="宋体" w:cs="Times New Roman"/>
                      <w:bCs/>
                      <w:kern w:val="0"/>
                      <w:sz w:val="21"/>
                      <w:szCs w:val="21"/>
                      <w:lang w:val="en-US" w:eastAsia="zh-CN" w:bidi="ar"/>
                    </w:rPr>
                    <w:t>40800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根据燃煤低位发热值3213kcal/kg，折合13437kJ/kg，锅炉设计效率88%，计算项目所需燃煤量为：</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40800×2805.57÷13437÷88%=9680t</w:t>
            </w:r>
          </w:p>
          <w:p>
            <w:pPr>
              <w:adjustRightInd w:val="0"/>
              <w:snapToGrid w:val="0"/>
              <w:spacing w:line="360" w:lineRule="auto"/>
              <w:ind w:firstLine="480"/>
              <w:rPr>
                <w:rFonts w:hint="eastAsia"/>
                <w:lang w:val="en-US" w:eastAsia="zh-CN"/>
              </w:rPr>
            </w:pPr>
            <w:r>
              <w:rPr>
                <w:rFonts w:hint="eastAsia" w:ascii="Times New Roman" w:hAnsi="Times New Roman" w:cs="Times New Roman"/>
                <w:sz w:val="24"/>
                <w:lang w:val="en-US" w:eastAsia="zh-CN"/>
              </w:rPr>
              <w:t>本项目主要原辅材料及燃料的种类和用量如下表所示：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szCs w:val="21"/>
              </w:rPr>
            </w:pPr>
            <w:r>
              <w:rPr>
                <w:rFonts w:ascii="Times New Roman" w:hAnsi="Times New Roman" w:cs="Times New Roman"/>
                <w:b/>
                <w:bCs/>
                <w:szCs w:val="21"/>
              </w:rPr>
              <w:t>表</w:t>
            </w:r>
            <w:r>
              <w:rPr>
                <w:rFonts w:hint="eastAsia" w:ascii="Times New Roman" w:hAnsi="Times New Roman" w:cs="Times New Roman"/>
                <w:b/>
                <w:bCs/>
                <w:szCs w:val="21"/>
              </w:rPr>
              <w:t>2-</w:t>
            </w:r>
            <w:r>
              <w:rPr>
                <w:rFonts w:hint="eastAsia" w:ascii="Times New Roman" w:hAnsi="Times New Roman" w:cs="Times New Roman"/>
                <w:b/>
                <w:bCs/>
                <w:szCs w:val="21"/>
                <w:lang w:val="en-US" w:eastAsia="zh-CN"/>
              </w:rPr>
              <w:t>3</w:t>
            </w:r>
            <w:r>
              <w:rPr>
                <w:rFonts w:ascii="Times New Roman" w:hAnsi="Times New Roman" w:cs="Times New Roman"/>
                <w:b/>
                <w:bCs/>
                <w:szCs w:val="21"/>
              </w:rPr>
              <w:t xml:space="preserve">  </w:t>
            </w:r>
            <w:r>
              <w:rPr>
                <w:rFonts w:hint="eastAsia" w:ascii="Times New Roman" w:hAnsi="Times New Roman" w:cs="Times New Roman"/>
                <w:b/>
                <w:bCs/>
                <w:szCs w:val="21"/>
                <w:lang w:val="en-US" w:eastAsia="zh-CN"/>
              </w:rPr>
              <w:t>主要原辅材料及燃料的种类和用量表</w:t>
            </w:r>
          </w:p>
          <w:tbl>
            <w:tblPr>
              <w:tblStyle w:val="24"/>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520"/>
              <w:gridCol w:w="1251"/>
              <w:gridCol w:w="1642"/>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eastAsia" w:ascii="Times New Roman" w:hAnsi="Times New Roman" w:cs="Times New Roman" w:eastAsiaTheme="minorEastAsia"/>
                      <w:b/>
                      <w:szCs w:val="21"/>
                      <w:lang w:eastAsia="zh-CN"/>
                    </w:rPr>
                  </w:pPr>
                  <w:r>
                    <w:rPr>
                      <w:rFonts w:hint="eastAsia" w:ascii="Times New Roman" w:hAnsi="Times New Roman" w:cs="Times New Roman"/>
                      <w:b/>
                      <w:szCs w:val="21"/>
                      <w:lang w:eastAsia="zh-CN"/>
                    </w:rPr>
                    <w:t>序号</w:t>
                  </w:r>
                </w:p>
              </w:tc>
              <w:tc>
                <w:tcPr>
                  <w:tcW w:w="1456" w:type="pct"/>
                  <w:vAlign w:val="center"/>
                </w:tcPr>
                <w:p>
                  <w:pPr>
                    <w:snapToGrid w:val="0"/>
                    <w:jc w:val="center"/>
                    <w:rPr>
                      <w:rFonts w:ascii="Times New Roman" w:hAnsi="Times New Roman" w:cs="Times New Roman"/>
                      <w:b/>
                      <w:szCs w:val="21"/>
                    </w:rPr>
                  </w:pPr>
                  <w:r>
                    <w:rPr>
                      <w:rFonts w:ascii="Times New Roman" w:hAnsi="Times New Roman" w:cs="Times New Roman"/>
                      <w:b/>
                      <w:szCs w:val="21"/>
                    </w:rPr>
                    <w:t>名称</w:t>
                  </w:r>
                </w:p>
              </w:tc>
              <w:tc>
                <w:tcPr>
                  <w:tcW w:w="723" w:type="pct"/>
                  <w:vAlign w:val="center"/>
                </w:tcPr>
                <w:p>
                  <w:pPr>
                    <w:snapToGrid w:val="0"/>
                    <w:jc w:val="center"/>
                    <w:rPr>
                      <w:rFonts w:ascii="Times New Roman" w:hAnsi="Times New Roman" w:cs="Times New Roman"/>
                      <w:b/>
                      <w:szCs w:val="21"/>
                    </w:rPr>
                  </w:pPr>
                  <w:r>
                    <w:rPr>
                      <w:rFonts w:ascii="Times New Roman" w:hAnsi="Times New Roman" w:cs="Times New Roman"/>
                      <w:b/>
                      <w:szCs w:val="21"/>
                    </w:rPr>
                    <w:t>单位</w:t>
                  </w:r>
                </w:p>
              </w:tc>
              <w:tc>
                <w:tcPr>
                  <w:tcW w:w="949" w:type="pct"/>
                  <w:vAlign w:val="center"/>
                </w:tcPr>
                <w:p>
                  <w:pPr>
                    <w:snapToGrid w:val="0"/>
                    <w:jc w:val="center"/>
                    <w:rPr>
                      <w:rFonts w:ascii="Times New Roman" w:hAnsi="Times New Roman" w:cs="Times New Roman"/>
                      <w:b/>
                      <w:szCs w:val="21"/>
                    </w:rPr>
                  </w:pPr>
                  <w:r>
                    <w:rPr>
                      <w:rFonts w:hint="eastAsia" w:ascii="Times New Roman" w:hAnsi="Times New Roman" w:cs="Times New Roman"/>
                      <w:b/>
                      <w:szCs w:val="21"/>
                    </w:rPr>
                    <w:t>消耗量</w:t>
                  </w:r>
                </w:p>
              </w:tc>
              <w:tc>
                <w:tcPr>
                  <w:tcW w:w="1258" w:type="pct"/>
                  <w:vAlign w:val="center"/>
                </w:tcPr>
                <w:p>
                  <w:pPr>
                    <w:snapToGrid w:val="0"/>
                    <w:jc w:val="center"/>
                    <w:rPr>
                      <w:rFonts w:ascii="Times New Roman" w:hAnsi="Times New Roman" w:cs="Times New Roman"/>
                      <w:b/>
                      <w:szCs w:val="21"/>
                    </w:rPr>
                  </w:pPr>
                  <w:r>
                    <w:rPr>
                      <w:rFonts w:ascii="Times New Roman" w:hAnsi="Times New Roman" w:cs="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w:t>
                  </w:r>
                </w:p>
              </w:tc>
              <w:tc>
                <w:tcPr>
                  <w:tcW w:w="1456" w:type="pct"/>
                  <w:vAlign w:val="center"/>
                </w:tcPr>
                <w:p>
                  <w:pPr>
                    <w:pStyle w:val="19"/>
                    <w:spacing w:line="280" w:lineRule="exact"/>
                    <w:jc w:val="center"/>
                    <w:rPr>
                      <w:rFonts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标煤</w:t>
                  </w:r>
                </w:p>
              </w:tc>
              <w:tc>
                <w:tcPr>
                  <w:tcW w:w="723" w:type="pct"/>
                  <w:vAlign w:val="center"/>
                </w:tcPr>
                <w:p>
                  <w:pPr>
                    <w:snapToGrid w:val="0"/>
                    <w:jc w:val="center"/>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t/a</w:t>
                  </w:r>
                </w:p>
              </w:tc>
              <w:tc>
                <w:tcPr>
                  <w:tcW w:w="949" w:type="pct"/>
                  <w:vAlign w:val="center"/>
                </w:tcPr>
                <w:p>
                  <w:pPr>
                    <w:snapToGrid w:val="0"/>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t>9680</w:t>
                  </w:r>
                </w:p>
              </w:tc>
              <w:tc>
                <w:tcPr>
                  <w:tcW w:w="1258" w:type="pct"/>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褐煤</w:t>
                  </w:r>
                  <w:r>
                    <w:rPr>
                      <w:rFonts w:hint="default" w:ascii="Times New Roman" w:hAnsi="Times New Roman" w:cs="Times New Roman"/>
                      <w:color w:val="000000" w:themeColor="text1"/>
                      <w:szCs w:val="21"/>
                      <w14:textFill>
                        <w14:solidFill>
                          <w14:schemeClr w14:val="tx1"/>
                        </w14:solidFill>
                      </w14:textFill>
                    </w:rPr>
                    <w:t>外购，</w:t>
                  </w:r>
                  <w:r>
                    <w:rPr>
                      <w:rFonts w:hint="eastAsia" w:ascii="Times New Roman" w:hAnsi="Times New Roman" w:cs="Times New Roman"/>
                      <w:color w:val="000000" w:themeColor="text1"/>
                      <w:szCs w:val="21"/>
                      <w:lang w:eastAsia="zh-CN"/>
                      <w14:textFill>
                        <w14:solidFill>
                          <w14:schemeClr w14:val="tx1"/>
                        </w14:solidFill>
                      </w14:textFill>
                    </w:rPr>
                    <w:t>煤棚</w:t>
                  </w:r>
                  <w:r>
                    <w:rPr>
                      <w:rFonts w:hint="default" w:ascii="Times New Roman" w:hAnsi="Times New Roman" w:cs="Times New Roman"/>
                      <w:color w:val="000000" w:themeColor="text1"/>
                      <w:szCs w:val="21"/>
                      <w14:textFill>
                        <w14:solidFill>
                          <w14:schemeClr w14:val="tx1"/>
                        </w14:solidFill>
                      </w14:textFill>
                    </w:rPr>
                    <w:t>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eastAsia" w:ascii="Times New Roman" w:hAnsi="Times New Roman" w:cs="Times New Roman" w:eastAsiaTheme="minorEastAsia"/>
                      <w:bCs/>
                      <w:szCs w:val="21"/>
                      <w:highlight w:val="yellow"/>
                      <w:lang w:val="en-US" w:eastAsia="zh-CN"/>
                    </w:rPr>
                  </w:pPr>
                  <w:r>
                    <w:rPr>
                      <w:rFonts w:hint="eastAsia" w:ascii="Times New Roman" w:hAnsi="Times New Roman" w:cs="Times New Roman"/>
                      <w:bCs/>
                      <w:szCs w:val="21"/>
                      <w:highlight w:val="none"/>
                      <w:lang w:val="en-US" w:eastAsia="zh-CN"/>
                    </w:rPr>
                    <w:t>2</w:t>
                  </w:r>
                </w:p>
              </w:tc>
              <w:tc>
                <w:tcPr>
                  <w:tcW w:w="1456" w:type="pct"/>
                  <w:vAlign w:val="center"/>
                </w:tcPr>
                <w:p>
                  <w:pPr>
                    <w:pStyle w:val="19"/>
                    <w:spacing w:line="280" w:lineRule="exact"/>
                    <w:jc w:val="center"/>
                    <w:rPr>
                      <w:rFonts w:ascii="Times New Roman" w:hAnsi="Times New Roman" w:cs="Times New Roman"/>
                      <w:bCs/>
                      <w:szCs w:val="21"/>
                    </w:rPr>
                  </w:pPr>
                  <w:r>
                    <w:rPr>
                      <w:rFonts w:hint="default" w:ascii="Times New Roman" w:hAnsi="Times New Roman" w:eastAsia="宋体" w:cs="Times New Roman"/>
                      <w:color w:val="auto"/>
                      <w:sz w:val="21"/>
                      <w:szCs w:val="21"/>
                      <w:lang w:val="en-US" w:eastAsia="zh-CN" w:bidi="ar"/>
                    </w:rPr>
                    <w:t>氧化镁</w:t>
                  </w:r>
                </w:p>
              </w:tc>
              <w:tc>
                <w:tcPr>
                  <w:tcW w:w="723" w:type="pct"/>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t/a</w:t>
                  </w:r>
                </w:p>
              </w:tc>
              <w:tc>
                <w:tcPr>
                  <w:tcW w:w="949" w:type="pct"/>
                  <w:vAlign w:val="center"/>
                </w:tcPr>
                <w:p>
                  <w:pPr>
                    <w:snapToGrid w:val="0"/>
                    <w:jc w:val="center"/>
                    <w:rPr>
                      <w:rFonts w:hint="default"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258</w:t>
                  </w:r>
                </w:p>
              </w:tc>
              <w:tc>
                <w:tcPr>
                  <w:tcW w:w="1258" w:type="pct"/>
                  <w:vAlign w:val="center"/>
                </w:tcPr>
                <w:p>
                  <w:pPr>
                    <w:snapToGrid w:val="0"/>
                    <w:jc w:val="center"/>
                    <w:rPr>
                      <w:rFonts w:ascii="Times New Roman" w:hAnsi="Times New Roman" w:cs="Times New Roman"/>
                      <w:szCs w:val="21"/>
                    </w:rPr>
                  </w:pPr>
                  <w:r>
                    <w:rPr>
                      <w:rFonts w:hint="default" w:ascii="Times New Roman" w:hAnsi="Times New Roman" w:cs="Times New Roman"/>
                      <w:szCs w:val="21"/>
                    </w:rPr>
                    <w:t>外购，车间储存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default" w:ascii="Times New Roman" w:hAnsi="Times New Roman" w:cs="Times New Roman"/>
                      <w:bCs/>
                      <w:szCs w:val="21"/>
                      <w:highlight w:val="none"/>
                      <w:lang w:val="en-US" w:eastAsia="zh-CN"/>
                    </w:rPr>
                  </w:pPr>
                  <w:r>
                    <w:rPr>
                      <w:rFonts w:hint="eastAsia" w:ascii="Times New Roman" w:hAnsi="Times New Roman" w:cs="Times New Roman"/>
                      <w:bCs/>
                      <w:szCs w:val="21"/>
                      <w:highlight w:val="none"/>
                      <w:lang w:val="en-US" w:eastAsia="zh-CN"/>
                    </w:rPr>
                    <w:t>3</w:t>
                  </w:r>
                </w:p>
              </w:tc>
              <w:tc>
                <w:tcPr>
                  <w:tcW w:w="1456" w:type="pct"/>
                  <w:vAlign w:val="center"/>
                </w:tcPr>
                <w:p>
                  <w:pPr>
                    <w:snapToGrid w:val="0"/>
                    <w:jc w:val="center"/>
                    <w:rPr>
                      <w:rFonts w:ascii="Times New Roman" w:hAnsi="Times New Roman" w:cs="Times New Roman"/>
                      <w:szCs w:val="21"/>
                    </w:rPr>
                  </w:pPr>
                  <w:r>
                    <w:rPr>
                      <w:rFonts w:hint="eastAsia" w:ascii="Times New Roman" w:hAnsi="Times New Roman" w:cs="Times New Roman"/>
                      <w:szCs w:val="21"/>
                      <w:lang w:val="en-US" w:eastAsia="zh-CN"/>
                    </w:rPr>
                    <w:t>脱硝剂</w:t>
                  </w:r>
                </w:p>
              </w:tc>
              <w:tc>
                <w:tcPr>
                  <w:tcW w:w="723" w:type="pct"/>
                  <w:vAlign w:val="center"/>
                </w:tcPr>
                <w:p>
                  <w:pPr>
                    <w:snapToGrid w:val="0"/>
                    <w:jc w:val="center"/>
                    <w:rPr>
                      <w:rFonts w:ascii="Times New Roman" w:hAnsi="Times New Roman" w:cs="Times New Roman"/>
                      <w:szCs w:val="21"/>
                    </w:rPr>
                  </w:pPr>
                  <w:r>
                    <w:rPr>
                      <w:rFonts w:hint="eastAsia" w:ascii="Times New Roman" w:hAnsi="Times New Roman" w:cs="Times New Roman"/>
                      <w:bCs/>
                      <w:szCs w:val="21"/>
                    </w:rPr>
                    <w:t>t/a</w:t>
                  </w:r>
                </w:p>
              </w:tc>
              <w:tc>
                <w:tcPr>
                  <w:tcW w:w="949" w:type="pct"/>
                  <w:vAlign w:val="center"/>
                </w:tcPr>
                <w:p>
                  <w:pPr>
                    <w:snapToGrid w:val="0"/>
                    <w:jc w:val="center"/>
                    <w:rPr>
                      <w:rFonts w:hint="default"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194</w:t>
                  </w:r>
                </w:p>
              </w:tc>
              <w:tc>
                <w:tcPr>
                  <w:tcW w:w="1258" w:type="pct"/>
                  <w:vAlign w:val="center"/>
                </w:tcPr>
                <w:p>
                  <w:pPr>
                    <w:snapToGrid w:val="0"/>
                    <w:jc w:val="center"/>
                    <w:rPr>
                      <w:rFonts w:hint="eastAsia" w:ascii="Times New Roman" w:hAnsi="Times New Roman" w:cs="Times New Roman"/>
                      <w:bCs/>
                      <w:szCs w:val="21"/>
                    </w:rPr>
                  </w:pPr>
                  <w:r>
                    <w:rPr>
                      <w:rFonts w:hint="eastAsia" w:ascii="Times New Roman" w:hAnsi="Times New Roman" w:cs="Times New Roman"/>
                      <w:bCs/>
                      <w:szCs w:val="21"/>
                    </w:rPr>
                    <w:t>外购，车间储存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4</w:t>
                  </w:r>
                </w:p>
              </w:tc>
              <w:tc>
                <w:tcPr>
                  <w:tcW w:w="1456" w:type="pct"/>
                  <w:vAlign w:val="center"/>
                </w:tcPr>
                <w:p>
                  <w:pPr>
                    <w:pStyle w:val="19"/>
                    <w:spacing w:line="280" w:lineRule="exact"/>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新鲜水</w:t>
                  </w:r>
                </w:p>
              </w:tc>
              <w:tc>
                <w:tcPr>
                  <w:tcW w:w="723" w:type="pct"/>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/a</w:t>
                  </w:r>
                </w:p>
              </w:tc>
              <w:tc>
                <w:tcPr>
                  <w:tcW w:w="949" w:type="pct"/>
                  <w:vAlign w:val="center"/>
                </w:tcPr>
                <w:p>
                  <w:pPr>
                    <w:snapToGrid w:val="0"/>
                    <w:jc w:val="center"/>
                    <w:rPr>
                      <w:rFonts w:hint="eastAsia" w:ascii="Times New Roman" w:hAnsi="Times New Roman" w:cs="Times New Roman"/>
                      <w:bCs/>
                      <w:color w:val="auto"/>
                      <w:szCs w:val="21"/>
                    </w:rPr>
                  </w:pPr>
                  <w:r>
                    <w:rPr>
                      <w:rFonts w:hint="eastAsia" w:ascii="Times New Roman" w:hAnsi="Times New Roman" w:cs="Times New Roman"/>
                      <w:bCs/>
                      <w:color w:val="auto"/>
                      <w:szCs w:val="21"/>
                      <w:lang w:val="en-US" w:eastAsia="zh-CN"/>
                    </w:rPr>
                    <w:t>48010</w:t>
                  </w:r>
                </w:p>
              </w:tc>
              <w:tc>
                <w:tcPr>
                  <w:tcW w:w="1258" w:type="pct"/>
                  <w:vAlign w:val="center"/>
                </w:tcPr>
                <w:p>
                  <w:pPr>
                    <w:snapToGrid w:val="0"/>
                    <w:jc w:val="center"/>
                    <w:rPr>
                      <w:rFonts w:hint="eastAsia" w:ascii="Times New Roman" w:hAnsi="Times New Roman" w:cs="Times New Roman" w:eastAsiaTheme="minorEastAsia"/>
                      <w:bCs/>
                      <w:color w:val="auto"/>
                      <w:szCs w:val="21"/>
                      <w:lang w:eastAsia="zh-CN"/>
                    </w:rPr>
                  </w:pPr>
                  <w:r>
                    <w:rPr>
                      <w:rFonts w:hint="eastAsia" w:ascii="Times New Roman" w:hAnsi="Times New Roman" w:cs="Times New Roman"/>
                      <w:bCs/>
                      <w:color w:val="auto"/>
                      <w:szCs w:val="21"/>
                      <w:lang w:eastAsia="zh-CN"/>
                    </w:rPr>
                    <w:t>厂区自备水井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default" w:ascii="Times New Roman" w:hAnsi="Times New Roman" w:cs="Times New Roman"/>
                      <w:bCs/>
                      <w:szCs w:val="21"/>
                      <w:highlight w:val="none"/>
                      <w:lang w:val="en-US" w:eastAsia="zh-CN"/>
                    </w:rPr>
                  </w:pPr>
                  <w:r>
                    <w:rPr>
                      <w:rFonts w:hint="eastAsia" w:ascii="Times New Roman" w:hAnsi="Times New Roman" w:cs="Times New Roman"/>
                      <w:bCs/>
                      <w:szCs w:val="21"/>
                      <w:highlight w:val="none"/>
                      <w:lang w:val="en-US" w:eastAsia="zh-CN"/>
                    </w:rPr>
                    <w:t>5</w:t>
                  </w:r>
                </w:p>
              </w:tc>
              <w:tc>
                <w:tcPr>
                  <w:tcW w:w="1456" w:type="pct"/>
                  <w:vAlign w:val="center"/>
                </w:tcPr>
                <w:p>
                  <w:pPr>
                    <w:pStyle w:val="19"/>
                    <w:spacing w:line="280" w:lineRule="exact"/>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bidi="ar"/>
                    </w:rPr>
                    <w:t>电</w:t>
                  </w:r>
                </w:p>
              </w:tc>
              <w:tc>
                <w:tcPr>
                  <w:tcW w:w="723" w:type="pct"/>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bidi="ar"/>
                    </w:rPr>
                    <w:t>kW·h/a</w:t>
                  </w:r>
                </w:p>
              </w:tc>
              <w:tc>
                <w:tcPr>
                  <w:tcW w:w="949" w:type="pct"/>
                  <w:vAlign w:val="center"/>
                </w:tcPr>
                <w:p>
                  <w:pPr>
                    <w:snapToGrid w:val="0"/>
                    <w:jc w:val="center"/>
                    <w:rPr>
                      <w:rFonts w:hint="default" w:ascii="Times New Roman" w:hAnsi="Times New Roman" w:cs="Times New Roman"/>
                      <w:bCs/>
                      <w:szCs w:val="21"/>
                      <w:lang w:val="en-US"/>
                    </w:rPr>
                  </w:pPr>
                  <w:r>
                    <w:rPr>
                      <w:rFonts w:hint="eastAsia" w:ascii="Times New Roman" w:hAnsi="Times New Roman" w:cs="Times New Roman"/>
                      <w:bCs/>
                      <w:szCs w:val="21"/>
                      <w:lang w:val="en-US" w:eastAsia="zh-CN"/>
                    </w:rPr>
                    <w:t>284.8万</w:t>
                  </w:r>
                </w:p>
              </w:tc>
              <w:tc>
                <w:tcPr>
                  <w:tcW w:w="1258" w:type="pct"/>
                  <w:vAlign w:val="center"/>
                </w:tcPr>
                <w:p>
                  <w:pPr>
                    <w:snapToGrid w:val="0"/>
                    <w:jc w:val="center"/>
                    <w:rPr>
                      <w:rFonts w:hint="eastAsia" w:ascii="Times New Roman" w:hAnsi="Times New Roman" w:cs="Times New Roman"/>
                      <w:bCs/>
                      <w:szCs w:val="21"/>
                    </w:rPr>
                  </w:pPr>
                  <w:r>
                    <w:rPr>
                      <w:rFonts w:hint="eastAsia" w:ascii="Times New Roman" w:hAnsi="Times New Roman" w:cs="Times New Roman"/>
                      <w:bCs/>
                      <w:szCs w:val="21"/>
                      <w:lang w:val="en-US" w:eastAsia="zh-CN"/>
                    </w:rPr>
                    <w:t>当地乡镇供电网供电</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主要原辅材料物性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（1）</w:t>
            </w:r>
            <w:r>
              <w:rPr>
                <w:rFonts w:hint="default" w:ascii="Times New Roman" w:hAnsi="Times New Roman" w:eastAsia="宋体" w:cs="Times New Roman"/>
                <w:b w:val="0"/>
                <w:bCs/>
                <w:color w:val="auto"/>
                <w:sz w:val="24"/>
                <w:lang w:val="en-US" w:eastAsia="zh-CN"/>
              </w:rPr>
              <w:t xml:space="preserve">煤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根据企业提供的煤炭测试报告（见附件</w:t>
            </w:r>
            <w:r>
              <w:rPr>
                <w:rFonts w:hint="eastAsia"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lang w:val="en-US" w:eastAsia="zh-CN"/>
              </w:rPr>
              <w:t>项目煤质分析见下表</w:t>
            </w:r>
            <w:r>
              <w:rPr>
                <w:rFonts w:hint="eastAsia" w:ascii="Times New Roman" w:hAnsi="Times New Roman" w:eastAsia="宋体" w:cs="Times New Roman"/>
                <w:b w:val="0"/>
                <w:bCs/>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szCs w:val="21"/>
              </w:rPr>
            </w:pPr>
            <w:r>
              <w:rPr>
                <w:rFonts w:ascii="Times New Roman" w:hAnsi="Times New Roman" w:cs="Times New Roman"/>
                <w:b/>
                <w:bCs/>
                <w:szCs w:val="21"/>
              </w:rPr>
              <w:t>表</w:t>
            </w:r>
            <w:r>
              <w:rPr>
                <w:rFonts w:hint="eastAsia" w:ascii="Times New Roman" w:hAnsi="Times New Roman" w:cs="Times New Roman"/>
                <w:b/>
                <w:bCs/>
                <w:szCs w:val="21"/>
              </w:rPr>
              <w:t>2-</w:t>
            </w:r>
            <w:r>
              <w:rPr>
                <w:rFonts w:hint="eastAsia" w:ascii="Times New Roman" w:hAnsi="Times New Roman" w:cs="Times New Roman"/>
                <w:b/>
                <w:bCs/>
                <w:szCs w:val="21"/>
                <w:lang w:val="en-US" w:eastAsia="zh-CN"/>
              </w:rPr>
              <w:t>4</w:t>
            </w:r>
            <w:r>
              <w:rPr>
                <w:rFonts w:ascii="Times New Roman" w:hAnsi="Times New Roman" w:cs="Times New Roman"/>
                <w:b/>
                <w:bCs/>
                <w:szCs w:val="21"/>
              </w:rPr>
              <w:t xml:space="preserve"> </w:t>
            </w:r>
            <w:r>
              <w:rPr>
                <w:rFonts w:hint="eastAsia" w:ascii="Times New Roman" w:hAnsi="Times New Roman" w:eastAsia="宋体" w:cs="Times New Roman"/>
                <w:b/>
                <w:color w:val="auto"/>
                <w:kern w:val="2"/>
                <w:sz w:val="21"/>
                <w:szCs w:val="21"/>
                <w:lang w:val="en-US" w:eastAsia="zh-CN" w:bidi="ar-SA"/>
              </w:rPr>
              <w:t>项目</w:t>
            </w:r>
            <w:r>
              <w:rPr>
                <w:rFonts w:hint="eastAsia" w:ascii="Times New Roman" w:hAnsi="Times New Roman" w:cs="Times New Roman"/>
                <w:b/>
                <w:color w:val="auto"/>
                <w:kern w:val="2"/>
                <w:sz w:val="21"/>
                <w:szCs w:val="21"/>
                <w:lang w:val="en-US" w:eastAsia="zh-CN" w:bidi="ar-SA"/>
              </w:rPr>
              <w:t>燃煤煤质成分</w:t>
            </w:r>
            <w:r>
              <w:rPr>
                <w:rFonts w:hint="eastAsia" w:ascii="Times New Roman" w:hAnsi="Times New Roman" w:eastAsia="宋体" w:cs="Times New Roman"/>
                <w:b/>
                <w:color w:val="auto"/>
                <w:kern w:val="2"/>
                <w:sz w:val="21"/>
                <w:szCs w:val="21"/>
                <w:lang w:val="en-US" w:eastAsia="zh-CN" w:bidi="ar-SA"/>
              </w:rPr>
              <w:t>表</w:t>
            </w:r>
          </w:p>
          <w:tbl>
            <w:tblPr>
              <w:tblStyle w:val="25"/>
              <w:tblpPr w:leftFromText="180" w:rightFromText="180" w:vertAnchor="text" w:horzAnchor="page" w:tblpXSpec="center" w:tblpY="79"/>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029"/>
              <w:gridCol w:w="1407"/>
              <w:gridCol w:w="1495"/>
              <w:gridCol w:w="1607"/>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检验项目</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单位</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收到基ar</w:t>
                  </w:r>
                </w:p>
              </w:tc>
              <w:tc>
                <w:tcPr>
                  <w:tcW w:w="863"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空气干燥基</w:t>
                  </w:r>
                  <w:r>
                    <w:rPr>
                      <w:rFonts w:hint="eastAsia" w:ascii="Times New Roman" w:hAnsi="Times New Roman" w:cs="Times New Roman"/>
                      <w:sz w:val="21"/>
                      <w:szCs w:val="21"/>
                      <w:lang w:val="en-US" w:eastAsia="zh-CN"/>
                    </w:rPr>
                    <w:t>ad</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干燥基d</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干燥无灰基</w:t>
                  </w:r>
                  <w:r>
                    <w:rPr>
                      <w:rFonts w:hint="eastAsia" w:ascii="Times New Roman" w:hAnsi="Times New Roman" w:cs="Times New Roman"/>
                      <w:sz w:val="21"/>
                      <w:szCs w:val="21"/>
                      <w:lang w:val="en-US" w:eastAsia="zh-CN"/>
                    </w:rPr>
                    <w:t>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分析水分（Mda）</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63"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10.23</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全水分（Mt）</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27.9</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灰分（A）</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17.69</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22.02</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24.53</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挥发分（V）</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24.01</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29.89</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33.03</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固定碳（FC）</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30.41</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37.86</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42.17</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全硫（St）</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0.24</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0.30</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0.33</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氢（H）</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2.73</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3.40</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3.79</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弹筒发热量（Qb）</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J</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g</w:t>
                  </w:r>
                </w:p>
              </w:tc>
              <w:tc>
                <w:tcPr>
                  <w:tcW w:w="3649" w:type="pct"/>
                  <w:gridSpan w:val="4"/>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18280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空干基高位发热量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Qgr,ad</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J</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g</w:t>
                  </w:r>
                </w:p>
              </w:tc>
              <w:tc>
                <w:tcPr>
                  <w:tcW w:w="3649" w:type="pct"/>
                  <w:gridSpan w:val="4"/>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18230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Qgr,ad</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cal</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g</w:t>
                  </w:r>
                </w:p>
              </w:tc>
              <w:tc>
                <w:tcPr>
                  <w:tcW w:w="3649" w:type="pct"/>
                  <w:gridSpan w:val="4"/>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收到基低位发热量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Qnet,ar</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J</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g</w:t>
                  </w:r>
                </w:p>
              </w:tc>
              <w:tc>
                <w:tcPr>
                  <w:tcW w:w="3649" w:type="pct"/>
                  <w:gridSpan w:val="4"/>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13437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Qnet,ar</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cal</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g</w:t>
                  </w:r>
                </w:p>
              </w:tc>
              <w:tc>
                <w:tcPr>
                  <w:tcW w:w="3649" w:type="pct"/>
                  <w:gridSpan w:val="4"/>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3213</w:t>
                  </w:r>
                </w:p>
              </w:tc>
            </w:tr>
          </w:tbl>
          <w:p>
            <w:pPr>
              <w:keepNext w:val="0"/>
              <w:keepLines w:val="0"/>
              <w:pageBreakBefore w:val="0"/>
              <w:widowControl w:val="0"/>
              <w:numPr>
                <w:ilvl w:val="0"/>
                <w:numId w:val="5"/>
              </w:numPr>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氧化镁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氧化镁是</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"https://baike.baidu.com/item/%E7%A2%B1%E6%80%A7%E6%B0%A7%E5%8C%96%E7%89%A9?fromModule=lemma_inlink"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碱性氧化物</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具有碱性氧化物的通性，属于胶凝材料。呈白色或灰白色粉末，无臭、无味、无毒，是典型的碱土金属氧化物，化学式MgO。熔点为2852℃，沸点为3600℃，密度为3.58g/cm3（25℃）。溶于酸和铵盐溶液，不溶于酒精。在水中溶解度为0.00062 g/100 mL (0℃)、0.0086 g/100 mL (30℃)。暴露在空气中，容易吸收水分和</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"https://baike.baidu.com/item/%E4%BA%8C%E6%B0%A7%E5%8C%96%E7%A2%B3/349143?fromModule=lemma_inlink"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二氧化碳</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而逐渐成为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"https://baike.baidu.com/item/%E7%A2%B1%E5%BC%8F%E7%A2%B3%E9%85%B8%E9%95%81?fromModule=lemma_inlink"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碱式碳酸镁</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，轻质品较重质品更快，与水结合在一定条件下生成</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"https://baike.baidu.com/item/%E6%B0%A2%E6%B0%A7%E5%8C%96%E9%95%81?fromModule=lemma_inlink"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氢氧化镁</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，呈微碱性反应，饱和水溶液的pH为10.3。溶于酸和</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"https://baike.baidu.com/item/%E9%93%B5%E7%9B%90?fromModule=lemma_inlink"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铵盐</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难溶于水，其溶液呈碱性。不溶于乙醇。在可见和近紫外光范围内有强折射性。</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"https://baike.baidu.com/item/%E8%8F%B1%E9%95%81%E7%9F%BF/689626?fromModule=lemma_inlink"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菱镁矿</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（MgCO</w:t>
            </w:r>
            <w:r>
              <w:rPr>
                <w:rFonts w:hint="eastAsia" w:ascii="Times New Roman" w:hAnsi="Times New Roman" w:eastAsia="宋体" w:cs="Times New Roman"/>
                <w:b w:val="0"/>
                <w:bCs/>
                <w:color w:val="000000" w:themeColor="text1"/>
                <w:sz w:val="24"/>
                <w:vertAlign w:val="sub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"https://baike.baidu.com/item/%E7%99%BD%E4%BA%91%E7%9F%B3/723636?fromModule=lemma_inlink"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白云石</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（MgCO</w:t>
            </w:r>
            <w:r>
              <w:rPr>
                <w:rFonts w:hint="eastAsia" w:ascii="Times New Roman" w:hAnsi="Times New Roman" w:eastAsia="宋体" w:cs="Times New Roman"/>
                <w:b w:val="0"/>
                <w:bCs/>
                <w:color w:val="000000" w:themeColor="text1"/>
                <w:sz w:val="24"/>
                <w:vertAlign w:val="sub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·CaCO</w:t>
            </w:r>
            <w:r>
              <w:rPr>
                <w:rFonts w:hint="eastAsia" w:ascii="Times New Roman" w:hAnsi="Times New Roman" w:eastAsia="宋体" w:cs="Times New Roman"/>
                <w:b w:val="0"/>
                <w:bCs/>
                <w:color w:val="000000" w:themeColor="text1"/>
                <w:sz w:val="24"/>
                <w:vertAlign w:val="sub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）和海水是生产氧化镁的主要原料。热分解菱镁矿或白云石得氧化镁。用消石灰处理海水得</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"https://baike.baidu.com/item/%E6%B0%A2%E6%B0%A7%E5%8C%96%E9%95%81/3422075?fromModule=lemma_inlink"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氢氧化镁</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沉淀，灼烧氢氧化镁得氧化镁。也可用海水综合利用中得到的氯化镁卤块或提溴后的卤水为原料，加氢氧化钠或碳酸钠等生成氢氧化镁或碱式碳酸镁沉淀，再灼烧得氧化镁。中国主要采用以菱镁矿、白云石、卤水或卤块为原料。</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cs="Times New Roman"/>
                <w:b/>
                <w:sz w:val="24"/>
              </w:rPr>
            </w:pPr>
            <w:r>
              <w:rPr>
                <w:rFonts w:hint="eastAsia" w:ascii="Times New Roman" w:hAnsi="Times New Roman" w:cs="Times New Roman"/>
                <w:b/>
                <w:sz w:val="24"/>
                <w:lang w:val="en-US" w:eastAsia="zh-CN"/>
              </w:rPr>
              <w:t>3</w:t>
            </w:r>
            <w:r>
              <w:rPr>
                <w:rFonts w:ascii="Times New Roman" w:hAnsi="Times New Roman" w:cs="Times New Roman"/>
                <w:b/>
                <w:sz w:val="24"/>
              </w:rPr>
              <w:t>、</w:t>
            </w:r>
            <w:r>
              <w:rPr>
                <w:rFonts w:hint="eastAsia" w:ascii="Times New Roman" w:hAnsi="Times New Roman" w:cs="Times New Roman"/>
                <w:b/>
                <w:sz w:val="24"/>
              </w:rPr>
              <w:t>主要生产设施及设施参数</w:t>
            </w:r>
          </w:p>
          <w:p>
            <w:pPr>
              <w:adjustRightInd w:val="0"/>
              <w:snapToGrid w:val="0"/>
              <w:spacing w:line="360" w:lineRule="auto"/>
              <w:ind w:firstLine="480" w:firstLineChars="200"/>
              <w:rPr>
                <w:rFonts w:hint="eastAsia"/>
                <w:lang w:eastAsia="zh-CN"/>
              </w:rPr>
            </w:pPr>
            <w:r>
              <w:rPr>
                <w:rFonts w:hint="eastAsia" w:ascii="Times New Roman" w:hAnsi="Times New Roman" w:cs="Times New Roman"/>
                <w:sz w:val="24"/>
              </w:rPr>
              <w:t>主要生产设备见下表</w:t>
            </w:r>
            <w:r>
              <w:rPr>
                <w:rFonts w:hint="eastAsia" w:ascii="Times New Roman" w:hAnsi="Times New Roman" w:cs="Times New Roman"/>
                <w:sz w:val="24"/>
                <w:lang w:eastAsia="zh-CN"/>
              </w:rPr>
              <w:t>：</w:t>
            </w:r>
          </w:p>
          <w:p>
            <w:pPr>
              <w:adjustRightInd w:val="0"/>
              <w:snapToGrid w:val="0"/>
              <w:spacing w:line="360" w:lineRule="auto"/>
              <w:jc w:val="center"/>
              <w:rPr>
                <w:rFonts w:ascii="Times New Roman" w:hAnsi="Times New Roman" w:cs="Times New Roman"/>
                <w:sz w:val="24"/>
              </w:rPr>
            </w:pPr>
            <w:r>
              <w:rPr>
                <w:rFonts w:ascii="Times New Roman" w:hAnsi="Times New Roman" w:cs="Times New Roman"/>
                <w:b/>
                <w:bCs/>
                <w:szCs w:val="21"/>
              </w:rPr>
              <w:t>表</w:t>
            </w:r>
            <w:r>
              <w:rPr>
                <w:rFonts w:hint="eastAsia" w:ascii="Times New Roman" w:hAnsi="Times New Roman" w:cs="Times New Roman"/>
                <w:b/>
                <w:bCs/>
                <w:szCs w:val="21"/>
              </w:rPr>
              <w:t>2-</w:t>
            </w:r>
            <w:r>
              <w:rPr>
                <w:rFonts w:hint="eastAsia" w:ascii="Times New Roman" w:hAnsi="Times New Roman" w:cs="Times New Roman"/>
                <w:b/>
                <w:bCs/>
                <w:szCs w:val="21"/>
                <w:lang w:val="en-US" w:eastAsia="zh-CN"/>
              </w:rPr>
              <w:t>5</w:t>
            </w:r>
            <w:r>
              <w:rPr>
                <w:rFonts w:ascii="Times New Roman" w:hAnsi="Times New Roman" w:cs="Times New Roman"/>
                <w:b/>
                <w:bCs/>
                <w:szCs w:val="21"/>
              </w:rPr>
              <w:t xml:space="preserve">  </w:t>
            </w:r>
            <w:r>
              <w:rPr>
                <w:rFonts w:hint="eastAsia" w:ascii="Times New Roman" w:hAnsi="Times New Roman" w:cs="Times New Roman"/>
                <w:b/>
                <w:bCs/>
                <w:szCs w:val="21"/>
              </w:rPr>
              <w:t>主要生产设施</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042"/>
              <w:gridCol w:w="1833"/>
              <w:gridCol w:w="3033"/>
              <w:gridCol w:w="915"/>
              <w:gridCol w:w="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66" w:type="pct"/>
                  <w:vAlign w:val="center"/>
                </w:tcPr>
                <w:p>
                  <w:pPr>
                    <w:jc w:val="center"/>
                    <w:rPr>
                      <w:rFonts w:ascii="Times New Roman" w:hAnsi="Times New Roman" w:cs="Times New Roman"/>
                      <w:b/>
                      <w:bCs/>
                      <w:szCs w:val="21"/>
                    </w:rPr>
                  </w:pPr>
                  <w:r>
                    <w:rPr>
                      <w:rFonts w:hint="eastAsia" w:ascii="Times New Roman" w:hAnsi="Times New Roman" w:cs="Times New Roman"/>
                      <w:b/>
                      <w:bCs/>
                      <w:szCs w:val="21"/>
                    </w:rPr>
                    <w:t>生产单元</w:t>
                  </w:r>
                </w:p>
              </w:tc>
              <w:tc>
                <w:tcPr>
                  <w:tcW w:w="600" w:type="pct"/>
                  <w:vAlign w:val="center"/>
                </w:tcPr>
                <w:p>
                  <w:pPr>
                    <w:widowControl/>
                    <w:snapToGrid w:val="0"/>
                    <w:jc w:val="center"/>
                    <w:rPr>
                      <w:rFonts w:hint="default" w:ascii="Times New Roman" w:hAnsi="Times New Roman" w:cs="Times New Roman" w:eastAsiaTheme="minorEastAsia"/>
                      <w:b/>
                      <w:bCs/>
                      <w:kern w:val="0"/>
                      <w:szCs w:val="21"/>
                      <w:lang w:val="en-US" w:eastAsia="zh-CN"/>
                    </w:rPr>
                  </w:pPr>
                  <w:r>
                    <w:rPr>
                      <w:rFonts w:hint="eastAsia" w:ascii="Times New Roman" w:hAnsi="Times New Roman" w:cs="Times New Roman"/>
                      <w:b/>
                      <w:bCs/>
                      <w:kern w:val="0"/>
                      <w:szCs w:val="21"/>
                      <w:lang w:val="en-US" w:eastAsia="zh-CN"/>
                    </w:rPr>
                    <w:t>主要工艺</w:t>
                  </w:r>
                </w:p>
              </w:tc>
              <w:tc>
                <w:tcPr>
                  <w:tcW w:w="1057" w:type="pct"/>
                  <w:vAlign w:val="center"/>
                </w:tcPr>
                <w:p>
                  <w:pPr>
                    <w:widowControl/>
                    <w:snapToGrid w:val="0"/>
                    <w:jc w:val="center"/>
                    <w:rPr>
                      <w:rFonts w:ascii="Times New Roman" w:hAnsi="Times New Roman" w:cs="Times New Roman"/>
                      <w:b/>
                      <w:bCs/>
                      <w:szCs w:val="21"/>
                    </w:rPr>
                  </w:pPr>
                  <w:r>
                    <w:rPr>
                      <w:rFonts w:hint="eastAsia" w:ascii="Times New Roman" w:hAnsi="Times New Roman" w:cs="Times New Roman"/>
                      <w:b/>
                      <w:bCs/>
                      <w:kern w:val="0"/>
                      <w:szCs w:val="21"/>
                    </w:rPr>
                    <w:t>主要生产设施</w:t>
                  </w:r>
                </w:p>
              </w:tc>
              <w:tc>
                <w:tcPr>
                  <w:tcW w:w="1749" w:type="pct"/>
                  <w:vAlign w:val="center"/>
                </w:tcPr>
                <w:p>
                  <w:pPr>
                    <w:widowControl/>
                    <w:snapToGrid w:val="0"/>
                    <w:jc w:val="center"/>
                    <w:rPr>
                      <w:rFonts w:ascii="Times New Roman" w:hAnsi="Times New Roman" w:cs="Times New Roman"/>
                      <w:b/>
                      <w:bCs/>
                      <w:szCs w:val="21"/>
                    </w:rPr>
                  </w:pPr>
                  <w:r>
                    <w:rPr>
                      <w:rFonts w:hint="eastAsia" w:ascii="Times New Roman" w:hAnsi="Times New Roman" w:cs="Times New Roman"/>
                      <w:b/>
                      <w:bCs/>
                      <w:kern w:val="0"/>
                      <w:szCs w:val="21"/>
                    </w:rPr>
                    <w:t>设施参数</w:t>
                  </w:r>
                </w:p>
              </w:tc>
              <w:tc>
                <w:tcPr>
                  <w:tcW w:w="527" w:type="pct"/>
                  <w:vAlign w:val="center"/>
                </w:tcPr>
                <w:p>
                  <w:pPr>
                    <w:widowControl/>
                    <w:snapToGrid w:val="0"/>
                    <w:jc w:val="center"/>
                    <w:rPr>
                      <w:rFonts w:ascii="Times New Roman" w:hAnsi="Times New Roman" w:cs="Times New Roman"/>
                      <w:b/>
                      <w:bCs/>
                      <w:szCs w:val="21"/>
                    </w:rPr>
                  </w:pPr>
                  <w:r>
                    <w:rPr>
                      <w:rFonts w:ascii="Times New Roman" w:hAnsi="Times New Roman" w:cs="Times New Roman"/>
                      <w:b/>
                      <w:bCs/>
                      <w:kern w:val="0"/>
                      <w:szCs w:val="21"/>
                    </w:rPr>
                    <w:t>数量（台/套）</w:t>
                  </w:r>
                </w:p>
              </w:tc>
              <w:tc>
                <w:tcPr>
                  <w:tcW w:w="298" w:type="pct"/>
                  <w:vAlign w:val="center"/>
                </w:tcPr>
                <w:p>
                  <w:pPr>
                    <w:widowControl/>
                    <w:snapToGrid w:val="0"/>
                    <w:jc w:val="center"/>
                    <w:rPr>
                      <w:rFonts w:hint="eastAsia" w:ascii="Times New Roman" w:hAnsi="Times New Roman" w:cs="Times New Roman" w:eastAsiaTheme="minorEastAsia"/>
                      <w:b/>
                      <w:bCs/>
                      <w:kern w:val="0"/>
                      <w:szCs w:val="21"/>
                      <w:lang w:eastAsia="zh-CN"/>
                    </w:rPr>
                  </w:pPr>
                  <w:r>
                    <w:rPr>
                      <w:rFonts w:hint="eastAsia" w:ascii="Times New Roman" w:hAnsi="Times New Roman" w:cs="Times New Roman"/>
                      <w:b/>
                      <w:bCs/>
                      <w:kern w:val="0"/>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锅炉主体</w:t>
                  </w:r>
                </w:p>
              </w:tc>
              <w:tc>
                <w:tcPr>
                  <w:tcW w:w="600" w:type="pct"/>
                  <w:vMerge w:val="restart"/>
                  <w:vAlign w:val="center"/>
                </w:tcPr>
                <w:p>
                  <w:pPr>
                    <w:widowControl/>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锅炉</w:t>
                  </w:r>
                </w:p>
              </w:tc>
              <w:tc>
                <w:tcPr>
                  <w:tcW w:w="1057" w:type="pct"/>
                  <w:vAlign w:val="center"/>
                </w:tcPr>
                <w:p>
                  <w:pPr>
                    <w:widowControl/>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循环流化床</w:t>
                  </w:r>
                </w:p>
              </w:tc>
              <w:tc>
                <w:tcPr>
                  <w:tcW w:w="1749" w:type="pct"/>
                  <w:vAlign w:val="center"/>
                </w:tcPr>
                <w:p>
                  <w:pPr>
                    <w:widowControl/>
                    <w:snapToGrid w:val="0"/>
                    <w:jc w:val="center"/>
                    <w:rPr>
                      <w:rFonts w:ascii="Times New Roman" w:hAnsi="Times New Roman" w:cs="Times New Roman"/>
                      <w:bCs/>
                      <w:szCs w:val="21"/>
                    </w:rPr>
                  </w:pPr>
                  <w:r>
                    <w:rPr>
                      <w:rFonts w:hint="default" w:ascii="Times New Roman" w:hAnsi="Times New Roman" w:cs="Times New Roman"/>
                      <w:color w:val="auto"/>
                      <w:sz w:val="21"/>
                      <w:szCs w:val="21"/>
                      <w:lang w:val="en-US" w:eastAsia="zh-CN"/>
                    </w:rPr>
                    <w:t>40t/h</w:t>
                  </w:r>
                </w:p>
              </w:tc>
              <w:tc>
                <w:tcPr>
                  <w:tcW w:w="527" w:type="pct"/>
                  <w:vAlign w:val="center"/>
                </w:tcPr>
                <w:p>
                  <w:pPr>
                    <w:widowControl/>
                    <w:snapToGrid w:val="0"/>
                    <w:jc w:val="center"/>
                    <w:rPr>
                      <w:rFonts w:ascii="Times New Roman" w:hAnsi="Times New Roman" w:cs="Times New Roman"/>
                      <w:bCs/>
                      <w:szCs w:val="21"/>
                    </w:rPr>
                  </w:pPr>
                  <w:r>
                    <w:rPr>
                      <w:rFonts w:hint="eastAsia" w:ascii="Times New Roman" w:hAnsi="Times New Roman" w:cs="Times New Roman"/>
                      <w:bCs/>
                      <w:szCs w:val="21"/>
                    </w:rPr>
                    <w:t>1</w:t>
                  </w:r>
                </w:p>
              </w:tc>
              <w:tc>
                <w:tcPr>
                  <w:tcW w:w="298" w:type="pct"/>
                  <w:vAlign w:val="center"/>
                </w:tcPr>
                <w:p>
                  <w:pPr>
                    <w:widowControl/>
                    <w:snapToGrid w:val="0"/>
                    <w:jc w:val="center"/>
                    <w:rPr>
                      <w:rFonts w:hint="eastAsia"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hint="eastAsia" w:ascii="Times New Roman" w:hAnsi="Times New Roman" w:cs="Times New Roman"/>
                      <w:szCs w:val="21"/>
                      <w:lang w:eastAsia="zh-CN"/>
                    </w:rPr>
                  </w:pPr>
                </w:p>
              </w:tc>
              <w:tc>
                <w:tcPr>
                  <w:tcW w:w="600" w:type="pct"/>
                  <w:vMerge w:val="continue"/>
                  <w:vAlign w:val="center"/>
                </w:tcPr>
                <w:p>
                  <w:pPr>
                    <w:widowControl/>
                    <w:jc w:val="center"/>
                    <w:rPr>
                      <w:rFonts w:hint="eastAsia" w:ascii="Times New Roman" w:hAnsi="Times New Roman" w:cs="Times New Roman"/>
                      <w:kern w:val="0"/>
                      <w:szCs w:val="21"/>
                      <w:lang w:val="en-US" w:eastAsia="zh-CN"/>
                    </w:rPr>
                  </w:pPr>
                </w:p>
              </w:tc>
              <w:tc>
                <w:tcPr>
                  <w:tcW w:w="1057" w:type="pct"/>
                  <w:vAlign w:val="center"/>
                </w:tcPr>
                <w:p>
                  <w:pPr>
                    <w:jc w:val="center"/>
                    <w:rPr>
                      <w:rFonts w:hint="default" w:ascii="Times New Roman" w:hAnsi="Times New Roman" w:cs="Times New Roman" w:eastAsiaTheme="minorEastAsia"/>
                      <w:bCs/>
                      <w:kern w:val="2"/>
                      <w:sz w:val="21"/>
                      <w:szCs w:val="21"/>
                      <w:lang w:val="en-US" w:eastAsia="zh-CN" w:bidi="ar-SA"/>
                    </w:rPr>
                  </w:pPr>
                  <w:r>
                    <w:rPr>
                      <w:rFonts w:hint="eastAsia" w:ascii="Times New Roman" w:hAnsi="Times New Roman" w:cs="Times New Roman"/>
                      <w:szCs w:val="21"/>
                      <w:lang w:eastAsia="zh-CN"/>
                    </w:rPr>
                    <w:t>生物质锅炉</w:t>
                  </w:r>
                </w:p>
              </w:tc>
              <w:tc>
                <w:tcPr>
                  <w:tcW w:w="1749" w:type="pct"/>
                  <w:vAlign w:val="center"/>
                </w:tcPr>
                <w:p>
                  <w:pPr>
                    <w:widowControl/>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 xml:space="preserve">20t/h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szCs w:val="21"/>
                      <w:lang w:val="en-US" w:eastAsia="zh-CN"/>
                    </w:rPr>
                    <w:t>SHX20-2.5-H</w:t>
                  </w:r>
                </w:p>
              </w:tc>
              <w:tc>
                <w:tcPr>
                  <w:tcW w:w="527" w:type="pct"/>
                  <w:vAlign w:val="center"/>
                </w:tcPr>
                <w:p>
                  <w:pPr>
                    <w:widowControl/>
                    <w:snapToGrid w:val="0"/>
                    <w:jc w:val="center"/>
                    <w:rPr>
                      <w:rFonts w:hint="eastAsia" w:ascii="Times New Roman" w:hAnsi="Times New Roman" w:cs="Times New Roman" w:eastAsiaTheme="minorEastAsia"/>
                      <w:bCs/>
                      <w:kern w:val="2"/>
                      <w:sz w:val="21"/>
                      <w:szCs w:val="21"/>
                      <w:lang w:val="en-US" w:eastAsia="zh-CN" w:bidi="ar-SA"/>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eastAsia="zh-CN"/>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水处理及给水系统</w:t>
                  </w:r>
                </w:p>
              </w:tc>
              <w:tc>
                <w:tcPr>
                  <w:tcW w:w="600" w:type="pct"/>
                  <w:vMerge w:val="restart"/>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水处理</w:t>
                  </w: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锅炉给水泵</w:t>
                  </w:r>
                </w:p>
              </w:tc>
              <w:tc>
                <w:tcPr>
                  <w:tcW w:w="1749" w:type="pct"/>
                  <w:vAlign w:val="center"/>
                </w:tcPr>
                <w:p>
                  <w:pPr>
                    <w:widowControl/>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eastAsia="zh-CN"/>
                    </w:rPr>
                    <w:t>型号</w:t>
                  </w:r>
                  <w:r>
                    <w:rPr>
                      <w:rFonts w:hint="eastAsia" w:ascii="Times New Roman" w:hAnsi="Times New Roman" w:cs="Times New Roman"/>
                      <w:szCs w:val="21"/>
                      <w:lang w:val="en-US" w:eastAsia="zh-CN"/>
                    </w:rPr>
                    <w:t>DG46-50*7,2950r</w:t>
                  </w:r>
                  <w:r>
                    <w:rPr>
                      <w:rFonts w:hint="eastAsia" w:ascii="Times New Roman" w:hAnsi="Times New Roman" w:cs="Times New Roman"/>
                      <w:bCs/>
                      <w:szCs w:val="21"/>
                    </w:rPr>
                    <w:t>/</w:t>
                  </w:r>
                  <w:r>
                    <w:rPr>
                      <w:rFonts w:hint="eastAsia" w:ascii="Times New Roman" w:hAnsi="Times New Roman" w:cs="Times New Roman"/>
                      <w:bCs/>
                      <w:szCs w:val="21"/>
                      <w:lang w:val="en-US" w:eastAsia="zh-CN"/>
                    </w:rPr>
                    <w:t>min</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单级反渗透水处理系统</w:t>
                  </w:r>
                </w:p>
              </w:tc>
              <w:tc>
                <w:tcPr>
                  <w:tcW w:w="1749" w:type="pct"/>
                  <w:vAlign w:val="center"/>
                </w:tcPr>
                <w:p>
                  <w:pPr>
                    <w:jc w:val="center"/>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处理能力≥</w:t>
                  </w:r>
                  <w:r>
                    <w:rPr>
                      <w:rFonts w:hint="default" w:ascii="Times New Roman" w:hAnsi="Times New Roman" w:cs="Times New Roman"/>
                      <w:color w:val="auto"/>
                      <w:sz w:val="21"/>
                      <w:szCs w:val="21"/>
                      <w:lang w:val="en-US" w:eastAsia="zh-CN"/>
                    </w:rPr>
                    <w:t>40t/h</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离子交换法制备软化水设备</w:t>
                  </w:r>
                </w:p>
              </w:tc>
              <w:tc>
                <w:tcPr>
                  <w:tcW w:w="1749" w:type="pct"/>
                  <w:vAlign w:val="center"/>
                </w:tcPr>
                <w:p>
                  <w:pPr>
                    <w:jc w:val="center"/>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w:t>
                  </w:r>
                </w:p>
              </w:tc>
              <w:tc>
                <w:tcPr>
                  <w:tcW w:w="298" w:type="pct"/>
                  <w:vAlign w:val="center"/>
                </w:tcPr>
                <w:p>
                  <w:pPr>
                    <w:widowControl/>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烟风系统</w:t>
                  </w:r>
                </w:p>
              </w:tc>
              <w:tc>
                <w:tcPr>
                  <w:tcW w:w="600" w:type="pct"/>
                  <w:vMerge w:val="restar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烟风</w:t>
                  </w: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一次风机</w:t>
                  </w:r>
                </w:p>
              </w:tc>
              <w:tc>
                <w:tcPr>
                  <w:tcW w:w="1749" w:type="pct"/>
                  <w:vAlign w:val="center"/>
                </w:tcPr>
                <w:p>
                  <w:pPr>
                    <w:widowControl/>
                    <w:snapToGrid w:val="0"/>
                    <w:jc w:val="center"/>
                    <w:rPr>
                      <w:rFonts w:ascii="Times New Roman" w:hAnsi="Times New Roman" w:cs="Times New Roman"/>
                      <w:bCs/>
                      <w:szCs w:val="21"/>
                    </w:rPr>
                  </w:pPr>
                  <w:r>
                    <w:rPr>
                      <w:rFonts w:hint="eastAsia" w:ascii="Times New Roman" w:hAnsi="Times New Roman" w:cs="Times New Roman"/>
                      <w:bCs/>
                      <w:szCs w:val="21"/>
                    </w:rPr>
                    <w:t>/</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二次风机</w:t>
                  </w:r>
                </w:p>
              </w:tc>
              <w:tc>
                <w:tcPr>
                  <w:tcW w:w="1749" w:type="pct"/>
                  <w:vAlign w:val="center"/>
                </w:tcPr>
                <w:p>
                  <w:pPr>
                    <w:widowControl/>
                    <w:snapToGrid w:val="0"/>
                    <w:jc w:val="center"/>
                    <w:rPr>
                      <w:rFonts w:ascii="Times New Roman" w:hAnsi="Times New Roman" w:cs="Times New Roman"/>
                      <w:szCs w:val="21"/>
                    </w:rPr>
                  </w:pPr>
                  <w:r>
                    <w:rPr>
                      <w:rFonts w:hint="eastAsia" w:ascii="Times New Roman" w:hAnsi="Times New Roman" w:cs="Times New Roman"/>
                      <w:bCs/>
                      <w:szCs w:val="21"/>
                    </w:rPr>
                    <w:t>/</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返料风机</w:t>
                  </w:r>
                </w:p>
              </w:tc>
              <w:tc>
                <w:tcPr>
                  <w:tcW w:w="1749" w:type="pct"/>
                  <w:vAlign w:val="center"/>
                </w:tcPr>
                <w:p>
                  <w:pPr>
                    <w:widowControl/>
                    <w:snapToGrid w:val="0"/>
                    <w:jc w:val="center"/>
                    <w:rPr>
                      <w:rFonts w:ascii="Times New Roman" w:hAnsi="Times New Roman" w:cs="Times New Roman"/>
                      <w:szCs w:val="21"/>
                    </w:rPr>
                  </w:pPr>
                  <w:r>
                    <w:rPr>
                      <w:rFonts w:hint="eastAsia" w:ascii="Times New Roman" w:hAnsi="Times New Roman" w:cs="Times New Roman"/>
                      <w:bCs/>
                      <w:szCs w:val="21"/>
                    </w:rPr>
                    <w:t>/</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引风机</w:t>
                  </w:r>
                </w:p>
              </w:tc>
              <w:tc>
                <w:tcPr>
                  <w:tcW w:w="1749" w:type="pct"/>
                  <w:vAlign w:val="center"/>
                </w:tcPr>
                <w:p>
                  <w:pPr>
                    <w:widowControl/>
                    <w:snapToGrid w:val="0"/>
                    <w:jc w:val="center"/>
                    <w:rPr>
                      <w:rFonts w:ascii="Times New Roman" w:hAnsi="Times New Roman" w:cs="Times New Roman"/>
                      <w:szCs w:val="21"/>
                    </w:rPr>
                  </w:pPr>
                  <w:r>
                    <w:rPr>
                      <w:rFonts w:hint="eastAsia" w:ascii="Times New Roman" w:hAnsi="Times New Roman" w:cs="Times New Roman"/>
                      <w:szCs w:val="21"/>
                    </w:rPr>
                    <w:t>42315Nm</w:t>
                  </w:r>
                  <w:r>
                    <w:rPr>
                      <w:rFonts w:hint="eastAsia" w:ascii="Times New Roman" w:hAnsi="Times New Roman" w:cs="Times New Roman"/>
                      <w:szCs w:val="21"/>
                      <w:vertAlign w:val="superscript"/>
                    </w:rPr>
                    <w:t>3</w:t>
                  </w:r>
                  <w:r>
                    <w:rPr>
                      <w:rFonts w:hint="eastAsia" w:ascii="Times New Roman" w:hAnsi="Times New Roman" w:cs="Times New Roman"/>
                      <w:szCs w:val="21"/>
                    </w:rPr>
                    <w:t>/h</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制煤系统</w:t>
                  </w:r>
                </w:p>
              </w:tc>
              <w:tc>
                <w:tcPr>
                  <w:tcW w:w="600" w:type="pct"/>
                  <w:vMerge w:val="restar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制煤</w:t>
                  </w:r>
                </w:p>
              </w:tc>
              <w:tc>
                <w:tcPr>
                  <w:tcW w:w="1057" w:type="pct"/>
                  <w:vAlign w:val="center"/>
                </w:tcPr>
                <w:p>
                  <w:pPr>
                    <w:jc w:val="center"/>
                    <w:rPr>
                      <w:rFonts w:ascii="Times New Roman" w:hAnsi="Times New Roman" w:cs="Times New Roman"/>
                      <w:bCs/>
                      <w:szCs w:val="21"/>
                    </w:rPr>
                  </w:pPr>
                  <w:r>
                    <w:rPr>
                      <w:rFonts w:hint="eastAsia" w:ascii="Times New Roman" w:hAnsi="Times New Roman" w:cs="Times New Roman"/>
                      <w:bCs/>
                      <w:szCs w:val="21"/>
                      <w:lang w:val="en-US" w:eastAsia="zh-CN"/>
                    </w:rPr>
                    <w:t>磁辊式</w:t>
                  </w:r>
                  <w:r>
                    <w:rPr>
                      <w:rFonts w:hint="default" w:ascii="Times New Roman" w:hAnsi="Times New Roman" w:cs="Times New Roman"/>
                      <w:bCs/>
                      <w:szCs w:val="21"/>
                      <w:lang w:val="en-US" w:eastAsia="zh-CN"/>
                    </w:rPr>
                    <w:t>破碎机</w:t>
                  </w:r>
                </w:p>
              </w:tc>
              <w:tc>
                <w:tcPr>
                  <w:tcW w:w="1749" w:type="pct"/>
                  <w:vAlign w:val="center"/>
                </w:tcPr>
                <w:p>
                  <w:pPr>
                    <w:widowControl/>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产量60-80t</w:t>
                  </w:r>
                  <w:r>
                    <w:rPr>
                      <w:rFonts w:hint="eastAsia" w:ascii="Times New Roman" w:hAnsi="Times New Roman" w:cs="Times New Roman"/>
                      <w:bCs/>
                      <w:szCs w:val="21"/>
                    </w:rPr>
                    <w:t>/</w:t>
                  </w:r>
                  <w:r>
                    <w:rPr>
                      <w:rFonts w:hint="eastAsia" w:ascii="Times New Roman" w:hAnsi="Times New Roman" w:cs="Times New Roman"/>
                      <w:bCs/>
                      <w:szCs w:val="21"/>
                      <w:lang w:val="en-US" w:eastAsia="zh-CN"/>
                    </w:rPr>
                    <w:t>h</w:t>
                  </w:r>
                </w:p>
              </w:tc>
              <w:tc>
                <w:tcPr>
                  <w:tcW w:w="527" w:type="pct"/>
                  <w:vAlign w:val="center"/>
                </w:tcPr>
                <w:p>
                  <w:pPr>
                    <w:widowControl/>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hint="default" w:ascii="Times New Roman" w:hAnsi="Times New Roman" w:cs="Times New Roman"/>
                      <w:szCs w:val="21"/>
                      <w:lang w:val="en-US" w:eastAsia="zh-CN"/>
                    </w:rPr>
                  </w:pPr>
                </w:p>
              </w:tc>
              <w:tc>
                <w:tcPr>
                  <w:tcW w:w="600" w:type="pct"/>
                  <w:vMerge w:val="continue"/>
                  <w:vAlign w:val="center"/>
                </w:tcPr>
                <w:p>
                  <w:pPr>
                    <w:jc w:val="center"/>
                    <w:rPr>
                      <w:rFonts w:hint="eastAsia" w:ascii="Times New Roman" w:hAnsi="Times New Roman" w:cs="Times New Roman"/>
                      <w:szCs w:val="21"/>
                      <w:lang w:val="en-US" w:eastAsia="zh-CN"/>
                    </w:rPr>
                  </w:pPr>
                </w:p>
              </w:tc>
              <w:tc>
                <w:tcPr>
                  <w:tcW w:w="1057" w:type="pct"/>
                  <w:vAlign w:val="center"/>
                </w:tcPr>
                <w:p>
                  <w:pPr>
                    <w:jc w:val="center"/>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脉冲布袋除尘器</w:t>
                  </w:r>
                </w:p>
              </w:tc>
              <w:tc>
                <w:tcPr>
                  <w:tcW w:w="1749" w:type="pct"/>
                  <w:vAlign w:val="center"/>
                </w:tcPr>
                <w:p>
                  <w:pPr>
                    <w:widowControl/>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w:t>
                  </w:r>
                </w:p>
              </w:tc>
              <w:tc>
                <w:tcPr>
                  <w:tcW w:w="527" w:type="pct"/>
                  <w:vAlign w:val="center"/>
                </w:tcPr>
                <w:p>
                  <w:pPr>
                    <w:widowControl/>
                    <w:snapToGrid w:val="0"/>
                    <w:jc w:val="center"/>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输煤给煤系统</w:t>
                  </w:r>
                </w:p>
              </w:tc>
              <w:tc>
                <w:tcPr>
                  <w:tcW w:w="600" w:type="pc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输煤给煤系统</w:t>
                  </w:r>
                </w:p>
              </w:tc>
              <w:tc>
                <w:tcPr>
                  <w:tcW w:w="1057" w:type="pct"/>
                  <w:vAlign w:val="center"/>
                </w:tcPr>
                <w:p>
                  <w:pPr>
                    <w:jc w:val="center"/>
                    <w:rPr>
                      <w:rFonts w:ascii="Times New Roman" w:hAnsi="Times New Roman" w:cs="Times New Roman"/>
                      <w:bCs/>
                      <w:szCs w:val="21"/>
                    </w:rPr>
                  </w:pPr>
                  <w:r>
                    <w:rPr>
                      <w:rFonts w:hint="default" w:ascii="Times New Roman" w:hAnsi="Times New Roman" w:cs="Times New Roman"/>
                      <w:bCs/>
                      <w:szCs w:val="21"/>
                      <w:lang w:val="en-US" w:eastAsia="zh-CN"/>
                    </w:rPr>
                    <w:t>称重密封皮带给煤机</w:t>
                  </w:r>
                </w:p>
              </w:tc>
              <w:tc>
                <w:tcPr>
                  <w:tcW w:w="1749" w:type="pct"/>
                  <w:vAlign w:val="center"/>
                </w:tcPr>
                <w:p>
                  <w:pPr>
                    <w:widowControl/>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4.5m，4kw</w:t>
                  </w:r>
                </w:p>
              </w:tc>
              <w:tc>
                <w:tcPr>
                  <w:tcW w:w="527" w:type="pct"/>
                  <w:vAlign w:val="center"/>
                </w:tcPr>
                <w:p>
                  <w:pPr>
                    <w:widowControl/>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2</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除灰渣系统</w:t>
                  </w:r>
                </w:p>
              </w:tc>
              <w:tc>
                <w:tcPr>
                  <w:tcW w:w="600" w:type="pct"/>
                  <w:vMerge w:val="restar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除灰渣</w:t>
                  </w: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滚筒多管风水式冷渣机</w:t>
                  </w:r>
                </w:p>
              </w:tc>
              <w:tc>
                <w:tcPr>
                  <w:tcW w:w="1749" w:type="pct"/>
                  <w:vAlign w:val="center"/>
                </w:tcPr>
                <w:p>
                  <w:pPr>
                    <w:widowControl/>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eastAsia="zh-CN"/>
                    </w:rPr>
                    <w:t>功率</w:t>
                  </w:r>
                  <w:r>
                    <w:rPr>
                      <w:rFonts w:hint="eastAsia" w:ascii="Times New Roman" w:hAnsi="Times New Roman" w:cs="Times New Roman"/>
                      <w:szCs w:val="21"/>
                      <w:lang w:val="en-US" w:eastAsia="zh-CN"/>
                    </w:rPr>
                    <w:t>11KW</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冷渣机冷却循环泵</w:t>
                  </w:r>
                </w:p>
              </w:tc>
              <w:tc>
                <w:tcPr>
                  <w:tcW w:w="1749" w:type="pct"/>
                  <w:vAlign w:val="center"/>
                </w:tcPr>
                <w:p>
                  <w:pPr>
                    <w:widowControl/>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KQL65</w:t>
                  </w:r>
                  <w:r>
                    <w:rPr>
                      <w:rFonts w:hint="eastAsia" w:ascii="Times New Roman" w:hAnsi="Times New Roman" w:cs="Times New Roman"/>
                      <w:bCs/>
                      <w:szCs w:val="21"/>
                    </w:rPr>
                    <w:t>/</w:t>
                  </w:r>
                  <w:r>
                    <w:rPr>
                      <w:rFonts w:hint="eastAsia" w:ascii="Times New Roman" w:hAnsi="Times New Roman" w:cs="Times New Roman"/>
                      <w:bCs/>
                      <w:szCs w:val="21"/>
                      <w:lang w:val="en-US" w:eastAsia="zh-CN"/>
                    </w:rPr>
                    <w:t>150-4</w:t>
                  </w:r>
                  <w:r>
                    <w:rPr>
                      <w:rFonts w:hint="eastAsia" w:ascii="Times New Roman" w:hAnsi="Times New Roman" w:cs="Times New Roman"/>
                      <w:bCs/>
                      <w:szCs w:val="21"/>
                    </w:rPr>
                    <w:t>/</w:t>
                  </w:r>
                  <w:r>
                    <w:rPr>
                      <w:rFonts w:hint="eastAsia" w:ascii="Times New Roman" w:hAnsi="Times New Roman" w:cs="Times New Roman"/>
                      <w:bCs/>
                      <w:szCs w:val="21"/>
                      <w:lang w:val="en-US" w:eastAsia="zh-CN"/>
                    </w:rPr>
                    <w:t>2,Q=16.4-23.4-28m</w:t>
                  </w:r>
                  <w:r>
                    <w:rPr>
                      <w:rFonts w:hint="eastAsia" w:ascii="Times New Roman" w:hAnsi="Times New Roman" w:cs="Times New Roman"/>
                      <w:bCs/>
                      <w:szCs w:val="21"/>
                      <w:vertAlign w:val="superscript"/>
                      <w:lang w:val="en-US" w:eastAsia="zh-CN"/>
                    </w:rPr>
                    <w:t>3</w:t>
                  </w:r>
                  <w:r>
                    <w:rPr>
                      <w:rFonts w:hint="eastAsia" w:ascii="Times New Roman" w:hAnsi="Times New Roman" w:cs="Times New Roman"/>
                      <w:bCs/>
                      <w:szCs w:val="21"/>
                    </w:rPr>
                    <w:t>/</w:t>
                  </w:r>
                  <w:r>
                    <w:rPr>
                      <w:rFonts w:hint="eastAsia" w:ascii="Times New Roman" w:hAnsi="Times New Roman" w:cs="Times New Roman"/>
                      <w:bCs/>
                      <w:szCs w:val="21"/>
                      <w:lang w:val="en-US" w:eastAsia="zh-CN"/>
                    </w:rPr>
                    <w:t>h</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环保系统</w:t>
                  </w:r>
                </w:p>
              </w:tc>
              <w:tc>
                <w:tcPr>
                  <w:tcW w:w="600" w:type="pct"/>
                  <w:vMerge w:val="restar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环保治理</w:t>
                  </w:r>
                </w:p>
              </w:tc>
              <w:tc>
                <w:tcPr>
                  <w:tcW w:w="1057" w:type="pct"/>
                  <w:vAlign w:val="center"/>
                </w:tcPr>
                <w:p>
                  <w:pPr>
                    <w:jc w:val="center"/>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布袋除尘器</w:t>
                  </w:r>
                </w:p>
              </w:tc>
              <w:tc>
                <w:tcPr>
                  <w:tcW w:w="1749" w:type="pct"/>
                  <w:vAlign w:val="center"/>
                </w:tcPr>
                <w:p>
                  <w:pPr>
                    <w:widowControl/>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eastAsia="zh-CN"/>
                    </w:rPr>
                    <w:t>滤袋材质</w:t>
                  </w:r>
                  <w:r>
                    <w:rPr>
                      <w:rFonts w:hint="eastAsia" w:ascii="Times New Roman" w:hAnsi="Times New Roman" w:cs="Times New Roman"/>
                      <w:szCs w:val="21"/>
                      <w:lang w:val="en-US" w:eastAsia="zh-CN"/>
                    </w:rPr>
                    <w:t>PPS+PTFE</w:t>
                  </w:r>
                </w:p>
              </w:tc>
              <w:tc>
                <w:tcPr>
                  <w:tcW w:w="527" w:type="pct"/>
                  <w:vAlign w:val="center"/>
                </w:tcPr>
                <w:p>
                  <w:pPr>
                    <w:widowControl/>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jc w:val="center"/>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脱硫设备</w:t>
                  </w:r>
                </w:p>
              </w:tc>
              <w:tc>
                <w:tcPr>
                  <w:tcW w:w="1749" w:type="pct"/>
                  <w:vAlign w:val="center"/>
                </w:tcPr>
                <w:p>
                  <w:pPr>
                    <w:widowControl/>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镁法脱硫塔</w:t>
                  </w:r>
                </w:p>
              </w:tc>
              <w:tc>
                <w:tcPr>
                  <w:tcW w:w="527" w:type="pct"/>
                  <w:vAlign w:val="center"/>
                </w:tcPr>
                <w:p>
                  <w:pPr>
                    <w:widowControl/>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jc w:val="center"/>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脱硝设备</w:t>
                  </w:r>
                </w:p>
              </w:tc>
              <w:tc>
                <w:tcPr>
                  <w:tcW w:w="1749" w:type="pct"/>
                  <w:vAlign w:val="center"/>
                </w:tcPr>
                <w:p>
                  <w:pPr>
                    <w:widowControl/>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PNCR高分子炉内脱硝</w:t>
                  </w:r>
                </w:p>
              </w:tc>
              <w:tc>
                <w:tcPr>
                  <w:tcW w:w="527" w:type="pct"/>
                  <w:vAlign w:val="center"/>
                </w:tcPr>
                <w:p>
                  <w:pPr>
                    <w:widowControl/>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szCs w:val="21"/>
                    </w:rPr>
                  </w:pPr>
                </w:p>
              </w:tc>
            </w:tr>
          </w:tbl>
          <w:p>
            <w:pPr>
              <w:snapToGrid w:val="0"/>
              <w:spacing w:before="156" w:beforeLines="5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bidi="ar"/>
              </w:rPr>
              <w:t>本项目</w:t>
            </w:r>
            <w:r>
              <w:rPr>
                <w:rFonts w:hint="default" w:ascii="Times New Roman" w:hAnsi="Times New Roman" w:cs="Times New Roman"/>
                <w:color w:val="auto"/>
                <w:sz w:val="24"/>
                <w:szCs w:val="24"/>
                <w:lang w:val="en-US" w:eastAsia="zh-CN" w:bidi="ar"/>
              </w:rPr>
              <w:t>锅炉房</w:t>
            </w:r>
            <w:r>
              <w:rPr>
                <w:rFonts w:hint="default" w:ascii="Times New Roman" w:hAnsi="Times New Roman" w:cs="Times New Roman"/>
                <w:color w:val="auto"/>
                <w:sz w:val="24"/>
                <w:szCs w:val="24"/>
                <w:lang w:eastAsia="zh-CN" w:bidi="ar"/>
              </w:rPr>
              <w:t>设备</w:t>
            </w:r>
            <w:r>
              <w:rPr>
                <w:rFonts w:hint="default" w:ascii="Times New Roman" w:hAnsi="Times New Roman" w:cs="Times New Roman"/>
                <w:color w:val="auto"/>
                <w:sz w:val="24"/>
                <w:szCs w:val="24"/>
                <w:lang w:val="en-US" w:eastAsia="zh-CN" w:bidi="ar"/>
              </w:rPr>
              <w:t>选型</w:t>
            </w:r>
            <w:r>
              <w:rPr>
                <w:rFonts w:hint="default" w:ascii="Times New Roman" w:hAnsi="Times New Roman" w:cs="Times New Roman"/>
                <w:color w:val="auto"/>
                <w:sz w:val="24"/>
                <w:szCs w:val="24"/>
                <w:lang w:eastAsia="zh-CN" w:bidi="ar"/>
              </w:rPr>
              <w:t>见下表</w:t>
            </w:r>
            <w:r>
              <w:rPr>
                <w:rFonts w:hint="eastAsia" w:ascii="Times New Roman" w:hAnsi="Times New Roman" w:cs="Times New Roman"/>
                <w:color w:val="auto"/>
                <w:sz w:val="24"/>
                <w:szCs w:val="24"/>
                <w:lang w:eastAsia="zh-CN" w:bidi="ar"/>
              </w:rPr>
              <w:t>：</w:t>
            </w:r>
          </w:p>
          <w:p>
            <w:pPr>
              <w:spacing w:line="240" w:lineRule="auto"/>
              <w:ind w:firstLine="0" w:firstLineChars="0"/>
              <w:jc w:val="center"/>
              <w:rPr>
                <w:rStyle w:val="27"/>
                <w:rFonts w:hint="default" w:ascii="Times New Roman" w:hAnsi="Times New Roman" w:eastAsia="宋体" w:cs="Times New Roman"/>
                <w:lang w:val="en-US" w:eastAsia="zh-CN"/>
              </w:rPr>
            </w:pPr>
            <w:r>
              <w:rPr>
                <w:rStyle w:val="27"/>
                <w:rFonts w:hint="default" w:ascii="Times New Roman" w:hAnsi="Times New Roman" w:eastAsia="宋体" w:cs="Times New Roman"/>
                <w:lang w:val="en-US" w:eastAsia="zh-CN"/>
              </w:rPr>
              <w:t>表</w:t>
            </w:r>
            <w:r>
              <w:rPr>
                <w:rStyle w:val="27"/>
                <w:rFonts w:hint="eastAsia" w:ascii="Times New Roman" w:hAnsi="Times New Roman" w:eastAsia="宋体" w:cs="Times New Roman"/>
                <w:lang w:val="en-US" w:eastAsia="zh-CN"/>
              </w:rPr>
              <w:t>2</w:t>
            </w:r>
            <w:r>
              <w:rPr>
                <w:rStyle w:val="27"/>
                <w:rFonts w:hint="default" w:ascii="Times New Roman" w:hAnsi="Times New Roman" w:eastAsia="宋体" w:cs="Times New Roman"/>
                <w:lang w:val="en-US" w:eastAsia="zh-CN"/>
              </w:rPr>
              <w:t>-</w:t>
            </w:r>
            <w:r>
              <w:rPr>
                <w:rStyle w:val="27"/>
                <w:rFonts w:hint="eastAsia" w:ascii="Times New Roman" w:hAnsi="Times New Roman" w:eastAsia="宋体" w:cs="Times New Roman"/>
                <w:lang w:val="en-US" w:eastAsia="zh-CN"/>
              </w:rPr>
              <w:t>6</w:t>
            </w:r>
            <w:r>
              <w:rPr>
                <w:rStyle w:val="27"/>
                <w:rFonts w:hint="default" w:ascii="Times New Roman" w:hAnsi="Times New Roman" w:eastAsia="宋体" w:cs="Times New Roman"/>
                <w:lang w:val="en-US" w:eastAsia="zh-CN"/>
              </w:rPr>
              <w:t xml:space="preserve">  锅炉参数一览表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5"/>
              <w:gridCol w:w="2885"/>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40t/h循环流化床锅炉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序号</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项目</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型号</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GB" w:eastAsia="zh-CN"/>
                    </w:rPr>
                    <w:t>QXF40-2.5-AⅠ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额定蒸发量（热功率）</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额定出水压力</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2.5MPa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额定进水温度</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额定出水温度</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额定排烟温度</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1</w:t>
                  </w:r>
                  <w:r>
                    <w:rPr>
                      <w:rFonts w:hint="eastAsia" w:ascii="Times New Roman" w:hAnsi="Times New Roman" w:cs="Times New Roman"/>
                      <w:snapToGrid w:val="0"/>
                      <w:kern w:val="0"/>
                      <w:sz w:val="21"/>
                      <w:szCs w:val="21"/>
                      <w:lang w:val="en-US" w:eastAsia="zh-CN"/>
                    </w:rPr>
                    <w:t>36</w:t>
                  </w:r>
                  <w:r>
                    <w:rPr>
                      <w:rFonts w:hint="default" w:ascii="Times New Roman" w:hAnsi="Times New Roman" w:cs="Times New Roman"/>
                      <w:snapToGrid w:val="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锅炉设计效率</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2</w:t>
                  </w:r>
                  <w:r>
                    <w:rPr>
                      <w:rFonts w:hint="default" w:ascii="Times New Roman" w:hAnsi="Times New Roman" w:cs="Times New Roman"/>
                      <w:snapToGrid w:val="0"/>
                      <w:kern w:val="0"/>
                      <w:sz w:val="21"/>
                      <w:szCs w:val="21"/>
                      <w:lang w:val="en-US" w:eastAsia="zh-CN"/>
                    </w:rPr>
                    <w:t>0t/h</w:t>
                  </w:r>
                  <w:r>
                    <w:rPr>
                      <w:rFonts w:hint="eastAsia" w:ascii="Times New Roman" w:hAnsi="Times New Roman" w:cs="Times New Roman"/>
                      <w:szCs w:val="21"/>
                      <w:lang w:eastAsia="zh-CN"/>
                    </w:rPr>
                    <w:t>生物质锅炉（备用）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w:t>
                  </w:r>
                </w:p>
              </w:tc>
              <w:tc>
                <w:tcPr>
                  <w:tcW w:w="1666" w:type="pct"/>
                  <w:noWrap w:val="0"/>
                  <w:vAlign w:val="center"/>
                </w:tcPr>
                <w:p>
                  <w:pPr>
                    <w:spacing w:line="300" w:lineRule="exact"/>
                    <w:ind w:firstLine="0" w:firstLineChars="0"/>
                    <w:jc w:val="center"/>
                    <w:rPr>
                      <w:rFonts w:hint="default" w:ascii="Times New Roman" w:hAnsi="Times New Roman" w:cs="Times New Roman" w:eastAsiaTheme="minorEastAsia"/>
                      <w:snapToGrid w:val="0"/>
                      <w:kern w:val="0"/>
                      <w:sz w:val="21"/>
                      <w:szCs w:val="21"/>
                      <w:lang w:val="en-US" w:eastAsia="zh-CN" w:bidi="ar-SA"/>
                    </w:rPr>
                  </w:pPr>
                  <w:r>
                    <w:rPr>
                      <w:rFonts w:hint="default" w:ascii="Times New Roman" w:hAnsi="Times New Roman" w:cs="Times New Roman"/>
                      <w:snapToGrid w:val="0"/>
                      <w:kern w:val="0"/>
                      <w:sz w:val="21"/>
                      <w:szCs w:val="21"/>
                      <w:lang w:val="en-US" w:eastAsia="zh-CN"/>
                    </w:rPr>
                    <w:t>型号</w:t>
                  </w:r>
                </w:p>
              </w:tc>
              <w:tc>
                <w:tcPr>
                  <w:tcW w:w="1667" w:type="pct"/>
                  <w:noWrap w:val="0"/>
                  <w:vAlign w:val="center"/>
                </w:tcPr>
                <w:p>
                  <w:pPr>
                    <w:spacing w:line="300" w:lineRule="exact"/>
                    <w:ind w:firstLine="0" w:firstLineChars="0"/>
                    <w:jc w:val="center"/>
                    <w:rPr>
                      <w:rFonts w:hint="default" w:ascii="Times New Roman" w:hAnsi="Times New Roman" w:cs="Times New Roman" w:eastAsiaTheme="minorEastAsia"/>
                      <w:snapToGrid w:val="0"/>
                      <w:kern w:val="0"/>
                      <w:sz w:val="21"/>
                      <w:szCs w:val="21"/>
                      <w:lang w:val="en-US" w:eastAsia="zh-CN" w:bidi="ar-SA"/>
                    </w:rPr>
                  </w:pPr>
                  <w:r>
                    <w:rPr>
                      <w:rFonts w:hint="default" w:ascii="Times New Roman" w:hAnsi="Times New Roman" w:cs="Times New Roman"/>
                      <w:szCs w:val="21"/>
                      <w:lang w:val="en-US" w:eastAsia="zh-CN"/>
                    </w:rPr>
                    <w:t>SHX20-2.5-H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锅炉容量</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20t/h</w:t>
                  </w: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2" w:firstLineChars="200"/>
              <w:textAlignment w:val="auto"/>
              <w:rPr>
                <w:rFonts w:ascii="Times New Roman" w:hAnsi="Times New Roman" w:cs="Times New Roman"/>
                <w:b/>
                <w:sz w:val="24"/>
              </w:rPr>
            </w:pPr>
            <w:r>
              <w:rPr>
                <w:rFonts w:hint="eastAsia" w:ascii="Times New Roman" w:hAnsi="Times New Roman" w:cs="Times New Roman"/>
                <w:b/>
                <w:sz w:val="24"/>
                <w:lang w:val="en-US" w:eastAsia="zh-CN"/>
              </w:rPr>
              <w:t>4</w:t>
            </w:r>
            <w:r>
              <w:rPr>
                <w:rFonts w:hint="eastAsia" w:ascii="Times New Roman" w:hAnsi="Times New Roman" w:cs="Times New Roman"/>
                <w:b/>
                <w:sz w:val="24"/>
              </w:rPr>
              <w:t>、劳动定员及工作制度</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kern w:val="44"/>
                <w:sz w:val="24"/>
              </w:rPr>
              <w:t>本项目</w:t>
            </w:r>
            <w:r>
              <w:rPr>
                <w:rFonts w:hint="eastAsia" w:ascii="Times New Roman" w:hAnsi="Times New Roman" w:cs="Times New Roman"/>
                <w:kern w:val="44"/>
                <w:sz w:val="24"/>
              </w:rPr>
              <w:t>不新增员工；锅炉</w:t>
            </w:r>
            <w:r>
              <w:rPr>
                <w:rFonts w:hint="eastAsia" w:ascii="Times New Roman" w:hAnsi="Times New Roman" w:cs="Times New Roman"/>
                <w:kern w:val="44"/>
                <w:sz w:val="24"/>
                <w:lang w:val="en-US" w:eastAsia="zh-CN"/>
              </w:rPr>
              <w:t>全年工作100</w:t>
            </w:r>
            <w:r>
              <w:rPr>
                <w:rFonts w:ascii="Times New Roman" w:hAnsi="Times New Roman" w:cs="Times New Roman"/>
                <w:kern w:val="44"/>
                <w:sz w:val="24"/>
              </w:rPr>
              <w:t>天</w:t>
            </w:r>
            <w:r>
              <w:rPr>
                <w:rFonts w:hint="eastAsia" w:ascii="Times New Roman" w:hAnsi="Times New Roman" w:cs="Times New Roman"/>
                <w:kern w:val="44"/>
                <w:sz w:val="24"/>
              </w:rPr>
              <w:t>，</w:t>
            </w:r>
            <w:r>
              <w:rPr>
                <w:rFonts w:hint="eastAsia" w:ascii="Times New Roman" w:hAnsi="Times New Roman" w:cs="Times New Roman"/>
                <w:kern w:val="44"/>
                <w:sz w:val="24"/>
                <w:lang w:val="en-US" w:eastAsia="zh-CN"/>
              </w:rPr>
              <w:t>每天3班，</w:t>
            </w:r>
            <w:r>
              <w:rPr>
                <w:rFonts w:hint="eastAsia" w:ascii="Times New Roman" w:hAnsi="Times New Roman" w:cs="Times New Roman"/>
                <w:kern w:val="44"/>
                <w:sz w:val="24"/>
              </w:rPr>
              <w:t>每班</w:t>
            </w:r>
            <w:r>
              <w:rPr>
                <w:rFonts w:hint="eastAsia" w:ascii="Times New Roman" w:hAnsi="Times New Roman" w:cs="Times New Roman"/>
                <w:kern w:val="44"/>
                <w:sz w:val="24"/>
                <w:lang w:val="en-US" w:eastAsia="zh-CN"/>
              </w:rPr>
              <w:t>8</w:t>
            </w:r>
            <w:r>
              <w:rPr>
                <w:rFonts w:hint="eastAsia" w:ascii="Times New Roman" w:hAnsi="Times New Roman" w:cs="Times New Roman"/>
                <w:kern w:val="44"/>
                <w:sz w:val="24"/>
              </w:rPr>
              <w:t>小时，</w:t>
            </w:r>
            <w:r>
              <w:rPr>
                <w:rFonts w:hint="eastAsia" w:ascii="Times New Roman" w:hAnsi="Times New Roman" w:cs="Times New Roman"/>
                <w:kern w:val="44"/>
                <w:sz w:val="24"/>
                <w:lang w:val="en-US" w:eastAsia="zh-CN"/>
              </w:rPr>
              <w:t>全年</w:t>
            </w:r>
            <w:r>
              <w:rPr>
                <w:rFonts w:hint="eastAsia" w:ascii="Times New Roman" w:hAnsi="Times New Roman" w:cs="Times New Roman"/>
                <w:kern w:val="44"/>
                <w:sz w:val="24"/>
              </w:rPr>
              <w:t>工作时长</w:t>
            </w:r>
            <w:r>
              <w:rPr>
                <w:rFonts w:hint="eastAsia" w:ascii="Times New Roman" w:hAnsi="Times New Roman" w:cs="Times New Roman"/>
                <w:kern w:val="44"/>
                <w:sz w:val="24"/>
                <w:lang w:val="en-US" w:eastAsia="zh-CN"/>
              </w:rPr>
              <w:t>2400</w:t>
            </w:r>
            <w:r>
              <w:rPr>
                <w:rFonts w:hint="eastAsia" w:ascii="Times New Roman" w:hAnsi="Times New Roman" w:cs="Times New Roman"/>
                <w:kern w:val="44"/>
                <w:sz w:val="24"/>
              </w:rPr>
              <w:t>小时</w:t>
            </w:r>
            <w:r>
              <w:rPr>
                <w:rFonts w:hint="eastAsia" w:ascii="Times New Roman" w:hAnsi="Times New Roman" w:cs="Times New Roman"/>
                <w:kern w:val="44"/>
                <w:sz w:val="24"/>
                <w:lang w:eastAsia="zh-CN"/>
              </w:rPr>
              <w:t>，</w:t>
            </w:r>
            <w:r>
              <w:rPr>
                <w:rFonts w:hint="eastAsia" w:ascii="Times New Roman" w:hAnsi="Times New Roman" w:cs="Times New Roman"/>
                <w:kern w:val="44"/>
                <w:sz w:val="24"/>
                <w:lang w:val="en-US" w:eastAsia="zh-CN"/>
              </w:rPr>
              <w:t>标煤破碎生产线全年工作100</w:t>
            </w:r>
            <w:r>
              <w:rPr>
                <w:rFonts w:ascii="Times New Roman" w:hAnsi="Times New Roman" w:cs="Times New Roman"/>
                <w:kern w:val="44"/>
                <w:sz w:val="24"/>
              </w:rPr>
              <w:t>天</w:t>
            </w:r>
            <w:r>
              <w:rPr>
                <w:rFonts w:hint="eastAsia" w:ascii="Times New Roman" w:hAnsi="Times New Roman" w:cs="Times New Roman"/>
                <w:kern w:val="44"/>
                <w:sz w:val="24"/>
                <w:lang w:eastAsia="zh-CN"/>
              </w:rPr>
              <w:t>，</w:t>
            </w:r>
            <w:r>
              <w:rPr>
                <w:rFonts w:hint="eastAsia" w:ascii="Times New Roman" w:hAnsi="Times New Roman" w:cs="Times New Roman"/>
                <w:kern w:val="44"/>
                <w:sz w:val="24"/>
                <w:lang w:val="en-US" w:eastAsia="zh-CN"/>
              </w:rPr>
              <w:t>每天1班，每班1小时，全年工作时长100小时</w:t>
            </w:r>
            <w:r>
              <w:rPr>
                <w:rFonts w:ascii="Times New Roman" w:hAnsi="Times New Roman" w:cs="Times New Roman"/>
                <w:kern w:val="44"/>
                <w:sz w:val="24"/>
              </w:rPr>
              <w:t>。</w:t>
            </w:r>
          </w:p>
          <w:p>
            <w:pPr>
              <w:adjustRightInd w:val="0"/>
              <w:snapToGrid w:val="0"/>
              <w:spacing w:line="360" w:lineRule="auto"/>
              <w:ind w:firstLine="482" w:firstLineChars="200"/>
              <w:rPr>
                <w:rFonts w:ascii="Times New Roman" w:hAnsi="Times New Roman" w:cs="Times New Roman"/>
                <w:b/>
                <w:sz w:val="24"/>
              </w:rPr>
            </w:pPr>
            <w:r>
              <w:rPr>
                <w:rFonts w:hint="eastAsia" w:ascii="Times New Roman" w:hAnsi="Times New Roman" w:cs="Times New Roman"/>
                <w:b/>
                <w:sz w:val="24"/>
                <w:lang w:val="en-US" w:eastAsia="zh-CN"/>
              </w:rPr>
              <w:t>5</w:t>
            </w:r>
            <w:r>
              <w:rPr>
                <w:rFonts w:hint="eastAsia" w:ascii="Times New Roman" w:hAnsi="Times New Roman" w:cs="Times New Roman"/>
                <w:b/>
                <w:sz w:val="24"/>
              </w:rPr>
              <w:t>、平面布置</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bCs/>
                <w:sz w:val="24"/>
              </w:rPr>
              <w:t>承德富龙现代农业发展有限公司厂区总体呈正方形，整个厂区南北向长约465m，东西向宽约443m。厂区</w:t>
            </w:r>
            <w:r>
              <w:rPr>
                <w:rFonts w:hint="eastAsia" w:ascii="Times New Roman" w:hAnsi="Times New Roman"/>
                <w:bCs/>
                <w:sz w:val="24"/>
                <w:lang w:val="en-US" w:eastAsia="zh-CN"/>
              </w:rPr>
              <w:t>西</w:t>
            </w:r>
            <w:r>
              <w:rPr>
                <w:rFonts w:hint="eastAsia" w:ascii="Times New Roman" w:hAnsi="Times New Roman"/>
                <w:bCs/>
                <w:sz w:val="24"/>
              </w:rPr>
              <w:t>南角设1个出入口，西侧设1个出入口</w:t>
            </w:r>
            <w:r>
              <w:rPr>
                <w:rFonts w:hint="eastAsia" w:ascii="Times New Roman" w:hAnsi="Times New Roman"/>
                <w:bCs/>
                <w:sz w:val="24"/>
                <w:lang w:eastAsia="zh-CN"/>
              </w:rPr>
              <w:t>，</w:t>
            </w:r>
            <w:r>
              <w:rPr>
                <w:rFonts w:hint="eastAsia" w:ascii="Times New Roman" w:hAnsi="Times New Roman"/>
                <w:bCs/>
                <w:sz w:val="24"/>
              </w:rPr>
              <w:t>本项目锅炉房位于</w:t>
            </w:r>
            <w:r>
              <w:rPr>
                <w:rFonts w:hint="eastAsia" w:ascii="Times New Roman" w:hAnsi="Times New Roman"/>
                <w:bCs/>
                <w:sz w:val="24"/>
                <w:lang w:val="en-US" w:eastAsia="zh-CN"/>
              </w:rPr>
              <w:t>厂区中部靠东侧</w:t>
            </w:r>
            <w:r>
              <w:rPr>
                <w:rFonts w:hint="eastAsia" w:ascii="Times New Roman" w:hAnsi="Times New Roman"/>
                <w:bCs/>
                <w:sz w:val="24"/>
              </w:rPr>
              <w:t>，</w:t>
            </w:r>
            <w:r>
              <w:rPr>
                <w:rFonts w:hint="eastAsia" w:ascii="Times New Roman" w:hAnsi="Times New Roman"/>
                <w:bCs/>
                <w:sz w:val="24"/>
                <w:lang w:val="en-US" w:eastAsia="zh-CN"/>
              </w:rPr>
              <w:t>渣库位于锅炉房北侧，灰仓位于渣库东侧</w:t>
            </w:r>
            <w:r>
              <w:rPr>
                <w:rFonts w:hint="eastAsia" w:ascii="Times New Roman" w:hAnsi="Times New Roman"/>
                <w:bCs/>
                <w:sz w:val="24"/>
                <w:lang w:eastAsia="zh-CN"/>
              </w:rPr>
              <w:t>，煤棚位于锅炉房西侧</w:t>
            </w:r>
            <w:r>
              <w:rPr>
                <w:rFonts w:hint="eastAsia" w:ascii="Times New Roman" w:hAnsi="Times New Roman"/>
                <w:bCs/>
                <w:sz w:val="24"/>
                <w:lang w:val="en-US" w:eastAsia="zh-CN"/>
              </w:rPr>
              <w:t>，碎煤楼位于煤棚南侧</w:t>
            </w:r>
            <w:r>
              <w:rPr>
                <w:rFonts w:hint="eastAsia" w:ascii="Times New Roman" w:hAnsi="Times New Roman"/>
                <w:bCs/>
                <w:sz w:val="24"/>
              </w:rPr>
              <w:t>。详见附图2。</w:t>
            </w:r>
          </w:p>
          <w:p>
            <w:pPr>
              <w:spacing w:line="360" w:lineRule="auto"/>
              <w:ind w:firstLine="482" w:firstLineChars="200"/>
              <w:rPr>
                <w:rFonts w:ascii="Times New Roman" w:hAnsi="Times New Roman" w:cs="Times New Roman"/>
                <w:b/>
                <w:color w:val="auto"/>
                <w:sz w:val="24"/>
              </w:rPr>
            </w:pPr>
            <w:r>
              <w:rPr>
                <w:rFonts w:hint="eastAsia" w:ascii="Times New Roman" w:hAnsi="Times New Roman" w:cs="Times New Roman"/>
                <w:b/>
                <w:color w:val="auto"/>
                <w:sz w:val="24"/>
                <w:lang w:val="en-US" w:eastAsia="zh-CN"/>
              </w:rPr>
              <w:t>6</w:t>
            </w:r>
            <w:r>
              <w:rPr>
                <w:rFonts w:ascii="Times New Roman" w:hAnsi="Times New Roman" w:cs="Times New Roman"/>
                <w:b/>
                <w:color w:val="auto"/>
                <w:sz w:val="24"/>
              </w:rPr>
              <w:t>、</w:t>
            </w:r>
            <w:r>
              <w:rPr>
                <w:rFonts w:hint="eastAsia" w:ascii="Times New Roman" w:hAnsi="Times New Roman" w:cs="Times New Roman"/>
                <w:b/>
                <w:color w:val="auto"/>
                <w:sz w:val="24"/>
                <w:lang w:eastAsia="zh-CN"/>
              </w:rPr>
              <w:t>水平衡分析</w:t>
            </w:r>
          </w:p>
          <w:p>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给水</w:t>
            </w:r>
          </w:p>
          <w:p>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用水主要来自厂区自备水井，项目不新增劳动人员，无生活用水，生产用水主要为锅炉用水。</w:t>
            </w:r>
          </w:p>
          <w:p>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①</w:t>
            </w:r>
            <w:r>
              <w:rPr>
                <w:rFonts w:hint="eastAsia" w:ascii="Times New Roman" w:hAnsi="Times New Roman" w:cs="Times New Roman"/>
                <w:color w:val="auto"/>
                <w:sz w:val="24"/>
                <w:lang w:val="en-US" w:eastAsia="zh-CN"/>
              </w:rPr>
              <w:t>软水系统用水</w:t>
            </w:r>
          </w:p>
          <w:p>
            <w:pPr>
              <w:adjustRightInd w:val="0"/>
              <w:snapToGrid w:val="0"/>
              <w:spacing w:line="360" w:lineRule="auto"/>
              <w:ind w:firstLine="480" w:firstLineChars="200"/>
              <w:rPr>
                <w:rFonts w:hint="eastAsia" w:ascii="Times New Roman" w:hAnsi="Times New Roman" w:cs="Times New Roman" w:eastAsiaTheme="minorEastAsia"/>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本项目锅炉年产蒸汽40800t/a，锅炉补水量按蒸汽量的100%计算，则蒸汽锅炉软化水消耗量为408m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/d（40800m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/a），本项目采用反渗透纯净水处理设备，软水制备效率为85%，则锅炉新鲜水消耗量为480m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/d（48000m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/a），纯水制备浓水产生量72m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/d（7200m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eastAsia" w:ascii="Times New Roman" w:hAnsi="Times New Roman" w:cs="Times New Roman"/>
                <w:color w:val="000000" w:themeColor="text1"/>
                <w:sz w:val="24"/>
                <w:lang w:eastAsia="zh-CN"/>
                <w14:textFill>
                  <w14:solidFill>
                    <w14:schemeClr w14:val="tx1"/>
                  </w14:solidFill>
                </w14:textFill>
              </w:rPr>
              <w:t>。</w:t>
            </w:r>
          </w:p>
          <w:p>
            <w:pPr>
              <w:pStyle w:val="8"/>
              <w:adjustRightInd w:val="0"/>
              <w:snapToGrid w:val="0"/>
              <w:spacing w:after="0" w:line="360" w:lineRule="auto"/>
              <w:ind w:left="0" w:leftChars="0"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②脱硫用水</w:t>
            </w:r>
          </w:p>
          <w:p>
            <w:pPr>
              <w:pStyle w:val="8"/>
              <w:adjustRightInd w:val="0"/>
              <w:snapToGrid w:val="0"/>
              <w:spacing w:after="0" w:line="360" w:lineRule="auto"/>
              <w:ind w:left="0" w:leftChars="0" w:firstLine="480" w:firstLineChars="20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脱硫系统用水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为主要为溶解氧化镁以及降温用水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，用水量为</w:t>
            </w:r>
            <w:r>
              <w:rPr>
                <w:rFonts w:hint="eastAsia" w:ascii="Times New Roman" w:hAnsi="Times New Roman" w:cs="Times New Roman"/>
                <w:color w:val="000000" w:themeColor="text1"/>
                <w:sz w:val="24"/>
                <w:lang w:val="en-US" w:eastAsia="zh-CN"/>
                <w14:textFill>
                  <w14:solidFill>
                    <w14:schemeClr w14:val="tx1"/>
                  </w14:solidFill>
                </w14:textFill>
              </w:rPr>
              <w:t>72m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/d（7200m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，脱硫用水来源于纯水制备的浓水，脱硫水循环使用。</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szCs w:val="24"/>
              </w:rPr>
              <w:t>综上所述，项目总用水量为</w:t>
            </w:r>
            <w:r>
              <w:rPr>
                <w:rFonts w:hint="eastAsia" w:ascii="Times New Roman" w:hAnsi="Times New Roman" w:cs="Times New Roman"/>
                <w:color w:val="auto"/>
                <w:sz w:val="24"/>
                <w:szCs w:val="24"/>
                <w:lang w:val="en-US" w:eastAsia="zh-CN"/>
              </w:rPr>
              <w:t>480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48000</w:t>
            </w:r>
            <w:r>
              <w:rPr>
                <w:rFonts w:hint="default" w:ascii="Times New Roman" w:hAnsi="Times New Roman" w:cs="Times New Roman"/>
                <w:color w:val="auto"/>
                <w:kern w:val="44"/>
                <w:sz w:val="24"/>
                <w:szCs w:val="24"/>
                <w:lang w:val="en-US" w:eastAsia="zh-CN"/>
              </w:rPr>
              <w:t>m</w:t>
            </w:r>
            <w:r>
              <w:rPr>
                <w:rFonts w:hint="eastAsia" w:ascii="Times New Roman" w:hAnsi="Times New Roman" w:cs="Times New Roman"/>
                <w:color w:val="auto"/>
                <w:kern w:val="44"/>
                <w:sz w:val="24"/>
                <w:szCs w:val="24"/>
                <w:vertAlign w:val="superscript"/>
                <w:lang w:val="en-US" w:eastAsia="zh-CN"/>
              </w:rPr>
              <w:t>3</w:t>
            </w:r>
            <w:r>
              <w:rPr>
                <w:rFonts w:hint="default" w:ascii="Times New Roman" w:hAnsi="Times New Roman" w:cs="Times New Roman"/>
                <w:color w:val="auto"/>
                <w:kern w:val="44"/>
                <w:sz w:val="24"/>
                <w:szCs w:val="24"/>
                <w:lang w:val="en-US" w:eastAsia="zh-CN"/>
              </w:rPr>
              <w:t>/a）</w:t>
            </w:r>
            <w:r>
              <w:rPr>
                <w:rFonts w:hint="eastAsia" w:ascii="Times New Roman" w:hAnsi="Times New Roman" w:cs="Times New Roman"/>
                <w:color w:val="auto"/>
                <w:kern w:val="44"/>
                <w:sz w:val="24"/>
                <w:szCs w:val="24"/>
                <w:lang w:val="en-US" w:eastAsia="zh-CN"/>
              </w:rPr>
              <w:t>。</w:t>
            </w:r>
          </w:p>
          <w:p>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排水</w:t>
            </w:r>
          </w:p>
          <w:p>
            <w:pPr>
              <w:pStyle w:val="45"/>
              <w:snapToGrid w:val="0"/>
              <w:ind w:firstLine="480"/>
              <w:contextualSpacing/>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highlight w:val="none"/>
                <w:lang w:val="en-US" w:eastAsia="zh-CN" w:bidi="ar-SA"/>
              </w:rPr>
              <w:t>①</w:t>
            </w:r>
            <w:r>
              <w:rPr>
                <w:rFonts w:hint="default" w:ascii="Times New Roman" w:hAnsi="Times New Roman" w:eastAsia="宋体" w:cs="Times New Roman"/>
                <w:color w:val="auto"/>
                <w:sz w:val="24"/>
                <w:szCs w:val="24"/>
                <w:lang w:val="en-US" w:eastAsia="zh-CN"/>
              </w:rPr>
              <w:t>锅炉排污水</w:t>
            </w:r>
          </w:p>
          <w:p>
            <w:pPr>
              <w:pStyle w:val="45"/>
              <w:snapToGrid w:val="0"/>
              <w:ind w:firstLine="480"/>
              <w:contextualSpacing/>
              <w:rPr>
                <w:rFonts w:hint="eastAsia" w:ascii="宋体" w:hAnsi="宋体"/>
                <w:color w:val="FF0000"/>
                <w:kern w:val="44"/>
                <w:sz w:val="24"/>
                <w:szCs w:val="24"/>
                <w:lang w:eastAsia="zh-CN"/>
              </w:rPr>
            </w:pPr>
            <w:r>
              <w:rPr>
                <w:rFonts w:hint="default" w:ascii="Times New Roman" w:hAnsi="Times New Roman" w:eastAsia="宋体" w:cs="Times New Roman"/>
                <w:color w:val="auto"/>
                <w:kern w:val="44"/>
                <w:sz w:val="24"/>
                <w:szCs w:val="24"/>
                <w:lang w:val="en-US" w:eastAsia="zh-CN"/>
              </w:rPr>
              <w:t xml:space="preserve">锅炉排污主要排除炉内水渣及泥污等沉积物，锅炉排污水量按照锅炉用水量的 </w:t>
            </w:r>
            <w:r>
              <w:rPr>
                <w:rFonts w:hint="eastAsia" w:ascii="Times New Roman" w:hAnsi="Times New Roman" w:eastAsia="宋体" w:cs="Times New Roman"/>
                <w:color w:val="auto"/>
                <w:kern w:val="44"/>
                <w:sz w:val="24"/>
                <w:szCs w:val="24"/>
                <w:lang w:val="en-US" w:eastAsia="zh-CN"/>
              </w:rPr>
              <w:t>1</w:t>
            </w:r>
            <w:r>
              <w:rPr>
                <w:rFonts w:hint="default" w:ascii="Times New Roman" w:hAnsi="Times New Roman" w:eastAsia="宋体" w:cs="Times New Roman"/>
                <w:color w:val="auto"/>
                <w:kern w:val="44"/>
                <w:sz w:val="24"/>
                <w:szCs w:val="24"/>
                <w:lang w:val="en-US" w:eastAsia="zh-CN"/>
              </w:rPr>
              <w:t>%</w:t>
            </w:r>
            <w:r>
              <w:rPr>
                <w:rFonts w:hint="eastAsia" w:ascii="Times New Roman" w:hAnsi="Times New Roman" w:eastAsia="宋体" w:cs="Times New Roman"/>
                <w:color w:val="auto"/>
                <w:kern w:val="44"/>
                <w:sz w:val="24"/>
                <w:szCs w:val="24"/>
                <w:lang w:val="en-US" w:eastAsia="zh-CN"/>
              </w:rPr>
              <w:t>计</w:t>
            </w:r>
            <w:r>
              <w:rPr>
                <w:rFonts w:hint="default" w:ascii="Times New Roman" w:hAnsi="Times New Roman" w:eastAsia="宋体" w:cs="Times New Roman"/>
                <w:color w:val="auto"/>
                <w:kern w:val="44"/>
                <w:sz w:val="24"/>
                <w:szCs w:val="24"/>
                <w:lang w:val="en-US" w:eastAsia="zh-CN"/>
              </w:rPr>
              <w:t>。锅炉排水量为</w:t>
            </w:r>
            <w:r>
              <w:rPr>
                <w:rFonts w:hint="eastAsia" w:ascii="Times New Roman" w:hAnsi="Times New Roman" w:eastAsia="宋体" w:cs="Times New Roman"/>
                <w:color w:val="auto"/>
                <w:kern w:val="44"/>
                <w:sz w:val="24"/>
                <w:szCs w:val="24"/>
                <w:lang w:val="en-US" w:eastAsia="zh-CN"/>
              </w:rPr>
              <w:t>4.08</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408</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/a)</w:t>
            </w:r>
            <w:r>
              <w:rPr>
                <w:rFonts w:hint="eastAsia" w:ascii="Times New Roman" w:hAnsi="Times New Roman" w:eastAsia="宋体" w:cs="Times New Roman"/>
                <w:color w:val="auto"/>
                <w:kern w:val="2"/>
                <w:sz w:val="24"/>
                <w:szCs w:val="24"/>
                <w:highlight w:val="none"/>
                <w:lang w:val="en-US" w:eastAsia="zh-CN" w:bidi="ar-SA"/>
              </w:rPr>
              <w:t>，其中扩容器闪蒸20%，</w:t>
            </w:r>
            <w:r>
              <w:rPr>
                <w:rFonts w:hint="default" w:ascii="Times New Roman" w:hAnsi="Times New Roman" w:eastAsia="宋体" w:cs="Times New Roman"/>
                <w:color w:val="auto"/>
                <w:kern w:val="44"/>
                <w:sz w:val="24"/>
                <w:szCs w:val="24"/>
                <w:lang w:val="en-US" w:eastAsia="zh-CN"/>
              </w:rPr>
              <w:t>因此，本项目锅炉排水量为</w:t>
            </w:r>
            <w:r>
              <w:rPr>
                <w:rFonts w:hint="eastAsia" w:ascii="Times New Roman" w:hAnsi="Times New Roman" w:eastAsia="宋体" w:cs="Times New Roman"/>
                <w:color w:val="auto"/>
                <w:kern w:val="44"/>
                <w:sz w:val="24"/>
                <w:szCs w:val="24"/>
                <w:lang w:val="en-US" w:eastAsia="zh-CN"/>
              </w:rPr>
              <w:t>3.264</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326.4</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/a)</w:t>
            </w:r>
            <w:r>
              <w:rPr>
                <w:rFonts w:hint="eastAsia" w:ascii="宋体" w:hAnsi="宋体"/>
                <w:color w:val="auto"/>
                <w:kern w:val="44"/>
                <w:sz w:val="24"/>
                <w:szCs w:val="24"/>
                <w:lang w:eastAsia="zh-CN"/>
              </w:rPr>
              <w:t>。</w:t>
            </w:r>
          </w:p>
          <w:p>
            <w:pPr>
              <w:pStyle w:val="45"/>
              <w:snapToGrid w:val="0"/>
              <w:ind w:firstLine="480"/>
              <w:contextualSpacing/>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eastAsia="宋体" w:cs="Times New Roman"/>
                <w:color w:val="auto"/>
                <w:kern w:val="2"/>
                <w:sz w:val="24"/>
                <w:szCs w:val="24"/>
                <w:highlight w:val="none"/>
                <w:lang w:val="en-US" w:eastAsia="zh-CN" w:bidi="ar-SA"/>
              </w:rPr>
              <w:t>单级反渗透废水</w:t>
            </w:r>
          </w:p>
          <w:p>
            <w:pPr>
              <w:pStyle w:val="45"/>
              <w:snapToGrid w:val="0"/>
              <w:ind w:firstLine="480"/>
              <w:contextualSpacing/>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单级反渗透废水</w:t>
            </w:r>
            <w:r>
              <w:rPr>
                <w:rFonts w:hint="eastAsia" w:ascii="Times New Roman" w:hAnsi="Times New Roman" w:eastAsia="宋体" w:cs="Times New Roman"/>
                <w:color w:val="auto"/>
                <w:kern w:val="2"/>
                <w:sz w:val="24"/>
                <w:szCs w:val="24"/>
                <w:highlight w:val="none"/>
                <w:lang w:val="en-US" w:eastAsia="zh-CN" w:bidi="ar-SA"/>
              </w:rPr>
              <w:t>主要为浓水，</w:t>
            </w:r>
            <w:r>
              <w:rPr>
                <w:rFonts w:hint="eastAsia" w:ascii="Times New Roman" w:hAnsi="Times New Roman" w:cs="Times New Roman"/>
                <w:color w:val="auto"/>
                <w:sz w:val="24"/>
                <w:lang w:val="en-US" w:eastAsia="zh-CN"/>
              </w:rPr>
              <w:t>产生量为72m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/d（7200m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/a），</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作为脱硫系统用水</w:t>
            </w:r>
            <w:r>
              <w:rPr>
                <w:rFonts w:hint="eastAsia" w:ascii="Times New Roman" w:hAnsi="Times New Roman" w:eastAsia="宋体" w:cs="Times New Roman"/>
                <w:color w:val="auto"/>
                <w:kern w:val="2"/>
                <w:sz w:val="24"/>
                <w:szCs w:val="24"/>
                <w:highlight w:val="none"/>
                <w:lang w:val="en-US" w:eastAsia="zh-CN" w:bidi="ar-SA"/>
              </w:rPr>
              <w:t>。</w:t>
            </w:r>
          </w:p>
          <w:p>
            <w:pPr>
              <w:pStyle w:val="45"/>
              <w:snapToGrid w:val="0"/>
              <w:ind w:firstLine="480"/>
              <w:contextualSpacing/>
              <w:rPr>
                <w:rFonts w:hint="eastAsia" w:ascii="宋体" w:hAnsi="宋体" w:eastAsia="宋体"/>
                <w:color w:val="auto"/>
                <w:kern w:val="44"/>
                <w:sz w:val="24"/>
                <w:szCs w:val="24"/>
                <w:lang w:eastAsia="zh-CN"/>
              </w:rPr>
            </w:pPr>
            <w:r>
              <w:rPr>
                <w:rFonts w:ascii="Times New Roman" w:hAnsi="Times New Roman" w:cs="Times New Roman"/>
                <w:color w:val="auto"/>
                <w:sz w:val="24"/>
                <w:szCs w:val="24"/>
              </w:rPr>
              <w:t>综上所述，项目</w:t>
            </w:r>
            <w:r>
              <w:rPr>
                <w:rFonts w:hint="eastAsia" w:ascii="Times New Roman" w:hAnsi="Times New Roman" w:cs="Times New Roman"/>
                <w:color w:val="auto"/>
                <w:sz w:val="24"/>
                <w:lang w:val="en-US" w:eastAsia="zh-CN"/>
              </w:rPr>
              <w:t>废水量为</w:t>
            </w:r>
            <w:r>
              <w:rPr>
                <w:rFonts w:hint="eastAsia" w:ascii="Times New Roman" w:hAnsi="Times New Roman" w:eastAsia="宋体" w:cs="Times New Roman"/>
                <w:color w:val="auto"/>
                <w:kern w:val="44"/>
                <w:sz w:val="24"/>
                <w:szCs w:val="24"/>
                <w:lang w:val="en-US" w:eastAsia="zh-CN"/>
              </w:rPr>
              <w:t>3.264</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326.4</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/a)</w:t>
            </w:r>
            <w:r>
              <w:rPr>
                <w:rFonts w:hint="eastAsia" w:ascii="Times New Roman" w:hAnsi="Times New Roman" w:eastAsia="宋体" w:cs="Times New Roman"/>
                <w:color w:val="auto"/>
                <w:sz w:val="24"/>
                <w:szCs w:val="24"/>
                <w:lang w:eastAsia="zh-CN"/>
              </w:rPr>
              <w:t>。</w:t>
            </w:r>
          </w:p>
          <w:p>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（3）水平衡</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项目水平衡详见下</w:t>
            </w:r>
            <w:r>
              <w:rPr>
                <w:rFonts w:hint="eastAsia" w:ascii="Times New Roman" w:hAnsi="Times New Roman" w:cs="Times New Roman"/>
                <w:color w:val="auto"/>
                <w:sz w:val="24"/>
                <w:lang w:eastAsia="zh-CN"/>
              </w:rPr>
              <w:t>图</w:t>
            </w:r>
            <w:r>
              <w:rPr>
                <w:rFonts w:ascii="Times New Roman" w:hAnsi="Times New Roman" w:cs="Times New Roman"/>
                <w:color w:val="auto"/>
                <w:sz w:val="24"/>
              </w:rPr>
              <w:t>：</w:t>
            </w:r>
          </w:p>
          <w:p>
            <w:pPr>
              <w:pStyle w:val="7"/>
              <w:adjustRightInd w:val="0"/>
              <w:snapToGrid w:val="0"/>
              <w:spacing w:before="156" w:beforeLines="50" w:after="0" w:line="360" w:lineRule="auto"/>
              <w:jc w:val="center"/>
              <w:rPr>
                <w:color w:val="FF0000"/>
              </w:rPr>
            </w:pPr>
            <w:r>
              <w:rPr>
                <w:color w:val="FF0000"/>
              </w:rPr>
              <w:object>
                <v:shape id="_x0000_i1025" o:spt="75" type="#_x0000_t75" style="height:224.05pt;width:433.5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pPr>
              <w:keepNext w:val="0"/>
              <w:keepLines w:val="0"/>
              <w:widowControl/>
              <w:suppressLineNumbers w:val="0"/>
              <w:jc w:val="center"/>
              <w:rPr>
                <w:rFonts w:ascii="Times New Roman" w:hAnsi="Times New Roman" w:eastAsia="宋体" w:cs="Times New Roman"/>
                <w:b/>
                <w:bCs/>
                <w:color w:val="auto"/>
              </w:rPr>
            </w:pPr>
            <w:r>
              <w:rPr>
                <w:rFonts w:ascii="Times New Roman" w:hAnsi="Times New Roman" w:eastAsia="宋体" w:cs="Times New Roman"/>
                <w:b/>
                <w:bCs/>
                <w:color w:val="auto"/>
              </w:rPr>
              <w:t>图2-1  项目用水平衡图（单位：t/d）</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lang w:val="en-US" w:eastAsia="zh-CN"/>
              </w:rPr>
              <w:t>、供电</w:t>
            </w:r>
          </w:p>
          <w:p>
            <w:pPr>
              <w:adjustRightInd w:val="0"/>
              <w:snapToGrid w:val="0"/>
              <w:spacing w:line="360" w:lineRule="auto"/>
              <w:ind w:firstLine="480" w:firstLineChars="200"/>
              <w:rPr>
                <w:rFonts w:hint="default" w:ascii="Times New Roman" w:hAnsi="Times New Roman" w:cs="Times New Roman"/>
                <w:bCs/>
                <w:sz w:val="24"/>
                <w:lang w:eastAsia="zh-CN"/>
              </w:rPr>
            </w:pPr>
            <w:r>
              <w:rPr>
                <w:rFonts w:hint="eastAsia" w:ascii="Times New Roman" w:hAnsi="Times New Roman" w:cs="Times New Roman"/>
                <w:bCs/>
                <w:sz w:val="24"/>
                <w:lang w:val="en-US" w:eastAsia="zh-CN"/>
              </w:rPr>
              <w:t>由当地乡镇供电网供电</w:t>
            </w:r>
            <w:r>
              <w:rPr>
                <w:rFonts w:hint="eastAsia" w:ascii="Times New Roman" w:hAnsi="Times New Roman" w:cs="Times New Roman"/>
                <w:bCs/>
                <w:sz w:val="24"/>
                <w:lang w:eastAsia="zh-CN"/>
              </w:rPr>
              <w:t>，</w:t>
            </w:r>
            <w:r>
              <w:rPr>
                <w:rFonts w:hint="default" w:ascii="Times New Roman" w:hAnsi="Times New Roman" w:cs="Times New Roman"/>
                <w:bCs/>
                <w:sz w:val="24"/>
                <w:lang w:eastAsia="zh-CN"/>
              </w:rPr>
              <w:t>项目年用电量为284.8万kW·h/a。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8</w:t>
            </w:r>
            <w:r>
              <w:rPr>
                <w:rFonts w:hint="default" w:ascii="Times New Roman" w:hAnsi="Times New Roman" w:eastAsia="宋体" w:cs="Times New Roman"/>
                <w:b/>
                <w:color w:val="auto"/>
                <w:sz w:val="24"/>
                <w:szCs w:val="24"/>
                <w:lang w:val="en-US" w:eastAsia="zh-CN"/>
              </w:rPr>
              <w:t>、供热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pPr>
            <w:r>
              <w:rPr>
                <w:rFonts w:hint="eastAsia" w:ascii="Times New Roman" w:hAnsi="Times New Roman" w:eastAsia="宋体" w:cs="Times New Roman"/>
                <w:bCs/>
                <w:sz w:val="24"/>
                <w:szCs w:val="24"/>
                <w:lang w:val="en-US" w:eastAsia="zh-CN"/>
              </w:rPr>
              <w:t>由厂区内一台40t/h循环流化床燃煤锅炉进行供热</w:t>
            </w:r>
            <w:r>
              <w:rPr>
                <w:rFonts w:hint="eastAsia" w:ascii="Times New Roman" w:hAnsi="Times New Roman" w:eastAsia="宋体" w:cs="Times New Roman"/>
                <w:bCs/>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456"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9"/>
              <w:adjustRightInd w:val="0"/>
              <w:snapToGrid w:val="0"/>
              <w:spacing w:beforeAutospacing="0" w:afterAutospacing="0"/>
              <w:jc w:val="center"/>
              <w:rPr>
                <w:rFonts w:hint="default" w:ascii="Times New Roman" w:hAnsi="Times New Roman"/>
                <w:sz w:val="21"/>
                <w:szCs w:val="21"/>
              </w:rPr>
            </w:pPr>
            <w:r>
              <w:rPr>
                <w:rFonts w:hint="default" w:ascii="Times New Roman" w:hAnsi="Times New Roman"/>
                <w:sz w:val="21"/>
                <w:szCs w:val="21"/>
              </w:rPr>
              <w:t>工艺流程和产排污环节</w:t>
            </w:r>
          </w:p>
        </w:tc>
        <w:tc>
          <w:tcPr>
            <w:tcW w:w="8894" w:type="dxa"/>
            <w:tcBorders>
              <w:top w:val="single" w:color="auto" w:sz="4" w:space="0"/>
              <w:left w:val="single" w:color="auto" w:sz="4" w:space="0"/>
              <w:bottom w:val="single" w:color="auto" w:sz="4" w:space="0"/>
              <w:right w:val="single" w:color="auto" w:sz="8" w:space="0"/>
            </w:tcBorders>
            <w:shd w:val="clear" w:color="auto" w:fill="auto"/>
          </w:tcPr>
          <w:p>
            <w:pPr>
              <w:pStyle w:val="2"/>
              <w:rPr>
                <w:rFonts w:ascii="Times New Roman" w:hAnsi="Times New Roman" w:cs="Times New Roman"/>
                <w:color w:val="000000"/>
                <w:sz w:val="24"/>
              </w:rPr>
            </w:pPr>
            <w:r>
              <w:rPr>
                <w:rFonts w:ascii="Times New Roman" w:hAnsi="Times New Roman" w:cs="Times New Roman"/>
                <w:color w:val="000000"/>
                <w:szCs w:val="28"/>
              </w:rPr>
              <w:t>工艺流程简述</w:t>
            </w:r>
            <w:r>
              <w:rPr>
                <w:rFonts w:ascii="Times New Roman" w:hAnsi="Times New Roman" w:cs="Times New Roman"/>
                <w:color w:val="000000"/>
                <w:sz w:val="24"/>
              </w:rPr>
              <w:t>：</w:t>
            </w:r>
          </w:p>
          <w:p>
            <w:pPr>
              <w:pStyle w:val="7"/>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firstLine="482" w:firstLineChars="200"/>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施工期</w:t>
            </w:r>
          </w:p>
          <w:p>
            <w:pPr>
              <w:adjustRightInd w:val="0"/>
              <w:snapToGrid w:val="0"/>
              <w:spacing w:line="360" w:lineRule="auto"/>
              <w:ind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szCs w:val="24"/>
                <w:lang w:val="en-US" w:eastAsia="zh-CN"/>
              </w:rPr>
              <w:t>项目</w:t>
            </w:r>
            <w:r>
              <w:rPr>
                <w:color w:val="auto"/>
                <w:sz w:val="24"/>
              </w:rPr>
              <w:t>施工期工程</w:t>
            </w:r>
            <w:r>
              <w:rPr>
                <w:rFonts w:hint="eastAsia"/>
                <w:color w:val="auto"/>
                <w:sz w:val="24"/>
                <w:lang w:val="en-US" w:eastAsia="zh-CN"/>
              </w:rPr>
              <w:t>为工程建设以及场地</w:t>
            </w:r>
            <w:r>
              <w:rPr>
                <w:color w:val="auto"/>
                <w:sz w:val="24"/>
              </w:rPr>
              <w:t>清理等，产污环节主要为</w:t>
            </w:r>
            <w:r>
              <w:rPr>
                <w:rFonts w:hint="eastAsia"/>
                <w:color w:val="auto"/>
                <w:sz w:val="24"/>
                <w:lang w:eastAsia="zh-CN"/>
              </w:rPr>
              <w:t>锅炉房、煤棚、</w:t>
            </w:r>
            <w:r>
              <w:rPr>
                <w:rFonts w:hint="eastAsia"/>
                <w:color w:val="auto"/>
                <w:sz w:val="24"/>
                <w:lang w:val="en-US" w:eastAsia="zh-CN"/>
              </w:rPr>
              <w:t>渣库</w:t>
            </w:r>
            <w:r>
              <w:rPr>
                <w:rFonts w:hint="eastAsia"/>
                <w:color w:val="auto"/>
                <w:sz w:val="24"/>
                <w:lang w:eastAsia="zh-CN"/>
              </w:rPr>
              <w:t>改造；</w:t>
            </w:r>
            <w:r>
              <w:rPr>
                <w:rFonts w:hint="eastAsia"/>
                <w:color w:val="auto"/>
                <w:sz w:val="24"/>
                <w:lang w:val="en-US" w:eastAsia="zh-CN"/>
              </w:rPr>
              <w:t>新建破碎楼、灰库以及锅炉安装</w:t>
            </w:r>
            <w:r>
              <w:rPr>
                <w:color w:val="auto"/>
                <w:sz w:val="24"/>
              </w:rPr>
              <w:t>等过程中产生的施工</w:t>
            </w:r>
            <w:r>
              <w:rPr>
                <w:rFonts w:hint="eastAsia"/>
                <w:color w:val="auto"/>
                <w:sz w:val="24"/>
              </w:rPr>
              <w:t>扬尘</w:t>
            </w:r>
            <w:r>
              <w:rPr>
                <w:color w:val="auto"/>
                <w:sz w:val="24"/>
              </w:rPr>
              <w:t>、施工设备噪声、</w:t>
            </w:r>
            <w:r>
              <w:rPr>
                <w:rFonts w:hint="eastAsia"/>
                <w:color w:val="auto"/>
                <w:sz w:val="24"/>
              </w:rPr>
              <w:t>固体废物</w:t>
            </w:r>
            <w:r>
              <w:rPr>
                <w:color w:val="auto"/>
                <w:sz w:val="24"/>
              </w:rPr>
              <w:t>等污染物</w:t>
            </w:r>
            <w:r>
              <w:rPr>
                <w:rFonts w:hint="eastAsia" w:ascii="Times New Roman" w:hAnsi="Times New Roman" w:cs="Times New Roman"/>
                <w:bCs/>
                <w:color w:val="auto"/>
                <w:sz w:val="24"/>
              </w:rPr>
              <w:t>。</w:t>
            </w:r>
          </w:p>
          <w:p>
            <w:pPr>
              <w:pStyle w:val="33"/>
              <w:keepNext w:val="0"/>
              <w:keepLines w:val="0"/>
              <w:pageBreakBefore w:val="0"/>
              <w:widowControl w:val="0"/>
              <w:numPr>
                <w:ilvl w:val="4"/>
                <w:numId w:val="0"/>
              </w:numPr>
              <w:kinsoku/>
              <w:wordWrap/>
              <w:overflowPunct/>
              <w:topLinePunct w:val="0"/>
              <w:autoSpaceDE w:val="0"/>
              <w:autoSpaceDN w:val="0"/>
              <w:bidi w:val="0"/>
              <w:adjustRightInd w:val="0"/>
              <w:snapToGrid/>
              <w:spacing w:before="0" w:beforeLines="0"/>
              <w:ind w:leftChars="0"/>
              <w:jc w:val="both"/>
              <w:textAlignment w:val="auto"/>
              <w:rPr>
                <w:b/>
                <w:color w:val="auto"/>
                <w:sz w:val="24"/>
              </w:rPr>
            </w:pPr>
            <w:r>
              <w:rPr>
                <w:b/>
                <w:color w:val="auto"/>
                <w:sz w:val="24"/>
              </w:rPr>
              <mc:AlternateContent>
                <mc:Choice Requires="wpg">
                  <w:drawing>
                    <wp:inline distT="0" distB="0" distL="114300" distR="114300">
                      <wp:extent cx="5535930" cy="1810385"/>
                      <wp:effectExtent l="7620" t="6350" r="19050" b="12065"/>
                      <wp:docPr id="19" name="组合 19"/>
                      <wp:cNvGraphicFramePr/>
                      <a:graphic xmlns:a="http://schemas.openxmlformats.org/drawingml/2006/main">
                        <a:graphicData uri="http://schemas.microsoft.com/office/word/2010/wordprocessingGroup">
                          <wpg:wgp>
                            <wpg:cNvGrpSpPr/>
                            <wpg:grpSpPr>
                              <a:xfrm>
                                <a:off x="0" y="0"/>
                                <a:ext cx="5536011" cy="1810385"/>
                                <a:chOff x="-5980" y="17728"/>
                                <a:chExt cx="92640" cy="23762"/>
                              </a:xfrm>
                            </wpg:grpSpPr>
                            <wps:wsp>
                              <wps:cNvPr id="71" name="矩形 71"/>
                              <wps:cNvSpPr/>
                              <wps:spPr>
                                <a:xfrm>
                                  <a:off x="24114" y="27568"/>
                                  <a:ext cx="12997" cy="4318"/>
                                </a:xfrm>
                                <a:prstGeom prst="rect">
                                  <a:avLst/>
                                </a:prstGeom>
                                <a:noFill/>
                                <a:ln w="15875" cap="flat" cmpd="sng">
                                  <a:solidFill>
                                    <a:srgbClr val="000000"/>
                                  </a:solidFill>
                                  <a:prstDash val="solid"/>
                                  <a:miter/>
                                  <a:headEnd type="none" w="med" len="med"/>
                                  <a:tailEnd type="none" w="med" len="med"/>
                                </a:ln>
                              </wps:spPr>
                              <wps:txbx>
                                <w:txbxContent>
                                  <w:p>
                                    <w:pPr>
                                      <w:pStyle w:val="19"/>
                                      <w:jc w:val="center"/>
                                      <w:textAlignment w:val="baseline"/>
                                      <w:rPr>
                                        <w:rFonts w:hint="eastAsia" w:eastAsia="宋体"/>
                                        <w:sz w:val="18"/>
                                        <w:szCs w:val="18"/>
                                        <w:lang w:eastAsia="zh-CN"/>
                                      </w:rPr>
                                    </w:pPr>
                                    <w:r>
                                      <w:rPr>
                                        <w:rFonts w:hint="eastAsia"/>
                                        <w:sz w:val="18"/>
                                        <w:szCs w:val="18"/>
                                        <w:lang w:eastAsia="zh-CN"/>
                                      </w:rPr>
                                      <w:t>新建车间</w:t>
                                    </w:r>
                                  </w:p>
                                  <w:p/>
                                </w:txbxContent>
                              </wps:txbx>
                              <wps:bodyPr anchor="ctr" upright="1"/>
                            </wps:wsp>
                            <wps:wsp>
                              <wps:cNvPr id="72" name="直接箭头连接符 72"/>
                              <wps:cNvCnPr>
                                <a:stCxn id="71" idx="3"/>
                              </wps:cNvCnPr>
                              <wps:spPr>
                                <a:xfrm flipV="1">
                                  <a:off x="37111" y="29723"/>
                                  <a:ext cx="3210" cy="9"/>
                                </a:xfrm>
                                <a:prstGeom prst="straightConnector1">
                                  <a:avLst/>
                                </a:prstGeom>
                                <a:ln w="15875" cap="flat" cmpd="sng">
                                  <a:solidFill>
                                    <a:srgbClr val="000000"/>
                                  </a:solidFill>
                                  <a:prstDash val="solid"/>
                                  <a:headEnd type="none" w="med" len="med"/>
                                  <a:tailEnd type="triangle" w="lg" len="lg"/>
                                </a:ln>
                              </wps:spPr>
                              <wps:bodyPr/>
                            </wps:wsp>
                            <wps:wsp>
                              <wps:cNvPr id="73" name="矩形 73"/>
                              <wps:cNvSpPr/>
                              <wps:spPr>
                                <a:xfrm>
                                  <a:off x="75249" y="27573"/>
                                  <a:ext cx="11411" cy="4314"/>
                                </a:xfrm>
                                <a:prstGeom prst="rect">
                                  <a:avLst/>
                                </a:prstGeom>
                                <a:noFill/>
                                <a:ln w="15875" cap="flat" cmpd="sng">
                                  <a:solidFill>
                                    <a:srgbClr val="000000"/>
                                  </a:solidFill>
                                  <a:prstDash val="solid"/>
                                  <a:miter/>
                                  <a:headEnd type="none" w="med" len="med"/>
                                  <a:tailEnd type="none" w="med" len="med"/>
                                </a:ln>
                              </wps:spPr>
                              <wps:txb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现场清理</w:t>
                                    </w:r>
                                  </w:p>
                                </w:txbxContent>
                              </wps:txbx>
                              <wps:bodyPr anchor="ctr" upright="1"/>
                            </wps:wsp>
                            <wps:wsp>
                              <wps:cNvPr id="74" name="直接箭头连接符 74"/>
                              <wps:cNvCnPr/>
                              <wps:spPr>
                                <a:xfrm>
                                  <a:off x="18351" y="29727"/>
                                  <a:ext cx="5199" cy="0"/>
                                </a:xfrm>
                                <a:prstGeom prst="straightConnector1">
                                  <a:avLst/>
                                </a:prstGeom>
                                <a:ln w="15875" cap="flat" cmpd="sng">
                                  <a:solidFill>
                                    <a:srgbClr val="000000"/>
                                  </a:solidFill>
                                  <a:prstDash val="solid"/>
                                  <a:headEnd type="none" w="med" len="med"/>
                                  <a:tailEnd type="triangle" w="lg" len="lg"/>
                                </a:ln>
                              </wps:spPr>
                              <wps:bodyPr/>
                            </wps:wsp>
                            <wps:wsp>
                              <wps:cNvPr id="75" name="矩形 75"/>
                              <wps:cNvSpPr/>
                              <wps:spPr>
                                <a:xfrm>
                                  <a:off x="59408" y="27573"/>
                                  <a:ext cx="11263" cy="4314"/>
                                </a:xfrm>
                                <a:prstGeom prst="rect">
                                  <a:avLst/>
                                </a:prstGeom>
                                <a:noFill/>
                                <a:ln w="15875" cap="flat" cmpd="sng">
                                  <a:solidFill>
                                    <a:srgbClr val="000000"/>
                                  </a:solidFill>
                                  <a:prstDash val="solid"/>
                                  <a:miter/>
                                  <a:headEnd type="none" w="med" len="med"/>
                                  <a:tailEnd type="none" w="med" len="med"/>
                                </a:ln>
                              </wps:spPr>
                              <wps:txb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表面修整</w:t>
                                    </w:r>
                                  </w:p>
                                </w:txbxContent>
                              </wps:txbx>
                              <wps:bodyPr anchor="ctr" upright="1"/>
                            </wps:wsp>
                            <wps:wsp>
                              <wps:cNvPr id="76" name="矩形 76"/>
                              <wps:cNvSpPr/>
                              <wps:spPr>
                                <a:xfrm>
                                  <a:off x="40322" y="27568"/>
                                  <a:ext cx="11438" cy="4318"/>
                                </a:xfrm>
                                <a:prstGeom prst="rect">
                                  <a:avLst/>
                                </a:prstGeom>
                                <a:noFill/>
                                <a:ln w="15875" cap="flat" cmpd="sng">
                                  <a:solidFill>
                                    <a:srgbClr val="000000"/>
                                  </a:solidFill>
                                  <a:prstDash val="solid"/>
                                  <a:miter/>
                                  <a:headEnd type="none" w="med" len="med"/>
                                  <a:tailEnd type="none" w="med" len="med"/>
                                </a:ln>
                              </wps:spPr>
                              <wps:txbx>
                                <w:txbxContent>
                                  <w:p>
                                    <w:pPr>
                                      <w:pStyle w:val="19"/>
                                      <w:jc w:val="center"/>
                                      <w:textAlignment w:val="baseline"/>
                                      <w:rPr>
                                        <w:rFonts w:hint="default"/>
                                        <w:sz w:val="18"/>
                                        <w:szCs w:val="18"/>
                                      </w:rPr>
                                    </w:pPr>
                                    <w:r>
                                      <w:rPr>
                                        <w:rFonts w:hint="eastAsia" w:asciiTheme="minorHAnsi" w:eastAsiaTheme="minorEastAsia" w:cstheme="minorBidi"/>
                                        <w:color w:val="000000" w:themeColor="text1"/>
                                        <w:kern w:val="24"/>
                                        <w:sz w:val="18"/>
                                        <w:szCs w:val="18"/>
                                        <w:lang w:eastAsia="zh-CN"/>
                                        <w14:textFill>
                                          <w14:solidFill>
                                            <w14:schemeClr w14:val="tx1"/>
                                          </w14:solidFill>
                                        </w14:textFill>
                                      </w:rPr>
                                      <w:t>锅炉安装</w:t>
                                    </w:r>
                                  </w:p>
                                  <w:p/>
                                </w:txbxContent>
                              </wps:txbx>
                              <wps:bodyPr anchor="ctr" upright="1"/>
                            </wps:wsp>
                            <wps:wsp>
                              <wps:cNvPr id="77" name="直接箭头连接符 77"/>
                              <wps:cNvCnPr>
                                <a:stCxn id="76" idx="3"/>
                              </wps:cNvCnPr>
                              <wps:spPr>
                                <a:xfrm flipV="1">
                                  <a:off x="51756" y="29723"/>
                                  <a:ext cx="7648" cy="9"/>
                                </a:xfrm>
                                <a:prstGeom prst="straightConnector1">
                                  <a:avLst/>
                                </a:prstGeom>
                                <a:ln w="15875" cap="flat" cmpd="sng">
                                  <a:solidFill>
                                    <a:srgbClr val="000000"/>
                                  </a:solidFill>
                                  <a:prstDash val="solid"/>
                                  <a:headEnd type="none" w="med" len="med"/>
                                  <a:tailEnd type="triangle" w="lg" len="lg"/>
                                </a:ln>
                              </wps:spPr>
                              <wps:bodyPr/>
                            </wps:wsp>
                            <wps:wsp>
                              <wps:cNvPr id="78" name="矩形 78"/>
                              <wps:cNvSpPr/>
                              <wps:spPr>
                                <a:xfrm>
                                  <a:off x="-5980" y="27346"/>
                                  <a:ext cx="24345" cy="4301"/>
                                </a:xfrm>
                                <a:prstGeom prst="rect">
                                  <a:avLst/>
                                </a:prstGeom>
                                <a:noFill/>
                                <a:ln w="15875" cap="flat" cmpd="sng">
                                  <a:solidFill>
                                    <a:srgbClr val="000000"/>
                                  </a:solidFill>
                                  <a:prstDash val="solid"/>
                                  <a:miter/>
                                  <a:headEnd type="none" w="med" len="med"/>
                                  <a:tailEnd type="none" w="med" len="med"/>
                                </a:ln>
                              </wps:spPr>
                              <wps:txbx>
                                <w:txbxContent>
                                  <w:p>
                                    <w:pPr>
                                      <w:pStyle w:val="19"/>
                                      <w:jc w:val="center"/>
                                      <w:textAlignment w:val="baseline"/>
                                      <w:rPr>
                                        <w:rFonts w:hint="eastAsia" w:eastAsia="宋体"/>
                                        <w:sz w:val="18"/>
                                        <w:szCs w:val="18"/>
                                        <w:lang w:eastAsia="zh-CN"/>
                                      </w:rPr>
                                    </w:pPr>
                                    <w:r>
                                      <w:rPr>
                                        <w:rFonts w:hint="eastAsia" w:asciiTheme="minorHAnsi" w:eastAsiaTheme="minorEastAsia" w:cstheme="minorBidi"/>
                                        <w:color w:val="000000" w:themeColor="text1"/>
                                        <w:kern w:val="24"/>
                                        <w:sz w:val="18"/>
                                        <w:szCs w:val="18"/>
                                        <w:lang w:eastAsia="zh-CN"/>
                                        <w14:textFill>
                                          <w14:solidFill>
                                            <w14:schemeClr w14:val="tx1"/>
                                          </w14:solidFill>
                                        </w14:textFill>
                                      </w:rPr>
                                      <w:t>锅炉房、渣库、煤棚改造</w:t>
                                    </w:r>
                                  </w:p>
                                </w:txbxContent>
                              </wps:txbx>
                              <wps:bodyPr anchor="ctr" upright="1"/>
                            </wps:wsp>
                            <wps:wsp>
                              <wps:cNvPr id="79" name="直接箭头连接符 79"/>
                              <wps:cNvCnPr/>
                              <wps:spPr>
                                <a:xfrm rot="5400000">
                                  <a:off x="10072" y="34402"/>
                                  <a:ext cx="5032" cy="0"/>
                                </a:xfrm>
                                <a:prstGeom prst="straightConnector1">
                                  <a:avLst/>
                                </a:prstGeom>
                                <a:ln w="9525" cap="flat" cmpd="sng">
                                  <a:solidFill>
                                    <a:srgbClr val="000000"/>
                                  </a:solidFill>
                                  <a:prstDash val="dash"/>
                                  <a:headEnd type="none" w="med" len="med"/>
                                  <a:tailEnd type="triangle" w="lg" len="med"/>
                                </a:ln>
                              </wps:spPr>
                              <wps:bodyPr/>
                            </wps:wsp>
                            <wps:wsp>
                              <wps:cNvPr id="80" name="直接箭头连接符 80"/>
                              <wps:cNvCnPr/>
                              <wps:spPr>
                                <a:xfrm flipV="1">
                                  <a:off x="71215" y="29725"/>
                                  <a:ext cx="4034" cy="106"/>
                                </a:xfrm>
                                <a:prstGeom prst="straightConnector1">
                                  <a:avLst/>
                                </a:prstGeom>
                                <a:ln w="15875" cap="flat" cmpd="sng">
                                  <a:solidFill>
                                    <a:srgbClr val="000000"/>
                                  </a:solidFill>
                                  <a:prstDash val="solid"/>
                                  <a:headEnd type="none" w="med" len="med"/>
                                  <a:tailEnd type="triangle" w="lg" len="lg"/>
                                </a:ln>
                              </wps:spPr>
                              <wps:bodyPr/>
                            </wps:wsp>
                            <wps:wsp>
                              <wps:cNvPr id="81" name="直接箭头连接符 81"/>
                              <wps:cNvCnPr/>
                              <wps:spPr>
                                <a:xfrm rot="5400000">
                                  <a:off x="44521" y="34529"/>
                                  <a:ext cx="5032" cy="0"/>
                                </a:xfrm>
                                <a:prstGeom prst="straightConnector1">
                                  <a:avLst/>
                                </a:prstGeom>
                                <a:ln w="12700" cap="flat" cmpd="sng">
                                  <a:solidFill>
                                    <a:srgbClr val="000000"/>
                                  </a:solidFill>
                                  <a:prstDash val="dash"/>
                                  <a:headEnd type="none" w="med" len="med"/>
                                  <a:tailEnd type="triangle" w="lg" len="lg"/>
                                </a:ln>
                              </wps:spPr>
                              <wps:bodyPr/>
                            </wps:wsp>
                            <wps:wsp>
                              <wps:cNvPr id="82" name="直接箭头连接符 82"/>
                              <wps:cNvCnPr/>
                              <wps:spPr>
                                <a:xfrm rot="5400000">
                                  <a:off x="77970" y="34529"/>
                                  <a:ext cx="5032" cy="0"/>
                                </a:xfrm>
                                <a:prstGeom prst="straightConnector1">
                                  <a:avLst/>
                                </a:prstGeom>
                                <a:ln w="12700" cap="flat" cmpd="sng">
                                  <a:solidFill>
                                    <a:srgbClr val="000000"/>
                                  </a:solidFill>
                                  <a:prstDash val="dash"/>
                                  <a:headEnd type="none" w="med" len="med"/>
                                  <a:tailEnd type="triangle" w="lg" len="lg"/>
                                </a:ln>
                              </wps:spPr>
                              <wps:bodyPr/>
                            </wps:wsp>
                            <wps:wsp>
                              <wps:cNvPr id="83" name="矩形 83"/>
                              <wps:cNvSpPr/>
                              <wps:spPr>
                                <a:xfrm>
                                  <a:off x="7207" y="36918"/>
                                  <a:ext cx="11144" cy="4318"/>
                                </a:xfrm>
                                <a:prstGeom prst="rect">
                                  <a:avLst/>
                                </a:prstGeom>
                                <a:noFill/>
                                <a:ln w="12700" cap="flat" cmpd="sng">
                                  <a:solidFill>
                                    <a:srgbClr val="000000"/>
                                  </a:solidFill>
                                  <a:prstDash val="dash"/>
                                  <a:miter/>
                                  <a:headEnd type="none" w="med" len="med"/>
                                  <a:tailEnd type="none" w="med" len="med"/>
                                </a:ln>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wps:txbx>
                              <wps:bodyPr anchor="ctr" upright="1"/>
                            </wps:wsp>
                            <wps:wsp>
                              <wps:cNvPr id="84" name="矩形 84"/>
                              <wps:cNvSpPr/>
                              <wps:spPr>
                                <a:xfrm>
                                  <a:off x="40719" y="37172"/>
                                  <a:ext cx="13113" cy="4318"/>
                                </a:xfrm>
                                <a:prstGeom prst="rect">
                                  <a:avLst/>
                                </a:prstGeom>
                                <a:noFill/>
                                <a:ln w="12700" cap="flat" cmpd="sng">
                                  <a:solidFill>
                                    <a:srgbClr val="000000"/>
                                  </a:solidFill>
                                  <a:prstDash val="dash"/>
                                  <a:miter/>
                                  <a:headEnd type="none" w="med" len="med"/>
                                  <a:tailEnd type="none" w="med" len="med"/>
                                </a:ln>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噪声</w:t>
                                    </w:r>
                                  </w:p>
                                </w:txbxContent>
                              </wps:txbx>
                              <wps:bodyPr anchor="ctr" upright="1"/>
                            </wps:wsp>
                            <wps:wsp>
                              <wps:cNvPr id="85" name="矩形 85"/>
                              <wps:cNvSpPr/>
                              <wps:spPr>
                                <a:xfrm>
                                  <a:off x="41399" y="17728"/>
                                  <a:ext cx="11160" cy="4318"/>
                                </a:xfrm>
                                <a:prstGeom prst="rect">
                                  <a:avLst/>
                                </a:prstGeom>
                                <a:noFill/>
                                <a:ln w="12700" cap="flat" cmpd="sng">
                                  <a:solidFill>
                                    <a:srgbClr val="000000"/>
                                  </a:solidFill>
                                  <a:prstDash val="dash"/>
                                  <a:miter/>
                                  <a:headEnd type="none" w="med" len="med"/>
                                  <a:tailEnd type="none" w="med" len="med"/>
                                </a:ln>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扬尘</w:t>
                                    </w:r>
                                  </w:p>
                                </w:txbxContent>
                              </wps:txbx>
                              <wps:bodyPr anchor="ctr" upright="1"/>
                            </wps:wsp>
                            <wps:wsp>
                              <wps:cNvPr id="86" name="矩形 86"/>
                              <wps:cNvSpPr/>
                              <wps:spPr>
                                <a:xfrm>
                                  <a:off x="75342" y="37172"/>
                                  <a:ext cx="11160" cy="4318"/>
                                </a:xfrm>
                                <a:prstGeom prst="rect">
                                  <a:avLst/>
                                </a:prstGeom>
                                <a:noFill/>
                                <a:ln w="12700" cap="flat" cmpd="sng">
                                  <a:solidFill>
                                    <a:srgbClr val="000000"/>
                                  </a:solidFill>
                                  <a:prstDash val="dash"/>
                                  <a:miter/>
                                  <a:headEnd type="none" w="med" len="med"/>
                                  <a:tailEnd type="none" w="med" len="med"/>
                                </a:ln>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wps:txbx>
                              <wps:bodyPr anchor="ctr" upright="1"/>
                            </wps:wsp>
                            <wps:wsp>
                              <wps:cNvPr id="87" name="直接箭头连接符 87"/>
                              <wps:cNvCnPr/>
                              <wps:spPr>
                                <a:xfrm rot="-5400000" flipV="1">
                                  <a:off x="44643" y="24565"/>
                                  <a:ext cx="5033" cy="0"/>
                                </a:xfrm>
                                <a:prstGeom prst="straightConnector1">
                                  <a:avLst/>
                                </a:prstGeom>
                                <a:ln w="12700" cap="flat" cmpd="sng">
                                  <a:solidFill>
                                    <a:srgbClr val="000000"/>
                                  </a:solidFill>
                                  <a:prstDash val="dash"/>
                                  <a:headEnd type="none" w="med" len="med"/>
                                  <a:tailEnd type="triangle" w="lg" len="lg"/>
                                </a:ln>
                              </wps:spPr>
                              <wps:bodyPr/>
                            </wps:wsp>
                            <wps:wsp>
                              <wps:cNvPr id="88" name="直接箭头连接符 88"/>
                              <wps:cNvCnPr/>
                              <wps:spPr>
                                <a:xfrm>
                                  <a:off x="17636" y="32129"/>
                                  <a:ext cx="20883" cy="5761"/>
                                </a:xfrm>
                                <a:prstGeom prst="straightConnector1">
                                  <a:avLst/>
                                </a:prstGeom>
                                <a:ln w="12700" cap="flat" cmpd="sng">
                                  <a:solidFill>
                                    <a:srgbClr val="000000"/>
                                  </a:solidFill>
                                  <a:prstDash val="dash"/>
                                  <a:headEnd type="none" w="med" len="med"/>
                                  <a:tailEnd type="triangle" w="lg" len="lg"/>
                                </a:ln>
                              </wps:spPr>
                              <wps:bodyPr/>
                            </wps:wsp>
                            <wps:wsp>
                              <wps:cNvPr id="89" name="直接箭头连接符 89"/>
                              <wps:cNvCnPr/>
                              <wps:spPr>
                                <a:xfrm>
                                  <a:off x="34198" y="32129"/>
                                  <a:ext cx="5761" cy="5041"/>
                                </a:xfrm>
                                <a:prstGeom prst="straightConnector1">
                                  <a:avLst/>
                                </a:prstGeom>
                                <a:ln w="12700" cap="flat" cmpd="sng">
                                  <a:solidFill>
                                    <a:srgbClr val="000000"/>
                                  </a:solidFill>
                                  <a:prstDash val="dash"/>
                                  <a:headEnd type="none" w="med" len="med"/>
                                  <a:tailEnd type="triangle" w="lg" len="lg"/>
                                </a:ln>
                              </wps:spPr>
                              <wps:bodyPr/>
                            </wps:wsp>
                            <wps:wsp>
                              <wps:cNvPr id="90" name="直接箭头连接符 90"/>
                              <wps:cNvCnPr/>
                              <wps:spPr>
                                <a:xfrm flipV="1">
                                  <a:off x="34198" y="22048"/>
                                  <a:ext cx="7201" cy="5041"/>
                                </a:xfrm>
                                <a:prstGeom prst="straightConnector1">
                                  <a:avLst/>
                                </a:prstGeom>
                                <a:ln w="12700" cap="flat" cmpd="sng">
                                  <a:solidFill>
                                    <a:srgbClr val="000000"/>
                                  </a:solidFill>
                                  <a:prstDash val="dash"/>
                                  <a:headEnd type="none" w="med" len="med"/>
                                  <a:tailEnd type="triangle" w="lg" len="lg"/>
                                </a:ln>
                              </wps:spPr>
                              <wps:bodyPr/>
                            </wps:wsp>
                            <wps:wsp>
                              <wps:cNvPr id="91" name="直接箭头连接符 91"/>
                              <wps:cNvCnPr/>
                              <wps:spPr>
                                <a:xfrm flipH="1">
                                  <a:off x="54360" y="32129"/>
                                  <a:ext cx="5041" cy="5041"/>
                                </a:xfrm>
                                <a:prstGeom prst="straightConnector1">
                                  <a:avLst/>
                                </a:prstGeom>
                                <a:ln w="12700" cap="flat" cmpd="sng">
                                  <a:solidFill>
                                    <a:srgbClr val="000000"/>
                                  </a:solidFill>
                                  <a:prstDash val="dash"/>
                                  <a:headEnd type="none" w="med" len="med"/>
                                  <a:tailEnd type="triangle" w="lg" len="lg"/>
                                </a:ln>
                              </wps:spPr>
                              <wps:bodyPr/>
                            </wps:wsp>
                            <wps:wsp>
                              <wps:cNvPr id="92" name="直接箭头连接符 92"/>
                              <wps:cNvCnPr/>
                              <wps:spPr>
                                <a:xfrm flipH="1" flipV="1">
                                  <a:off x="53640" y="22048"/>
                                  <a:ext cx="5761" cy="5041"/>
                                </a:xfrm>
                                <a:prstGeom prst="straightConnector1">
                                  <a:avLst/>
                                </a:prstGeom>
                                <a:ln w="12700" cap="flat" cmpd="sng">
                                  <a:solidFill>
                                    <a:srgbClr val="000000"/>
                                  </a:solidFill>
                                  <a:prstDash val="dash"/>
                                  <a:headEnd type="none" w="med" len="med"/>
                                  <a:tailEnd type="triangle" w="lg" len="lg"/>
                                </a:ln>
                              </wps:spPr>
                              <wps:bodyPr/>
                            </wps:wsp>
                            <wps:wsp>
                              <wps:cNvPr id="93" name="直接箭头连接符 93"/>
                              <wps:cNvCnPr/>
                              <wps:spPr>
                                <a:xfrm flipV="1">
                                  <a:off x="18356" y="19888"/>
                                  <a:ext cx="22323" cy="7201"/>
                                </a:xfrm>
                                <a:prstGeom prst="straightConnector1">
                                  <a:avLst/>
                                </a:prstGeom>
                                <a:ln w="12700" cap="flat" cmpd="sng">
                                  <a:solidFill>
                                    <a:srgbClr val="000000"/>
                                  </a:solidFill>
                                  <a:prstDash val="dash"/>
                                  <a:headEnd type="none" w="med" len="med"/>
                                  <a:tailEnd type="triangle" w="lg" len="lg"/>
                                </a:ln>
                              </wps:spPr>
                              <wps:bodyPr/>
                            </wps:wsp>
                            <wps:wsp>
                              <wps:cNvPr id="94" name="直接箭头连接符 94"/>
                              <wps:cNvCnPr/>
                              <wps:spPr>
                                <a:xfrm flipH="1" flipV="1">
                                  <a:off x="53069" y="19745"/>
                                  <a:ext cx="22318" cy="7200"/>
                                </a:xfrm>
                                <a:prstGeom prst="straightConnector1">
                                  <a:avLst/>
                                </a:prstGeom>
                                <a:ln w="12700" cap="flat" cmpd="sng">
                                  <a:solidFill>
                                    <a:srgbClr val="000000"/>
                                  </a:solidFill>
                                  <a:prstDash val="dash"/>
                                  <a:headEnd type="none" w="med" len="med"/>
                                  <a:tailEnd type="triangle" w="lg" len="lg"/>
                                </a:ln>
                              </wps:spPr>
                              <wps:bodyPr/>
                            </wps:wsp>
                            <wps:wsp>
                              <wps:cNvPr id="95" name="直接箭头连接符 95"/>
                              <wps:cNvCnPr/>
                              <wps:spPr>
                                <a:xfrm flipH="1">
                                  <a:off x="54360" y="32129"/>
                                  <a:ext cx="21603" cy="7921"/>
                                </a:xfrm>
                                <a:prstGeom prst="straightConnector1">
                                  <a:avLst/>
                                </a:prstGeom>
                                <a:ln w="12700" cap="flat" cmpd="sng">
                                  <a:solidFill>
                                    <a:srgbClr val="000000"/>
                                  </a:solidFill>
                                  <a:prstDash val="dash"/>
                                  <a:headEnd type="none" w="med" len="med"/>
                                  <a:tailEnd type="triangle" w="lg" len="lg"/>
                                </a:ln>
                              </wps:spPr>
                              <wps:bodyPr/>
                            </wps:wsp>
                          </wpg:wgp>
                        </a:graphicData>
                      </a:graphic>
                    </wp:inline>
                  </w:drawing>
                </mc:Choice>
                <mc:Fallback>
                  <w:pict>
                    <v:group id="_x0000_s1026" o:spid="_x0000_s1026" o:spt="203" style="height:142.55pt;width:435.9pt;" coordorigin="-5980,17728" coordsize="92640,23762" o:gfxdata="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">
                      <o:lock v:ext="edit" aspectratio="f"/>
                      <v:rect id="_x0000_s1026" o:spid="_x0000_s1026" o:spt="1" style="position:absolute;left:24114;top:27568;height:4318;width:12997;v-text-anchor:middle;" filled="f" stroked="t" coordsize="21600,21600" o:gfxdata="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yqV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9"/>
                                <w:jc w:val="center"/>
                                <w:textAlignment w:val="baseline"/>
                                <w:rPr>
                                  <w:rFonts w:hint="eastAsia" w:eastAsia="宋体"/>
                                  <w:sz w:val="18"/>
                                  <w:szCs w:val="18"/>
                                  <w:lang w:eastAsia="zh-CN"/>
                                </w:rPr>
                              </w:pPr>
                              <w:r>
                                <w:rPr>
                                  <w:rFonts w:hint="eastAsia"/>
                                  <w:sz w:val="18"/>
                                  <w:szCs w:val="18"/>
                                  <w:lang w:eastAsia="zh-CN"/>
                                </w:rPr>
                                <w:t>新建车间</w:t>
                              </w:r>
                            </w:p>
                            <w:p/>
                          </w:txbxContent>
                        </v:textbox>
                      </v:rect>
                      <v:shape id="_x0000_s1026" o:spid="_x0000_s1026" o:spt="32" type="#_x0000_t32" style="position:absolute;left:37111;top:29723;flip:y;height:9;width:3210;" filled="f" stroked="t" coordsize="21600,21600" o:gfxdata="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TWx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75249;top:27573;height:4314;width:11411;v-text-anchor:middle;" filled="f" stroked="t" coordsize="21600,21600" o:gfxdata="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F5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现场清理</w:t>
                              </w:r>
                            </w:p>
                          </w:txbxContent>
                        </v:textbox>
                      </v:rect>
                      <v:shape id="_x0000_s1026" o:spid="_x0000_s1026" o:spt="32" type="#_x0000_t32" style="position:absolute;left:18351;top:29727;height:0;width:5199;" filled="f" stroked="t" coordsize="21600,21600" o:gfxdata="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R/t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59408;top:27573;height:4314;width:11263;v-text-anchor:middle;" filled="f" stroked="t" coordsize="21600,21600" o:gfxdata="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CyW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表面修整</w:t>
                              </w:r>
                            </w:p>
                          </w:txbxContent>
                        </v:textbox>
                      </v:rect>
                      <v:rect id="_x0000_s1026" o:spid="_x0000_s1026" o:spt="1" style="position:absolute;left:40322;top:27568;height:4318;width:11438;v-text-anchor:middle;" filled="f" stroked="t" coordsize="21600,21600" o:gfxdata="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KsuG8AAAA&#10;2w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pStyle w:val="19"/>
                                <w:jc w:val="center"/>
                                <w:textAlignment w:val="baseline"/>
                                <w:rPr>
                                  <w:rFonts w:hint="default"/>
                                  <w:sz w:val="18"/>
                                  <w:szCs w:val="18"/>
                                </w:rPr>
                              </w:pPr>
                              <w:r>
                                <w:rPr>
                                  <w:rFonts w:hint="eastAsia" w:asciiTheme="minorHAnsi" w:eastAsiaTheme="minorEastAsia" w:cstheme="minorBidi"/>
                                  <w:color w:val="000000" w:themeColor="text1"/>
                                  <w:kern w:val="24"/>
                                  <w:sz w:val="18"/>
                                  <w:szCs w:val="18"/>
                                  <w:lang w:eastAsia="zh-CN"/>
                                  <w14:textFill>
                                    <w14:solidFill>
                                      <w14:schemeClr w14:val="tx1"/>
                                    </w14:solidFill>
                                  </w14:textFill>
                                </w:rPr>
                                <w:t>锅炉安装</w:t>
                              </w:r>
                            </w:p>
                            <w:p/>
                          </w:txbxContent>
                        </v:textbox>
                      </v:rect>
                      <v:shape id="_x0000_s1026" o:spid="_x0000_s1026" o:spt="32" type="#_x0000_t32" style="position:absolute;left:51756;top:29723;flip:y;height:9;width:7648;" filled="f" stroked="t" coordsize="21600,21600" o:gfxdata="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pYp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5980;top:27346;height:4301;width:24345;v-text-anchor:middle;" filled="f" stroked="t" coordsize="21600,21600" o:gfxdata="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mDCLsAAADb&#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pStyle w:val="19"/>
                                <w:jc w:val="center"/>
                                <w:textAlignment w:val="baseline"/>
                                <w:rPr>
                                  <w:rFonts w:hint="eastAsia" w:eastAsia="宋体"/>
                                  <w:sz w:val="18"/>
                                  <w:szCs w:val="18"/>
                                  <w:lang w:eastAsia="zh-CN"/>
                                </w:rPr>
                              </w:pPr>
                              <w:r>
                                <w:rPr>
                                  <w:rFonts w:hint="eastAsia" w:asciiTheme="minorHAnsi" w:eastAsiaTheme="minorEastAsia" w:cstheme="minorBidi"/>
                                  <w:color w:val="000000" w:themeColor="text1"/>
                                  <w:kern w:val="24"/>
                                  <w:sz w:val="18"/>
                                  <w:szCs w:val="18"/>
                                  <w:lang w:eastAsia="zh-CN"/>
                                  <w14:textFill>
                                    <w14:solidFill>
                                      <w14:schemeClr w14:val="tx1"/>
                                    </w14:solidFill>
                                  </w14:textFill>
                                </w:rPr>
                                <w:t>锅炉房、渣库、煤棚改造</w:t>
                              </w:r>
                            </w:p>
                          </w:txbxContent>
                        </v:textbox>
                      </v:rect>
                      <v:shape id="_x0000_s1026" o:spid="_x0000_s1026" o:spt="32" type="#_x0000_t32" style="position:absolute;left:10072;top:34402;height:0;width:5032;rotation:5898240f;" filled="f" stroked="t" coordsize="21600,21600" o:gfxdata="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Wc2a8AAAA&#10;2wAAAA8AAAAAAAAAAQAgAAAAIgAAAGRycy9kb3ducmV2LnhtbFBLAQIUABQAAAAIAIdO4kAzLwWe&#10;OwAAADkAAAAQAAAAAAAAAAEAIAAAAAsBAABkcnMvc2hhcGV4bWwueG1sUEsFBgAAAAAGAAYAWwEA&#10;ALUDAAAAAA==&#10;">
                        <v:fill on="f" focussize="0,0"/>
                        <v:stroke color="#000000" joinstyle="round" dashstyle="dash" endarrow="block" endarrowwidth="wide"/>
                        <v:imagedata o:title=""/>
                        <o:lock v:ext="edit" aspectratio="f"/>
                      </v:shape>
                      <v:shape id="_x0000_s1026" o:spid="_x0000_s1026" o:spt="32" type="#_x0000_t32" style="position:absolute;left:71215;top:29725;flip:y;height:106;width:4034;" filled="f" stroked="t" coordsize="21600,21600" o:gfxdata="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Ofnq5AAAA2wAA&#10;AA8AAAAAAAAAAQAgAAAAIgAAAGRycy9kb3ducmV2LnhtbFBLAQIUABQAAAAIAIdO4kAzLwWeOwAA&#10;ADkAAAAQAAAAAAAAAAEAIAAAAAgBAABkcnMvc2hhcGV4bWwueG1sUEsFBgAAAAAGAAYAWwEAALID&#10;AAAAAA==&#10;">
                        <v:fill on="f" focussize="0,0"/>
                        <v:stroke weight="1.25pt" color="#000000" joinstyle="round" endarrow="block" endarrowwidth="wide" endarrowlength="long"/>
                        <v:imagedata o:title=""/>
                        <o:lock v:ext="edit" aspectratio="f"/>
                      </v:shape>
                      <v:shape id="_x0000_s1026" o:spid="_x0000_s1026" o:spt="32" type="#_x0000_t32" style="position:absolute;left:44521;top:34529;height:0;width:5032;rotation:5898240f;" filled="f" stroked="t" coordsize="21600,21600" o:gfxdata="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KWm5AAAA2wAA&#10;AA8AAAAAAAAAAQAgAAAAIgAAAGRycy9kb3ducmV2LnhtbFBLAQIUABQAAAAIAIdO4kAzLwWeOwAA&#10;ADkAAAAQAAAAAAAAAAEAIAAAAAgBAABkcnMvc2hhcGV4bWwueG1sUEsFBgAAAAAGAAYAWwEAALID&#10;A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77970;top:34529;height:0;width:5032;rotation:5898240f;" filled="f" stroked="t" coordsize="21600,21600" o:gfxdata="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ltx65AAAA2wAA&#10;AA8AAAAAAAAAAQAgAAAAIgAAAGRycy9kb3ducmV2LnhtbFBLAQIUABQAAAAIAIdO4kAzLwWeOwAA&#10;ADkAAAAQAAAAAAAAAAEAIAAAAAgBAABkcnMvc2hhcGV4bWwueG1sUEsFBgAAAAAGAAYAWwEAALID&#10;AAAAAA==&#10;">
                        <v:fill on="f" focussize="0,0"/>
                        <v:stroke weight="1pt" color="#000000" joinstyle="round" dashstyle="dash" endarrow="block" endarrowwidth="wide" endarrowlength="long"/>
                        <v:imagedata o:title=""/>
                        <o:lock v:ext="edit" aspectratio="f"/>
                      </v:shape>
                      <v:rect id="_x0000_s1026" o:spid="_x0000_s1026" o:spt="1" style="position:absolute;left:7207;top:36918;height:4318;width:11144;v-text-anchor:middle;" filled="f" stroked="t" coordsize="21600,21600" o:gfxdata="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840G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v:textbox>
                      </v:rect>
                      <v:rect id="_x0000_s1026" o:spid="_x0000_s1026" o:spt="1" style="position:absolute;left:40719;top:37172;height:4318;width:13113;v-text-anchor:middle;" filled="f" stroked="t" coordsize="21600,21600" o:gfxdata="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VezW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噪声</w:t>
                              </w:r>
                            </w:p>
                          </w:txbxContent>
                        </v:textbox>
                      </v:rect>
                      <v:rect id="_x0000_s1026" o:spid="_x0000_s1026" o:spt="1" style="position:absolute;left:41399;top:17728;height:4318;width:11160;v-text-anchor:middle;" filled="f" stroked="t" coordsize="21600,21600" o:gfxdata="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Z3q6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扬尘</w:t>
                              </w:r>
                            </w:p>
                          </w:txbxContent>
                        </v:textbox>
                      </v:rect>
                      <v:rect id="_x0000_s1026" o:spid="_x0000_s1026" o:spt="1" style="position:absolute;left:75342;top:37172;height:4318;width:11160;v-text-anchor:middle;" filled="f" stroked="t" coordsize="21600,21600" o:gfxdata="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LQNm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v:textbox>
                      </v:rect>
                      <v:shape id="_x0000_s1026" o:spid="_x0000_s1026" o:spt="32" type="#_x0000_t32" style="position:absolute;left:44643;top:24565;flip:y;height:0;width:5033;rotation:5898240f;" filled="f" stroked="t" coordsize="21600,21600" o:gfxdata="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rWIL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17636;top:32129;height:5761;width:20883;" filled="f" stroked="t" coordsize="21600,21600" o:gfxdata="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7fb7sAAADb&#10;AAAADwAAAAAAAAABACAAAAAiAAAAZHJzL2Rvd25yZXYueG1sUEsBAhQAFAAAAAgAh07iQDMvBZ47&#10;AAAAOQAAABAAAAAAAAAAAQAgAAAACgEAAGRycy9zaGFwZXhtbC54bWxQSwUGAAAAAAYABgBbAQAA&#10;tA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34198;top:32129;height:5041;width:5761;" filled="f" stroked="t" coordsize="21600,21600" o:gfxdata="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nr0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34198;top:22048;flip:y;height:5041;width:7201;" filled="f" stroked="t" coordsize="21600,21600" o:gfxdata="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uC+bsAAADb&#10;AAAADwAAAAAAAAABACAAAAAiAAAAZHJzL2Rvd25yZXYueG1sUEsBAhQAFAAAAAgAh07iQDMvBZ47&#10;AAAAOQAAABAAAAAAAAAAAQAgAAAACgEAAGRycy9zaGFwZXhtbC54bWxQSwUGAAAAAAYABgBbAQAA&#10;tA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4360;top:32129;flip:x;height:5041;width:5041;" filled="f" stroked="t" coordsize="21600,21600" o:gfxdata="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cnYr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3640;top:22048;flip:x y;height:5041;width:5761;" filled="f" stroked="t" coordsize="21600,21600" o:gfxdata="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Peq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18356;top:19888;flip:y;height:7201;width:22323;" filled="f" stroked="t" coordsize="21600,21600" o:gfxdata="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kcjr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3069;top:19745;flip:x y;height:7200;width:22318;" filled="f" stroked="t" coordsize="21600,21600" o:gfxdata="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cpF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4360;top:32129;flip:x;height:7921;width:21603;" filled="f" stroked="t" coordsize="21600,21600" o:gfxdata="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whYb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w10:wrap type="none"/>
                      <w10:anchorlock/>
                    </v:group>
                  </w:pict>
                </mc:Fallback>
              </mc:AlternateContent>
            </w:r>
          </w:p>
          <w:p>
            <w:pPr>
              <w:pStyle w:val="49"/>
              <w:keepNext w:val="0"/>
              <w:keepLines w:val="0"/>
              <w:pageBreakBefore w:val="0"/>
              <w:widowControl w:val="0"/>
              <w:kinsoku/>
              <w:wordWrap/>
              <w:overflowPunct/>
              <w:topLinePunct w:val="0"/>
              <w:autoSpaceDE/>
              <w:autoSpaceDN/>
              <w:bidi w:val="0"/>
              <w:adjustRightInd/>
              <w:snapToGrid w:val="0"/>
              <w:spacing w:before="157" w:beforeLines="50"/>
              <w:textAlignment w:val="auto"/>
              <w:rPr>
                <w:rFonts w:cs="Times New Roman"/>
                <w:color w:val="auto"/>
              </w:rPr>
            </w:pPr>
            <w:r>
              <w:rPr>
                <w:rFonts w:cs="Times New Roman"/>
                <w:color w:val="auto"/>
              </w:rPr>
              <w:t>图</w:t>
            </w:r>
            <w:r>
              <w:rPr>
                <w:rFonts w:hint="eastAsia" w:cs="Times New Roman"/>
                <w:color w:val="auto"/>
              </w:rPr>
              <w:t>2-</w:t>
            </w:r>
            <w:r>
              <w:rPr>
                <w:rFonts w:hint="eastAsia" w:cs="Times New Roman"/>
                <w:color w:val="auto"/>
                <w:lang w:val="en-US" w:eastAsia="zh-CN"/>
              </w:rPr>
              <w:t>2</w:t>
            </w:r>
            <w:r>
              <w:rPr>
                <w:rFonts w:cs="Times New Roman"/>
                <w:color w:val="auto"/>
              </w:rPr>
              <w:t xml:space="preserve">  施工期工艺流程图</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2" w:firstLineChars="200"/>
              <w:textAlignment w:val="auto"/>
              <w:rPr>
                <w:rFonts w:ascii="Times New Roman" w:hAnsi="Times New Roman" w:cs="Times New Roman"/>
                <w:b/>
                <w:bCs/>
                <w:sz w:val="24"/>
              </w:rPr>
            </w:pPr>
            <w:r>
              <w:rPr>
                <w:rFonts w:hint="eastAsia" w:ascii="Times New Roman" w:hAnsi="Times New Roman" w:cs="Times New Roman"/>
                <w:b/>
                <w:bCs/>
                <w:sz w:val="24"/>
                <w:lang w:val="en-US" w:eastAsia="zh-CN"/>
              </w:rPr>
              <w:t>2、</w:t>
            </w:r>
            <w:r>
              <w:rPr>
                <w:rFonts w:hint="eastAsia" w:ascii="Times New Roman" w:hAnsi="Times New Roman" w:cs="Times New Roman"/>
                <w:b/>
                <w:bCs/>
                <w:sz w:val="24"/>
              </w:rPr>
              <w:t>运营期</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1</w:t>
            </w:r>
            <w:r>
              <w:rPr>
                <w:rFonts w:hint="default" w:ascii="Times New Roman" w:hAnsi="Times New Roman" w:cs="Times New Roman"/>
                <w:bCs/>
                <w:sz w:val="24"/>
                <w:lang w:eastAsia="zh-CN"/>
              </w:rPr>
              <w:t>）</w:t>
            </w:r>
            <w:r>
              <w:rPr>
                <w:rFonts w:hint="default" w:ascii="Times New Roman" w:hAnsi="Times New Roman" w:cs="Times New Roman"/>
                <w:bCs/>
                <w:sz w:val="24"/>
              </w:rPr>
              <w:t>上煤系统工艺流程</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燃料煤经汽车运至</w:t>
            </w:r>
            <w:r>
              <w:rPr>
                <w:rFonts w:hint="eastAsia" w:ascii="Times New Roman" w:hAnsi="Times New Roman" w:cs="Times New Roman"/>
                <w:bCs/>
                <w:sz w:val="24"/>
                <w:lang w:eastAsia="zh-CN"/>
              </w:rPr>
              <w:t>煤棚</w:t>
            </w:r>
            <w:r>
              <w:rPr>
                <w:rFonts w:hint="default" w:ascii="Times New Roman" w:hAnsi="Times New Roman" w:cs="Times New Roman"/>
                <w:bCs/>
                <w:sz w:val="24"/>
              </w:rPr>
              <w:t>，然后</w:t>
            </w:r>
            <w:r>
              <w:rPr>
                <w:rFonts w:hint="default" w:ascii="Times New Roman" w:hAnsi="Times New Roman" w:cs="Times New Roman"/>
                <w:bCs/>
                <w:sz w:val="24"/>
                <w:lang w:val="en-US" w:eastAsia="zh-CN"/>
              </w:rPr>
              <w:t>通过破碎机破碎</w:t>
            </w:r>
            <w:r>
              <w:rPr>
                <w:rFonts w:hint="default" w:ascii="Times New Roman" w:hAnsi="Times New Roman" w:cs="Times New Roman"/>
                <w:bCs/>
                <w:sz w:val="24"/>
              </w:rPr>
              <w:t>，经皮带输送机</w:t>
            </w:r>
            <w:r>
              <w:rPr>
                <w:rFonts w:hint="default" w:ascii="Times New Roman" w:hAnsi="Times New Roman" w:cs="Times New Roman"/>
                <w:bCs/>
                <w:sz w:val="24"/>
                <w:lang w:val="en-US" w:eastAsia="zh-CN"/>
              </w:rPr>
              <w:t>送至锅炉</w:t>
            </w:r>
            <w:r>
              <w:rPr>
                <w:rFonts w:hint="default" w:ascii="Times New Roman" w:hAnsi="Times New Roman" w:cs="Times New Roman"/>
                <w:bCs/>
                <w:sz w:val="24"/>
              </w:rPr>
              <w:t>。</w:t>
            </w:r>
          </w:p>
          <w:p>
            <w:pPr>
              <w:adjustRightInd w:val="0"/>
              <w:snapToGrid w:val="0"/>
              <w:spacing w:line="360" w:lineRule="auto"/>
              <w:ind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2</w:t>
            </w: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锅炉给水</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lang w:val="zh-CN"/>
              </w:rPr>
              <w:t>锅炉给水采用除氧水。锅炉20℃左右的冷软化水进入</w:t>
            </w:r>
            <w:r>
              <w:rPr>
                <w:rFonts w:hint="default" w:ascii="Times New Roman" w:hAnsi="Times New Roman" w:cs="Times New Roman"/>
                <w:bCs/>
                <w:sz w:val="24"/>
                <w:lang w:val="en-US" w:eastAsia="zh-CN"/>
              </w:rPr>
              <w:t>4</w:t>
            </w:r>
            <w:r>
              <w:rPr>
                <w:rFonts w:hint="default" w:ascii="Times New Roman" w:hAnsi="Times New Roman" w:cs="Times New Roman"/>
                <w:bCs/>
                <w:sz w:val="24"/>
                <w:lang w:val="zh-CN"/>
              </w:rPr>
              <w:t>0t/h</w:t>
            </w:r>
            <w:r>
              <w:rPr>
                <w:rFonts w:hint="default" w:ascii="Times New Roman" w:hAnsi="Times New Roman" w:cs="Times New Roman"/>
                <w:bCs/>
                <w:sz w:val="24"/>
                <w:lang w:val="zh-CN" w:eastAsia="zh-CN"/>
              </w:rPr>
              <w:t>高位热力除氧器</w:t>
            </w:r>
            <w:r>
              <w:rPr>
                <w:rFonts w:hint="default" w:ascii="Times New Roman" w:hAnsi="Times New Roman" w:cs="Times New Roman"/>
                <w:bCs/>
                <w:sz w:val="24"/>
                <w:lang w:val="zh-CN"/>
              </w:rPr>
              <w:t>。除氧器附带2</w:t>
            </w:r>
            <w:r>
              <w:rPr>
                <w:rFonts w:hint="default" w:ascii="Times New Roman" w:hAnsi="Times New Roman" w:cs="Times New Roman"/>
                <w:bCs/>
                <w:sz w:val="24"/>
                <w:lang w:val="en-US" w:eastAsia="zh-CN"/>
              </w:rPr>
              <w:t>0</w:t>
            </w:r>
            <w:r>
              <w:rPr>
                <w:rFonts w:hint="default" w:ascii="Times New Roman" w:hAnsi="Times New Roman" w:cs="Times New Roman"/>
                <w:bCs/>
                <w:sz w:val="24"/>
                <w:lang w:val="zh-CN"/>
              </w:rPr>
              <w:t>m</w:t>
            </w:r>
            <w:r>
              <w:rPr>
                <w:rFonts w:hint="default" w:ascii="Times New Roman" w:hAnsi="Times New Roman" w:cs="Times New Roman"/>
                <w:bCs/>
                <w:sz w:val="24"/>
                <w:vertAlign w:val="superscript"/>
                <w:lang w:val="zh-CN"/>
              </w:rPr>
              <w:t>3</w:t>
            </w:r>
            <w:r>
              <w:rPr>
                <w:rFonts w:hint="default" w:ascii="Times New Roman" w:hAnsi="Times New Roman" w:cs="Times New Roman"/>
                <w:bCs/>
                <w:sz w:val="24"/>
                <w:lang w:val="zh-CN"/>
              </w:rPr>
              <w:t>除氧水箱（满足30分钟锅炉给水量），满足蒸汽热力站设计规范。软化水接入除氧器前的管道上装有调节阀，以调节除氧器水位。除氧水进入除氧水箱，经锅炉给水泵打入锅炉省煤器。本工程设1台定期排污扩容器，锅炉定期排污管接入定期排污扩容器。设1台连续排污扩容器，连续排污扩容器闪蒸的二次蒸汽接入除氧器。</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3</w:t>
            </w:r>
            <w:r>
              <w:rPr>
                <w:rFonts w:hint="default" w:ascii="Times New Roman" w:hAnsi="Times New Roman" w:cs="Times New Roman"/>
                <w:bCs/>
                <w:sz w:val="24"/>
                <w:lang w:eastAsia="zh-CN"/>
              </w:rPr>
              <w:t>）</w:t>
            </w:r>
            <w:r>
              <w:rPr>
                <w:rFonts w:hint="default" w:ascii="Times New Roman" w:hAnsi="Times New Roman" w:cs="Times New Roman"/>
                <w:bCs/>
                <w:sz w:val="24"/>
              </w:rPr>
              <w:t>水处理工艺</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采用软化除氧水，供水由</w:t>
            </w:r>
            <w:r>
              <w:rPr>
                <w:rFonts w:hint="default" w:ascii="Times New Roman" w:hAnsi="Times New Roman" w:cs="Times New Roman"/>
                <w:bCs/>
                <w:sz w:val="24"/>
                <w:lang w:val="en-US" w:eastAsia="zh-CN"/>
              </w:rPr>
              <w:t>单级反渗透水处理</w:t>
            </w:r>
            <w:r>
              <w:rPr>
                <w:rFonts w:hint="default" w:ascii="Times New Roman" w:hAnsi="Times New Roman" w:cs="Times New Roman"/>
                <w:bCs/>
                <w:sz w:val="24"/>
              </w:rPr>
              <w:t>，经过处理后的补水水质满足锅炉进水的要求。</w:t>
            </w:r>
          </w:p>
          <w:p>
            <w:pPr>
              <w:adjustRightInd w:val="0"/>
              <w:snapToGrid w:val="0"/>
              <w:spacing w:line="360" w:lineRule="auto"/>
              <w:ind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4</w:t>
            </w: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烟气处理工序</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燃料燃烧所产生的高温烟气以辐射放热的方式向燃烧室四周的水冷壁放热，然后经过防渣管道进入烟道，对流烟道中布置对流管束等受热面，烟气在上部烟道中冲刷对流管束，放出热量后进入尾部烟道，尾部烟道布置省煤器和空气预热器等对流受热面，烟气流经过省煤器和空气预热器后，经布袋除尘器、脱硫、脱硝系统、引风机和烟囱排入大气。</w:t>
            </w:r>
          </w:p>
          <w:p>
            <w:pPr>
              <w:adjustRightInd w:val="0"/>
              <w:snapToGrid w:val="0"/>
              <w:spacing w:line="360" w:lineRule="auto"/>
              <w:ind w:firstLine="480" w:firstLineChars="200"/>
              <w:rPr>
                <w:rFonts w:hint="eastAsia" w:ascii="Times New Roman" w:hAnsi="Times New Roman" w:cs="Times New Roman"/>
                <w:bCs/>
                <w:sz w:val="24"/>
                <w:lang w:eastAsia="zh-CN"/>
              </w:rPr>
            </w:pPr>
            <w:r>
              <w:rPr>
                <w:rFonts w:hint="default" w:ascii="Times New Roman" w:hAnsi="Times New Roman" w:cs="Times New Roman"/>
                <w:bCs/>
                <w:sz w:val="24"/>
              </w:rPr>
              <w:t>鼓风机将由室外消声竖井吸入的室外空气送入锅炉进风口，烟气经尾部受热面降温至150℃左右进入脱硝系统（采用</w:t>
            </w:r>
            <w:r>
              <w:rPr>
                <w:rFonts w:hint="default" w:ascii="Times New Roman" w:hAnsi="Times New Roman" w:cs="Times New Roman"/>
                <w:bCs/>
                <w:sz w:val="24"/>
                <w:lang w:val="en-US" w:eastAsia="zh-CN"/>
              </w:rPr>
              <w:t>PN</w:t>
            </w:r>
            <w:r>
              <w:rPr>
                <w:rFonts w:hint="default" w:ascii="Times New Roman" w:hAnsi="Times New Roman" w:cs="Times New Roman"/>
                <w:bCs/>
                <w:sz w:val="24"/>
              </w:rPr>
              <w:t>CR脱硝）、布袋除尘器，再由引风机送入脱硫塔（湿法脱硫塔脱硫的烟气处理工艺），后经烟道送至烟囱排入大气进一步稀释</w:t>
            </w:r>
            <w:r>
              <w:rPr>
                <w:rFonts w:hint="eastAsia" w:ascii="Times New Roman" w:hAnsi="Times New Roman" w:cs="Times New Roman"/>
                <w:bCs/>
                <w:sz w:val="24"/>
                <w:lang w:eastAsia="zh-CN"/>
              </w:rPr>
              <w:t>。</w:t>
            </w:r>
          </w:p>
          <w:p>
            <w:pPr>
              <w:adjustRightInd w:val="0"/>
              <w:snapToGrid w:val="0"/>
              <w:spacing w:line="360" w:lineRule="auto"/>
              <w:ind w:firstLine="480" w:firstLineChars="200"/>
              <w:rPr>
                <w:rFonts w:hint="default" w:ascii="Times New Roman" w:hAnsi="Times New Roman" w:cs="Times New Roman"/>
                <w:bCs/>
                <w:sz w:val="24"/>
              </w:rPr>
            </w:pPr>
            <w:r>
              <w:rPr>
                <w:rFonts w:hint="eastAsia" w:ascii="Times New Roman" w:hAnsi="Times New Roman" w:cs="Times New Roman"/>
                <w:bCs/>
                <w:sz w:val="24"/>
                <w:lang w:eastAsia="zh-CN"/>
              </w:rPr>
              <w:t>生产工艺流程及产排污节点图</w:t>
            </w:r>
            <w:r>
              <w:rPr>
                <w:rFonts w:hint="default" w:ascii="Times New Roman" w:hAnsi="Times New Roman" w:cs="Times New Roman"/>
                <w:bCs/>
                <w:sz w:val="24"/>
              </w:rPr>
              <w:t>如下：</w:t>
            </w:r>
          </w:p>
          <w:p>
            <w:pPr>
              <w:pStyle w:val="30"/>
              <w:keepNext w:val="0"/>
              <w:keepLines w:val="0"/>
              <w:pageBreakBefore w:val="0"/>
              <w:widowControl w:val="0"/>
              <w:kinsoku/>
              <w:wordWrap/>
              <w:overflowPunct/>
              <w:topLinePunct w:val="0"/>
              <w:autoSpaceDE/>
              <w:autoSpaceDN/>
              <w:bidi w:val="0"/>
              <w:adjustRightInd w:val="0"/>
              <w:snapToGrid/>
              <w:spacing w:line="360" w:lineRule="auto"/>
              <w:ind w:left="0" w:leftChars="0"/>
              <w:textAlignment w:val="auto"/>
              <w:rPr>
                <w:color w:val="FF0000"/>
              </w:rPr>
            </w:pPr>
            <w:r>
              <w:rPr>
                <w:color w:val="FF0000"/>
              </w:rPr>
              <w:object>
                <v:shape id="_x0000_i1026" o:spt="75" type="#_x0000_t75" style="height:303.95pt;width:398.1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pPr>
              <w:adjustRightInd w:val="0"/>
              <w:snapToGrid w:val="0"/>
              <w:spacing w:before="156" w:beforeLines="50" w:line="360" w:lineRule="auto"/>
              <w:jc w:val="center"/>
              <w:rPr>
                <w:b/>
                <w:bCs/>
                <w:color w:val="000000" w:themeColor="text1"/>
                <w14:textFill>
                  <w14:solidFill>
                    <w14:schemeClr w14:val="tx1"/>
                  </w14:solidFill>
                </w14:textFill>
              </w:rPr>
            </w:pPr>
            <w:r>
              <w:rPr>
                <w:rFonts w:ascii="Times New Roman" w:hAnsi="Times New Roman"/>
                <w:b/>
                <w:bCs/>
                <w:snapToGrid w:val="0"/>
                <w:color w:val="000000" w:themeColor="text1"/>
                <w:szCs w:val="21"/>
                <w14:textFill>
                  <w14:solidFill>
                    <w14:schemeClr w14:val="tx1"/>
                  </w14:solidFill>
                </w14:textFill>
              </w:rPr>
              <w:t>图</w:t>
            </w:r>
            <w:r>
              <w:rPr>
                <w:rFonts w:ascii="Times New Roman" w:hAnsi="Times New Roman" w:cs="Times New Roman"/>
                <w:b/>
                <w:bCs/>
                <w:snapToGrid w:val="0"/>
                <w:color w:val="000000" w:themeColor="text1"/>
                <w:szCs w:val="21"/>
                <w14:textFill>
                  <w14:solidFill>
                    <w14:schemeClr w14:val="tx1"/>
                  </w14:solidFill>
                </w14:textFill>
              </w:rPr>
              <w:t>2-</w:t>
            </w:r>
            <w:r>
              <w:rPr>
                <w:rFonts w:hint="eastAsia" w:ascii="Times New Roman" w:hAnsi="Times New Roman" w:cs="Times New Roman"/>
                <w:b/>
                <w:bCs/>
                <w:snapToGrid w:val="0"/>
                <w:color w:val="000000" w:themeColor="text1"/>
                <w:szCs w:val="21"/>
                <w:lang w:val="en-US" w:eastAsia="zh-CN"/>
                <w14:textFill>
                  <w14:solidFill>
                    <w14:schemeClr w14:val="tx1"/>
                  </w14:solidFill>
                </w14:textFill>
              </w:rPr>
              <w:t>3</w:t>
            </w:r>
            <w:r>
              <w:rPr>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生产</w:t>
            </w:r>
            <w:r>
              <w:rPr>
                <w:b/>
                <w:bCs/>
                <w:color w:val="000000" w:themeColor="text1"/>
                <w14:textFill>
                  <w14:solidFill>
                    <w14:schemeClr w14:val="tx1"/>
                  </w14:solidFill>
                </w14:textFill>
              </w:rPr>
              <w:t>工艺流程</w:t>
            </w:r>
            <w:r>
              <w:rPr>
                <w:rFonts w:hint="eastAsia"/>
                <w:b/>
                <w:bCs/>
                <w:color w:val="000000" w:themeColor="text1"/>
                <w14:textFill>
                  <w14:solidFill>
                    <w14:schemeClr w14:val="tx1"/>
                  </w14:solidFill>
                </w14:textFill>
              </w:rPr>
              <w:t>及产排污节点</w:t>
            </w:r>
            <w:r>
              <w:rPr>
                <w:b/>
                <w:bCs/>
                <w:color w:val="000000" w:themeColor="text1"/>
                <w14:textFill>
                  <w14:solidFill>
                    <w14:schemeClr w14:val="tx1"/>
                  </w14:solidFill>
                </w14:textFill>
              </w:rPr>
              <w:t>图</w:t>
            </w:r>
          </w:p>
          <w:p>
            <w:pPr>
              <w:pStyle w:val="49"/>
              <w:adjustRightInd w:val="0"/>
              <w:snapToGrid w:val="0"/>
              <w:rPr>
                <w:rFonts w:cs="Times New Roman"/>
              </w:rPr>
            </w:pPr>
            <w:r>
              <w:rPr>
                <w:rFonts w:cs="Times New Roman"/>
              </w:rPr>
              <w:t>表</w:t>
            </w:r>
            <w:r>
              <w:rPr>
                <w:rFonts w:hint="eastAsia" w:cs="Times New Roman"/>
              </w:rPr>
              <w:t>2-</w:t>
            </w:r>
            <w:r>
              <w:rPr>
                <w:rFonts w:hint="eastAsia" w:cs="Times New Roman"/>
                <w:lang w:val="en-US" w:eastAsia="zh-CN"/>
              </w:rPr>
              <w:t>7</w:t>
            </w:r>
            <w:r>
              <w:rPr>
                <w:rFonts w:cs="Times New Roman"/>
              </w:rPr>
              <w:t xml:space="preserve">  主要排污节点一览表</w:t>
            </w:r>
          </w:p>
          <w:tbl>
            <w:tblPr>
              <w:tblStyle w:val="24"/>
              <w:tblW w:w="8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56"/>
              <w:gridCol w:w="643"/>
              <w:gridCol w:w="1417"/>
              <w:gridCol w:w="1261"/>
              <w:gridCol w:w="1334"/>
              <w:gridCol w:w="700"/>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排污节点</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污染因子</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产生特征</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G1</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破碎机</w:t>
                  </w:r>
                </w:p>
              </w:tc>
              <w:tc>
                <w:tcPr>
                  <w:tcW w:w="126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粉尘</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脉冲布袋除尘器+15m高的排气筒排放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w:t>
                  </w:r>
                  <w:r>
                    <w:rPr>
                      <w:rFonts w:hint="eastAsia" w:ascii="Times New Roman" w:hAnsi="Times New Roman" w:eastAsia="宋体" w:cs="Times New Roman"/>
                      <w:bCs/>
                      <w:color w:val="auto"/>
                      <w:sz w:val="21"/>
                      <w:szCs w:val="21"/>
                      <w:lang w:val="en-US" w:eastAsia="zh-CN"/>
                    </w:rPr>
                    <w:t>2</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排气筒</w:t>
                  </w:r>
                </w:p>
              </w:tc>
              <w:tc>
                <w:tcPr>
                  <w:tcW w:w="126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锅炉废气</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SO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rPr>
                    <w:t>X</w:t>
                  </w:r>
                  <w:r>
                    <w:rPr>
                      <w:rFonts w:hint="default" w:ascii="Times New Roman" w:hAnsi="Times New Roman" w:eastAsia="宋体" w:cs="Times New Roman"/>
                      <w:bCs/>
                      <w:color w:val="auto"/>
                      <w:sz w:val="21"/>
                      <w:szCs w:val="21"/>
                    </w:rPr>
                    <w:t>、烟尘</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汞及其化合物（以Hg计）</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连续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布袋除尘器+脱硫塔+PNCR高分子炉内脱硝</w:t>
                  </w:r>
                  <w:r>
                    <w:rPr>
                      <w:rFonts w:hint="default"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4</w:t>
                  </w:r>
                  <w:r>
                    <w:rPr>
                      <w:rFonts w:hint="default" w:ascii="Times New Roman" w:hAnsi="Times New Roman" w:eastAsia="宋体" w:cs="Times New Roman"/>
                      <w:bCs/>
                      <w:color w:val="auto"/>
                      <w:sz w:val="21"/>
                      <w:szCs w:val="21"/>
                      <w:lang w:val="en-US" w:eastAsia="zh-CN"/>
                    </w:rPr>
                    <w:t>5m高的排气筒排放</w:t>
                  </w:r>
                  <w:r>
                    <w:rPr>
                      <w:rFonts w:hint="eastAsia" w:ascii="Times New Roman" w:hAnsi="Times New Roman" w:eastAsia="宋体" w:cs="Times New Roman"/>
                      <w:bCs/>
                      <w:color w:val="auto"/>
                      <w:sz w:val="21"/>
                      <w:szCs w:val="21"/>
                      <w:lang w:val="en-US" w:eastAsia="zh-CN"/>
                    </w:rPr>
                    <w:t>，</w:t>
                  </w:r>
                  <w:r>
                    <w:rPr>
                      <w:rFonts w:hint="eastAsia" w:ascii="Times New Roman" w:hAnsi="Times New Roman" w:cs="Times New Roman"/>
                      <w:color w:val="auto"/>
                      <w:sz w:val="21"/>
                      <w:szCs w:val="21"/>
                      <w:lang w:val="en-US" w:eastAsia="zh-CN"/>
                    </w:rPr>
                    <w:t>并增加烟气自动在线监测设备。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w:t>
                  </w:r>
                  <w:r>
                    <w:rPr>
                      <w:rFonts w:hint="eastAsia" w:ascii="Times New Roman" w:hAnsi="Times New Roman" w:eastAsia="宋体" w:cs="Times New Roman"/>
                      <w:bCs/>
                      <w:color w:val="auto"/>
                      <w:sz w:val="21"/>
                      <w:szCs w:val="21"/>
                      <w:lang w:val="en-US" w:eastAsia="zh-CN"/>
                    </w:rPr>
                    <w:t>3</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除尘灰灰仓</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除尘灰</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颗粒物</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lang w:val="en-US" w:eastAsia="zh-CN"/>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锅炉除尘灰由灰仓仓顶自带低压脉冲袋式除尘器+15m高的排气筒排放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G</w:t>
                  </w:r>
                  <w:r>
                    <w:rPr>
                      <w:rFonts w:hint="eastAsia" w:ascii="Times New Roman" w:hAnsi="Times New Roman" w:eastAsia="宋体" w:cs="Times New Roman"/>
                      <w:bCs/>
                      <w:color w:val="auto"/>
                      <w:sz w:val="21"/>
                      <w:szCs w:val="21"/>
                      <w:lang w:val="en-US" w:eastAsia="zh-CN"/>
                    </w:rPr>
                    <w:t>4</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运输车辆</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扬尘</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颗粒物</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道路硬化，洒水降尘，减速慢行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噪声</w:t>
                  </w: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N</w:t>
                  </w:r>
                  <w:r>
                    <w:rPr>
                      <w:rFonts w:hint="default" w:ascii="Times New Roman" w:hAnsi="Times New Roman" w:eastAsia="宋体" w:cs="Times New Roman"/>
                      <w:bCs/>
                      <w:color w:val="auto"/>
                      <w:sz w:val="21"/>
                      <w:szCs w:val="21"/>
                      <w:lang w:val="en-US" w:eastAsia="zh-CN"/>
                    </w:rPr>
                    <w:t>1-N</w:t>
                  </w:r>
                  <w:r>
                    <w:rPr>
                      <w:rFonts w:hint="eastAsia" w:ascii="Times New Roman" w:hAnsi="Times New Roman" w:eastAsia="宋体" w:cs="Times New Roman"/>
                      <w:bCs/>
                      <w:color w:val="auto"/>
                      <w:sz w:val="21"/>
                      <w:szCs w:val="21"/>
                      <w:lang w:val="en-US" w:eastAsia="zh-CN"/>
                    </w:rPr>
                    <w:t>7</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生产设备</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设备噪声</w:t>
                  </w:r>
                </w:p>
              </w:tc>
              <w:tc>
                <w:tcPr>
                  <w:tcW w:w="1334" w:type="dxa"/>
                  <w:noWrap/>
                  <w:vAlign w:val="center"/>
                </w:tcPr>
                <w:p>
                  <w:pPr>
                    <w:pStyle w:val="53"/>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Leq(A)</w:t>
                  </w:r>
                </w:p>
              </w:tc>
              <w:tc>
                <w:tcPr>
                  <w:tcW w:w="700" w:type="dxa"/>
                  <w:noWrap/>
                  <w:vAlign w:val="center"/>
                </w:tcPr>
                <w:p>
                  <w:pPr>
                    <w:pStyle w:val="53"/>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位于封闭的设备间内，选用低噪声设备</w:t>
                  </w:r>
                  <w:r>
                    <w:rPr>
                      <w:rFonts w:hint="default" w:ascii="Times New Roman" w:hAnsi="Times New Roman" w:eastAsia="宋体" w:cs="Times New Roman"/>
                      <w:bCs/>
                      <w:color w:val="auto"/>
                      <w:sz w:val="21"/>
                      <w:szCs w:val="21"/>
                      <w:lang w:eastAsia="zh-CN"/>
                    </w:rPr>
                    <w:t>，基础减震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N</w:t>
                  </w:r>
                  <w:r>
                    <w:rPr>
                      <w:rFonts w:hint="eastAsia" w:ascii="Times New Roman" w:hAnsi="Times New Roman" w:eastAsia="宋体" w:cs="Times New Roman"/>
                      <w:bCs/>
                      <w:color w:val="auto"/>
                      <w:sz w:val="21"/>
                      <w:szCs w:val="21"/>
                      <w:lang w:val="en-US" w:eastAsia="zh-CN"/>
                    </w:rPr>
                    <w:t>8</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运输车辆</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车辆噪声</w:t>
                  </w:r>
                </w:p>
              </w:tc>
              <w:tc>
                <w:tcPr>
                  <w:tcW w:w="1334" w:type="dxa"/>
                  <w:noWrap/>
                  <w:vAlign w:val="center"/>
                </w:tcPr>
                <w:p>
                  <w:pPr>
                    <w:pStyle w:val="53"/>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Leq(A)</w:t>
                  </w:r>
                </w:p>
              </w:tc>
              <w:tc>
                <w:tcPr>
                  <w:tcW w:w="700" w:type="dxa"/>
                  <w:noWrap/>
                  <w:vAlign w:val="center"/>
                </w:tcPr>
                <w:p>
                  <w:pPr>
                    <w:pStyle w:val="53"/>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减速慢行，不鸣笛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1056"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废水</w:t>
                  </w: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W</w:t>
                  </w:r>
                  <w:r>
                    <w:rPr>
                      <w:rFonts w:hint="default" w:ascii="Times New Roman" w:hAnsi="Times New Roman" w:eastAsia="宋体" w:cs="Times New Roman"/>
                      <w:bCs/>
                      <w:color w:val="auto"/>
                      <w:sz w:val="21"/>
                      <w:szCs w:val="21"/>
                      <w:lang w:val="en-US" w:eastAsia="zh-CN"/>
                    </w:rPr>
                    <w:t>1</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反渗透水处理</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反渗透纯水制备废水</w:t>
                  </w:r>
                </w:p>
              </w:tc>
              <w:tc>
                <w:tcPr>
                  <w:tcW w:w="1334"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pH 值、化学需氧量、溶解性总固体（全盐量）</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间断</w:t>
                  </w:r>
                </w:p>
              </w:tc>
              <w:tc>
                <w:tcPr>
                  <w:tcW w:w="1982"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反渗透纯水制备废水作为脱硫系统用水，锅炉定期排水用于厂区洒水降尘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W</w:t>
                  </w:r>
                  <w:r>
                    <w:rPr>
                      <w:rFonts w:hint="default" w:ascii="Times New Roman" w:hAnsi="Times New Roman" w:eastAsia="宋体" w:cs="Times New Roman"/>
                      <w:bCs/>
                      <w:color w:val="000000"/>
                      <w:sz w:val="21"/>
                      <w:szCs w:val="21"/>
                      <w:lang w:val="en-US" w:eastAsia="zh-CN"/>
                    </w:rPr>
                    <w:t>2</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锅炉</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锅炉排水</w:t>
                  </w:r>
                </w:p>
              </w:tc>
              <w:tc>
                <w:tcPr>
                  <w:tcW w:w="1334"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间断</w:t>
                  </w:r>
                </w:p>
              </w:tc>
              <w:tc>
                <w:tcPr>
                  <w:tcW w:w="1982"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FF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固废</w:t>
                  </w: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S</w:t>
                  </w:r>
                  <w:r>
                    <w:rPr>
                      <w:rFonts w:hint="default" w:ascii="Times New Roman" w:hAnsi="Times New Roman" w:eastAsia="宋体" w:cs="Times New Roman"/>
                      <w:bCs/>
                      <w:color w:val="000000"/>
                      <w:sz w:val="21"/>
                      <w:szCs w:val="21"/>
                      <w:lang w:val="en-US" w:eastAsia="zh-CN"/>
                    </w:rPr>
                    <w:t>1</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反渗透水处理</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sz w:val="21"/>
                      <w:szCs w:val="21"/>
                      <w:lang w:val="en-US" w:eastAsia="zh-CN"/>
                    </w:rPr>
                    <w:t>废渗透膜</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 w:val="0"/>
                      <w:bCs w:val="0"/>
                      <w:color w:val="auto"/>
                      <w:sz w:val="21"/>
                      <w:szCs w:val="21"/>
                      <w:lang w:val="en-US" w:eastAsia="zh-CN"/>
                    </w:rPr>
                    <w:t>废渗透膜</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bidi="ar-SA"/>
                    </w:rPr>
                    <w:t>集中收集后，定期由厂家回收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S</w:t>
                  </w:r>
                  <w:r>
                    <w:rPr>
                      <w:rFonts w:hint="default" w:ascii="Times New Roman" w:hAnsi="Times New Roman" w:eastAsia="宋体" w:cs="Times New Roman"/>
                      <w:bCs/>
                      <w:color w:val="000000"/>
                      <w:sz w:val="21"/>
                      <w:szCs w:val="21"/>
                      <w:lang w:val="en-US" w:eastAsia="zh-CN"/>
                    </w:rPr>
                    <w:t>2</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布袋除尘器</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lang w:val="en-US" w:eastAsia="zh-CN"/>
                    </w:rPr>
                    <w:t>除尘灰</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除尘灰</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收集后作为燃料回用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p>
              </w:tc>
              <w:tc>
                <w:tcPr>
                  <w:tcW w:w="643"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S</w:t>
                  </w:r>
                  <w:r>
                    <w:rPr>
                      <w:rFonts w:hint="eastAsia" w:ascii="Times New Roman" w:hAnsi="Times New Roman" w:eastAsia="宋体" w:cs="Times New Roman"/>
                      <w:bCs/>
                      <w:color w:val="000000"/>
                      <w:sz w:val="21"/>
                      <w:szCs w:val="21"/>
                      <w:lang w:val="en-US" w:eastAsia="zh-CN"/>
                    </w:rPr>
                    <w:t>3</w:t>
                  </w:r>
                </w:p>
              </w:tc>
              <w:tc>
                <w:tcPr>
                  <w:tcW w:w="1417"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锅炉</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锅炉除尘灰</w:t>
                  </w:r>
                </w:p>
              </w:tc>
              <w:tc>
                <w:tcPr>
                  <w:tcW w:w="1334" w:type="dxa"/>
                  <w:noWrap/>
                  <w:vAlign w:val="center"/>
                </w:tcPr>
                <w:p>
                  <w:pPr>
                    <w:pStyle w:val="53"/>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锅炉除尘灰</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间断</w:t>
                  </w:r>
                </w:p>
              </w:tc>
              <w:tc>
                <w:tcPr>
                  <w:tcW w:w="1982"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p>
              </w:tc>
              <w:tc>
                <w:tcPr>
                  <w:tcW w:w="643"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1417"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炉渣</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lang w:val="en-US" w:eastAsia="zh-CN"/>
                    </w:rPr>
                    <w:t>炉渣</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间断</w:t>
                  </w:r>
                </w:p>
              </w:tc>
              <w:tc>
                <w:tcPr>
                  <w:tcW w:w="1982"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S</w:t>
                  </w:r>
                  <w:r>
                    <w:rPr>
                      <w:rFonts w:hint="eastAsia" w:ascii="Times New Roman" w:hAnsi="Times New Roman" w:eastAsia="宋体" w:cs="Times New Roman"/>
                      <w:bCs/>
                      <w:color w:val="000000"/>
                      <w:sz w:val="21"/>
                      <w:szCs w:val="21"/>
                      <w:lang w:val="en-US" w:eastAsia="zh-CN"/>
                    </w:rPr>
                    <w:t>4</w:t>
                  </w:r>
                </w:p>
              </w:tc>
              <w:tc>
                <w:tcPr>
                  <w:tcW w:w="1417" w:type="dxa"/>
                  <w:noWrap/>
                  <w:vAlign w:val="center"/>
                </w:tcPr>
                <w:p>
                  <w:pPr>
                    <w:pStyle w:val="70"/>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脱硫系统</w:t>
                  </w:r>
                </w:p>
              </w:tc>
              <w:tc>
                <w:tcPr>
                  <w:tcW w:w="1261" w:type="dxa"/>
                  <w:noWrap/>
                  <w:vAlign w:val="center"/>
                </w:tcPr>
                <w:p>
                  <w:pPr>
                    <w:pStyle w:val="70"/>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固形物MgSO</w:t>
                  </w:r>
                  <w:r>
                    <w:rPr>
                      <w:rFonts w:hint="default" w:ascii="Times New Roman" w:hAnsi="Times New Roman" w:eastAsia="宋体" w:cs="Times New Roman"/>
                      <w:color w:val="auto"/>
                      <w:sz w:val="21"/>
                      <w:szCs w:val="21"/>
                      <w:vertAlign w:val="subscript"/>
                      <w:lang w:val="en-US" w:eastAsia="zh-CN" w:bidi="ar-SA"/>
                    </w:rPr>
                    <w:t>4</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auto"/>
                      <w:sz w:val="21"/>
                      <w:szCs w:val="21"/>
                      <w:lang w:val="en-US" w:eastAsia="zh-CN" w:bidi="ar-SA"/>
                    </w:rPr>
                    <w:t>MgSO</w:t>
                  </w:r>
                  <w:r>
                    <w:rPr>
                      <w:rFonts w:hint="default" w:ascii="Times New Roman" w:hAnsi="Times New Roman" w:eastAsia="宋体" w:cs="Times New Roman"/>
                      <w:color w:val="auto"/>
                      <w:sz w:val="21"/>
                      <w:szCs w:val="21"/>
                      <w:vertAlign w:val="subscript"/>
                      <w:lang w:val="en-US" w:eastAsia="zh-CN" w:bidi="ar-SA"/>
                    </w:rPr>
                    <w:t>4</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p>
              </w:tc>
              <w:tc>
                <w:tcPr>
                  <w:tcW w:w="643"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S</w:t>
                  </w:r>
                  <w:r>
                    <w:rPr>
                      <w:rFonts w:hint="eastAsia" w:ascii="Times New Roman" w:hAnsi="Times New Roman" w:eastAsia="宋体" w:cs="Times New Roman"/>
                      <w:bCs/>
                      <w:color w:val="000000"/>
                      <w:sz w:val="21"/>
                      <w:szCs w:val="21"/>
                      <w:lang w:val="en-US" w:eastAsia="zh-CN"/>
                    </w:rPr>
                    <w:t>5</w:t>
                  </w:r>
                </w:p>
              </w:tc>
              <w:tc>
                <w:tcPr>
                  <w:tcW w:w="1417"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设备维护</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废矿物油</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废矿物油</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间断</w:t>
                  </w:r>
                </w:p>
              </w:tc>
              <w:tc>
                <w:tcPr>
                  <w:tcW w:w="1982"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sz w:val="21"/>
                      <w:szCs w:val="21"/>
                    </w:rPr>
                    <w:t>分类收集暂存于危险废物贮存间内，定期交由有资质的单位处理。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FF0000"/>
                      <w:sz w:val="21"/>
                      <w:szCs w:val="21"/>
                    </w:rPr>
                  </w:pPr>
                </w:p>
              </w:tc>
              <w:tc>
                <w:tcPr>
                  <w:tcW w:w="643"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FF0000"/>
                      <w:kern w:val="2"/>
                      <w:sz w:val="21"/>
                      <w:szCs w:val="21"/>
                      <w:lang w:val="en-US" w:eastAsia="zh-CN" w:bidi="ar-SA"/>
                    </w:rPr>
                  </w:pPr>
                </w:p>
              </w:tc>
              <w:tc>
                <w:tcPr>
                  <w:tcW w:w="1417"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废油桶</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废油桶</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间断</w:t>
                  </w:r>
                </w:p>
              </w:tc>
              <w:tc>
                <w:tcPr>
                  <w:tcW w:w="1982"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bl>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3" w:hRule="atLeast"/>
          <w:jc w:val="center"/>
        </w:trPr>
        <w:tc>
          <w:tcPr>
            <w:tcW w:w="456" w:type="dxa"/>
            <w:tcBorders>
              <w:top w:val="single" w:color="auto" w:sz="4" w:space="0"/>
              <w:left w:val="single" w:color="auto" w:sz="8" w:space="0"/>
              <w:bottom w:val="single" w:color="auto" w:sz="8" w:space="0"/>
              <w:right w:val="single" w:color="auto" w:sz="4" w:space="0"/>
            </w:tcBorders>
            <w:shd w:val="clear" w:color="auto" w:fill="auto"/>
            <w:vAlign w:val="center"/>
          </w:tcPr>
          <w:p>
            <w:pPr>
              <w:pStyle w:val="19"/>
              <w:adjustRightInd w:val="0"/>
              <w:snapToGrid w:val="0"/>
              <w:spacing w:beforeAutospacing="0" w:afterAutospacing="0"/>
              <w:jc w:val="center"/>
              <w:rPr>
                <w:rFonts w:hint="default" w:ascii="Times New Roman" w:hAnsi="Times New Roman"/>
                <w:sz w:val="21"/>
                <w:szCs w:val="21"/>
              </w:rPr>
            </w:pPr>
            <w:r>
              <w:rPr>
                <w:rFonts w:hint="default" w:ascii="Times New Roman" w:hAnsi="Times New Roman"/>
                <w:bCs/>
                <w:kern w:val="2"/>
                <w:sz w:val="24"/>
                <w:szCs w:val="24"/>
              </w:rPr>
              <w:t>与项目有关原有环境污染问题</w:t>
            </w:r>
          </w:p>
        </w:tc>
        <w:tc>
          <w:tcPr>
            <w:tcW w:w="8894" w:type="dxa"/>
            <w:tcBorders>
              <w:top w:val="single" w:color="auto" w:sz="4" w:space="0"/>
              <w:left w:val="single" w:color="auto" w:sz="4" w:space="0"/>
              <w:bottom w:val="single" w:color="auto" w:sz="8" w:space="0"/>
              <w:right w:val="single" w:color="auto" w:sz="8" w:space="0"/>
            </w:tcBorders>
            <w:shd w:val="clear" w:color="auto" w:fill="auto"/>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ascii="Times New Roman" w:hAnsi="Times New Roman" w:cs="Times New Roman"/>
                <w:b/>
                <w:sz w:val="24"/>
              </w:rPr>
            </w:pPr>
            <w:r>
              <w:rPr>
                <w:rFonts w:hint="default" w:ascii="Times New Roman" w:hAnsi="Times New Roman" w:cs="Times New Roman"/>
                <w:b/>
                <w:bCs w:val="0"/>
                <w:color w:val="auto"/>
                <w:sz w:val="24"/>
                <w:szCs w:val="24"/>
                <w:lang w:val="en-US" w:eastAsia="zh-CN"/>
              </w:rPr>
              <w:t>1、现有工程环保手续</w:t>
            </w:r>
          </w:p>
          <w:p>
            <w:pPr>
              <w:spacing w:line="360" w:lineRule="auto"/>
              <w:ind w:firstLine="480" w:firstLineChars="200"/>
              <w:rPr>
                <w:rFonts w:hint="eastAsia" w:ascii="Times New Roman" w:hAnsi="Times New Roman" w:cs="Times New Roman"/>
                <w:bCs/>
                <w:sz w:val="24"/>
              </w:rPr>
            </w:pPr>
            <w:r>
              <w:rPr>
                <w:rFonts w:hint="eastAsia" w:ascii="Times New Roman" w:hAnsi="Times New Roman" w:cs="Times New Roman"/>
                <w:bCs/>
                <w:sz w:val="24"/>
                <w:lang w:val="en-US" w:eastAsia="zh-CN"/>
              </w:rPr>
              <w:t>2012年12月</w:t>
            </w:r>
            <w:r>
              <w:rPr>
                <w:rFonts w:hint="eastAsia" w:ascii="Times New Roman" w:hAnsi="Times New Roman" w:cs="Times New Roman"/>
                <w:bCs/>
                <w:sz w:val="24"/>
              </w:rPr>
              <w:t>承德富龙现代农业发展有限公司</w:t>
            </w:r>
            <w:r>
              <w:rPr>
                <w:rFonts w:hint="eastAsia" w:ascii="Times New Roman" w:hAnsi="Times New Roman" w:cs="Times New Roman"/>
                <w:bCs/>
                <w:sz w:val="24"/>
                <w:lang w:val="en-US" w:eastAsia="zh-CN"/>
              </w:rPr>
              <w:t>委托承德市科学研究院</w:t>
            </w:r>
            <w:r>
              <w:rPr>
                <w:rFonts w:hint="eastAsia" w:ascii="Times New Roman" w:hAnsi="Times New Roman" w:cs="Times New Roman"/>
                <w:bCs/>
                <w:sz w:val="24"/>
              </w:rPr>
              <w:t>编制了《承德富龙现代农业发展有限公司马铃薯深加工项目环境影响</w:t>
            </w:r>
            <w:r>
              <w:rPr>
                <w:rFonts w:hint="eastAsia" w:ascii="Times New Roman" w:hAnsi="Times New Roman" w:cs="Times New Roman"/>
                <w:bCs/>
                <w:sz w:val="24"/>
                <w:lang w:val="en-US" w:eastAsia="zh-CN"/>
              </w:rPr>
              <w:t>报告表</w:t>
            </w:r>
            <w:r>
              <w:rPr>
                <w:rFonts w:hint="eastAsia" w:ascii="Times New Roman" w:hAnsi="Times New Roman" w:cs="Times New Roman"/>
                <w:bCs/>
                <w:sz w:val="24"/>
              </w:rPr>
              <w:t>》，</w:t>
            </w:r>
            <w:r>
              <w:rPr>
                <w:rFonts w:hint="eastAsia" w:ascii="Times New Roman" w:hAnsi="Times New Roman" w:cs="Times New Roman"/>
                <w:bCs/>
                <w:sz w:val="24"/>
                <w:lang w:val="en-US" w:eastAsia="zh-CN"/>
              </w:rPr>
              <w:t>项目</w:t>
            </w:r>
            <w:r>
              <w:rPr>
                <w:rFonts w:hint="eastAsia" w:ascii="Times New Roman" w:hAnsi="Times New Roman" w:cs="Times New Roman"/>
                <w:bCs/>
                <w:sz w:val="24"/>
              </w:rPr>
              <w:t>于2012年12月12日</w:t>
            </w:r>
            <w:r>
              <w:rPr>
                <w:rFonts w:hint="eastAsia" w:ascii="Times New Roman" w:hAnsi="Times New Roman" w:cs="Times New Roman"/>
                <w:bCs/>
                <w:sz w:val="24"/>
                <w:lang w:val="en-US" w:eastAsia="zh-CN"/>
              </w:rPr>
              <w:t>取得原承德市环境保护</w:t>
            </w:r>
            <w:r>
              <w:rPr>
                <w:rFonts w:hint="eastAsia" w:ascii="Times New Roman" w:hAnsi="Times New Roman" w:cs="Times New Roman"/>
                <w:bCs/>
                <w:sz w:val="24"/>
              </w:rPr>
              <w:t>局</w:t>
            </w:r>
            <w:r>
              <w:rPr>
                <w:rFonts w:hint="eastAsia" w:ascii="Times New Roman" w:hAnsi="Times New Roman" w:cs="Times New Roman"/>
                <w:bCs/>
                <w:sz w:val="24"/>
                <w:lang w:val="en-US" w:eastAsia="zh-CN"/>
              </w:rPr>
              <w:t>的批复（承环评【2012】122号）</w:t>
            </w:r>
            <w:r>
              <w:rPr>
                <w:rFonts w:hint="eastAsia" w:ascii="Times New Roman" w:hAnsi="Times New Roman" w:cs="Times New Roman"/>
                <w:bCs/>
                <w:sz w:val="24"/>
              </w:rPr>
              <w:t>。</w:t>
            </w:r>
          </w:p>
          <w:p>
            <w:pPr>
              <w:spacing w:line="360" w:lineRule="auto"/>
              <w:ind w:firstLine="480" w:firstLineChars="200"/>
              <w:rPr>
                <w:rFonts w:hint="eastAsia" w:ascii="Times New Roman" w:hAnsi="Times New Roman" w:cs="Times New Roman"/>
                <w:bCs/>
                <w:sz w:val="24"/>
                <w:lang w:eastAsia="zh-CN"/>
              </w:rPr>
            </w:pPr>
            <w:r>
              <w:rPr>
                <w:rFonts w:hint="eastAsia" w:ascii="Times New Roman" w:hAnsi="Times New Roman" w:cs="Times New Roman"/>
                <w:bCs/>
                <w:sz w:val="24"/>
                <w:lang w:val="en-US" w:eastAsia="zh-CN"/>
              </w:rPr>
              <w:t>由于</w:t>
            </w:r>
            <w:r>
              <w:rPr>
                <w:rFonts w:hint="eastAsia" w:ascii="Times New Roman" w:hAnsi="Times New Roman" w:cs="Times New Roman"/>
                <w:bCs/>
                <w:sz w:val="24"/>
              </w:rPr>
              <w:t>项目建设内容发生变化，承德富龙现代农业发展有限公司应当地环境保护主管部门要求，对项目实际变化情况进行</w:t>
            </w:r>
            <w:r>
              <w:rPr>
                <w:rFonts w:hint="eastAsia" w:ascii="Times New Roman" w:hAnsi="Times New Roman" w:cs="Times New Roman"/>
                <w:bCs/>
                <w:sz w:val="24"/>
                <w:lang w:val="en-US" w:eastAsia="zh-CN"/>
              </w:rPr>
              <w:t>了</w:t>
            </w:r>
            <w:r>
              <w:rPr>
                <w:rFonts w:hint="eastAsia" w:ascii="Times New Roman" w:hAnsi="Times New Roman" w:cs="Times New Roman"/>
                <w:bCs/>
                <w:sz w:val="24"/>
              </w:rPr>
              <w:t>变更说明。2016年5月承德富龙现代农业发展有限公司委托河北圣泓环保科技有限责任公司</w:t>
            </w:r>
            <w:r>
              <w:rPr>
                <w:rFonts w:hint="eastAsia" w:ascii="Times New Roman" w:hAnsi="Times New Roman" w:cs="Times New Roman"/>
                <w:bCs/>
                <w:sz w:val="24"/>
                <w:lang w:val="en-US" w:eastAsia="zh-CN"/>
              </w:rPr>
              <w:t>编制</w:t>
            </w:r>
            <w:r>
              <w:rPr>
                <w:rFonts w:hint="eastAsia" w:ascii="Times New Roman" w:hAnsi="Times New Roman" w:cs="Times New Roman"/>
                <w:bCs/>
                <w:sz w:val="24"/>
              </w:rPr>
              <w:t>完成</w:t>
            </w:r>
            <w:r>
              <w:rPr>
                <w:rFonts w:hint="eastAsia" w:ascii="Times New Roman" w:hAnsi="Times New Roman" w:cs="Times New Roman"/>
                <w:bCs/>
                <w:sz w:val="24"/>
                <w:lang w:val="en-US" w:eastAsia="zh-CN"/>
              </w:rPr>
              <w:t>了</w:t>
            </w:r>
            <w:r>
              <w:rPr>
                <w:rFonts w:hint="eastAsia" w:ascii="Times New Roman" w:hAnsi="Times New Roman" w:cs="Times New Roman"/>
                <w:bCs/>
                <w:sz w:val="24"/>
                <w:lang w:eastAsia="zh-CN"/>
              </w:rPr>
              <w:t>《</w:t>
            </w:r>
            <w:r>
              <w:rPr>
                <w:rFonts w:hint="eastAsia" w:ascii="Times New Roman" w:hAnsi="Times New Roman" w:cs="Times New Roman"/>
                <w:bCs/>
                <w:sz w:val="24"/>
              </w:rPr>
              <w:t>承德富龙现代农业发展有限公司马铃薯深加工项目环境影响评价变更说明</w:t>
            </w:r>
            <w:r>
              <w:rPr>
                <w:rFonts w:hint="eastAsia" w:ascii="Times New Roman" w:hAnsi="Times New Roman" w:cs="Times New Roman"/>
                <w:bCs/>
                <w:sz w:val="24"/>
                <w:lang w:eastAsia="zh-CN"/>
              </w:rPr>
              <w:t>》。</w:t>
            </w:r>
          </w:p>
          <w:p>
            <w:pPr>
              <w:spacing w:line="360" w:lineRule="auto"/>
              <w:ind w:firstLine="480" w:firstLineChars="200"/>
              <w:rPr>
                <w:rFonts w:hint="eastAsia" w:ascii="Times New Roman" w:hAnsi="Times New Roman" w:cs="Times New Roman"/>
                <w:bCs/>
                <w:sz w:val="24"/>
                <w:lang w:val="en-US" w:eastAsia="zh-CN"/>
              </w:rPr>
            </w:pPr>
            <w:r>
              <w:rPr>
                <w:rFonts w:hint="eastAsia" w:ascii="Times New Roman" w:hAnsi="Times New Roman" w:cs="Times New Roman"/>
                <w:bCs/>
                <w:sz w:val="24"/>
              </w:rPr>
              <w:t>马铃薯深加工</w:t>
            </w:r>
            <w:r>
              <w:rPr>
                <w:rFonts w:hint="eastAsia" w:ascii="Times New Roman" w:hAnsi="Times New Roman" w:cs="Times New Roman"/>
                <w:bCs/>
                <w:sz w:val="24"/>
                <w:lang w:val="en-US" w:eastAsia="zh-CN"/>
              </w:rPr>
              <w:t>项目于2016年8月9日经原承德市环境保护</w:t>
            </w:r>
            <w:r>
              <w:rPr>
                <w:rFonts w:hint="eastAsia" w:ascii="Times New Roman" w:hAnsi="Times New Roman" w:cs="Times New Roman"/>
                <w:bCs/>
                <w:sz w:val="24"/>
              </w:rPr>
              <w:t>局</w:t>
            </w:r>
            <w:r>
              <w:rPr>
                <w:rFonts w:hint="eastAsia" w:ascii="Times New Roman" w:hAnsi="Times New Roman" w:cs="Times New Roman"/>
                <w:bCs/>
                <w:sz w:val="24"/>
                <w:lang w:val="en-US" w:eastAsia="zh-CN"/>
              </w:rPr>
              <w:t>验收通过，验收批复文号为：承环验[2016]26号。</w:t>
            </w:r>
          </w:p>
          <w:p>
            <w:pPr>
              <w:spacing w:line="360" w:lineRule="auto"/>
              <w:ind w:firstLine="480" w:firstLineChars="200"/>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2020年5月，根据政策要求，企业燃煤锅炉不再使用，因此</w:t>
            </w:r>
            <w:r>
              <w:rPr>
                <w:rFonts w:hint="eastAsia" w:ascii="Times New Roman" w:hAnsi="Times New Roman" w:cs="Times New Roman"/>
                <w:bCs/>
                <w:sz w:val="24"/>
              </w:rPr>
              <w:t>承德富龙现代农业发展有限公司拆除原有</w:t>
            </w:r>
            <w:r>
              <w:rPr>
                <w:rFonts w:hint="eastAsia" w:ascii="Times New Roman" w:hAnsi="Times New Roman" w:cs="Times New Roman"/>
                <w:bCs/>
                <w:sz w:val="24"/>
                <w:lang w:val="en-US" w:eastAsia="zh-CN"/>
              </w:rPr>
              <w:t>1台20t/h</w:t>
            </w:r>
            <w:r>
              <w:rPr>
                <w:rFonts w:hint="eastAsia" w:ascii="Times New Roman" w:hAnsi="Times New Roman" w:cs="Times New Roman"/>
                <w:bCs/>
                <w:sz w:val="24"/>
              </w:rPr>
              <w:t>燃煤锅炉，</w:t>
            </w:r>
            <w:r>
              <w:rPr>
                <w:rFonts w:hint="eastAsia" w:ascii="Times New Roman" w:hAnsi="Times New Roman" w:cs="Times New Roman"/>
                <w:bCs/>
                <w:sz w:val="24"/>
                <w:lang w:eastAsia="zh-CN"/>
              </w:rPr>
              <w:t>新建</w:t>
            </w:r>
            <w:r>
              <w:rPr>
                <w:rFonts w:hint="eastAsia" w:ascii="Times New Roman" w:hAnsi="Times New Roman" w:cs="Times New Roman"/>
                <w:bCs/>
                <w:sz w:val="24"/>
                <w:lang w:val="en-US" w:eastAsia="zh-CN"/>
              </w:rPr>
              <w:t>1</w:t>
            </w:r>
            <w:r>
              <w:rPr>
                <w:rFonts w:hint="eastAsia" w:ascii="Times New Roman" w:hAnsi="Times New Roman" w:cs="Times New Roman"/>
                <w:bCs/>
                <w:sz w:val="24"/>
                <w:lang w:eastAsia="zh-CN"/>
              </w:rPr>
              <w:t>台2</w:t>
            </w:r>
            <w:r>
              <w:rPr>
                <w:rFonts w:hint="eastAsia" w:ascii="Times New Roman" w:hAnsi="Times New Roman" w:cs="Times New Roman"/>
                <w:bCs/>
                <w:sz w:val="24"/>
                <w:lang w:val="en-US" w:eastAsia="zh-CN"/>
              </w:rPr>
              <w:t>0</w:t>
            </w:r>
            <w:r>
              <w:rPr>
                <w:rFonts w:hint="eastAsia" w:ascii="Times New Roman" w:hAnsi="Times New Roman" w:cs="Times New Roman"/>
                <w:bCs/>
                <w:sz w:val="24"/>
                <w:lang w:eastAsia="zh-CN"/>
              </w:rPr>
              <w:t>t/h</w:t>
            </w:r>
            <w:r>
              <w:rPr>
                <w:rFonts w:hint="eastAsia" w:ascii="Times New Roman" w:hAnsi="Times New Roman" w:cs="Times New Roman"/>
                <w:bCs/>
                <w:sz w:val="24"/>
                <w:lang w:val="en-US" w:eastAsia="zh-CN"/>
              </w:rPr>
              <w:t>生物质</w:t>
            </w:r>
            <w:r>
              <w:rPr>
                <w:rFonts w:hint="eastAsia" w:ascii="Times New Roman" w:hAnsi="Times New Roman" w:cs="Times New Roman"/>
                <w:bCs/>
                <w:sz w:val="24"/>
              </w:rPr>
              <w:t>锅炉。</w:t>
            </w:r>
            <w:r>
              <w:rPr>
                <w:rFonts w:hint="eastAsia" w:ascii="Times New Roman" w:hAnsi="Times New Roman" w:cs="Times New Roman"/>
                <w:bCs/>
                <w:sz w:val="24"/>
                <w:lang w:val="zh-CN"/>
              </w:rPr>
              <w:t>承德富龙现代农业发展有限公司</w:t>
            </w:r>
            <w:r>
              <w:rPr>
                <w:rFonts w:hint="eastAsia" w:ascii="Times New Roman" w:hAnsi="Times New Roman" w:cs="Times New Roman"/>
                <w:bCs/>
                <w:sz w:val="24"/>
                <w:lang w:val="en-US" w:eastAsia="zh-CN"/>
              </w:rPr>
              <w:t>委托</w:t>
            </w:r>
            <w:r>
              <w:rPr>
                <w:rFonts w:hint="eastAsia" w:ascii="Times New Roman" w:hAnsi="Times New Roman" w:cs="Times New Roman"/>
                <w:bCs/>
                <w:sz w:val="24"/>
              </w:rPr>
              <w:t>河北圣泓环保科技有限责任公司</w:t>
            </w:r>
            <w:r>
              <w:rPr>
                <w:rFonts w:hint="eastAsia" w:ascii="Times New Roman" w:hAnsi="Times New Roman" w:cs="Times New Roman"/>
                <w:bCs/>
                <w:sz w:val="24"/>
                <w:lang w:val="en-US" w:eastAsia="zh-CN"/>
              </w:rPr>
              <w:t>编制了《</w:t>
            </w:r>
            <w:r>
              <w:rPr>
                <w:rFonts w:hint="eastAsia" w:ascii="Times New Roman" w:hAnsi="Times New Roman" w:cs="Times New Roman"/>
                <w:bCs/>
                <w:sz w:val="24"/>
                <w:lang w:eastAsia="zh-CN"/>
              </w:rPr>
              <w:t>木兰皇家农业综合示范园区集中供热承德富龙现代农业发展有限公司锅炉升级改造项目</w:t>
            </w:r>
            <w:r>
              <w:rPr>
                <w:rFonts w:hint="eastAsia" w:ascii="Times New Roman" w:hAnsi="Times New Roman" w:cs="Times New Roman"/>
                <w:bCs/>
                <w:sz w:val="24"/>
                <w:lang w:val="en-US" w:eastAsia="zh-CN"/>
              </w:rPr>
              <w:t>环境影响报告表》，项目于2020年6月27日完成了竣工环境保护验收工作。</w:t>
            </w:r>
          </w:p>
          <w:p>
            <w:pPr>
              <w:spacing w:line="360" w:lineRule="auto"/>
              <w:ind w:firstLine="480" w:firstLineChars="200"/>
              <w:rPr>
                <w:rFonts w:hint="eastAsia" w:ascii="Times New Roman" w:hAnsi="Times New Roman" w:cs="Times New Roman"/>
                <w:bCs/>
                <w:sz w:val="24"/>
              </w:rPr>
            </w:pPr>
            <w:r>
              <w:rPr>
                <w:rFonts w:hint="eastAsia" w:ascii="Times New Roman" w:hAnsi="Times New Roman" w:cs="Times New Roman"/>
                <w:bCs/>
                <w:sz w:val="24"/>
                <w:lang w:val="en-US" w:eastAsia="zh-CN"/>
              </w:rPr>
              <w:t>2020年3月31日，</w:t>
            </w:r>
            <w:r>
              <w:rPr>
                <w:rFonts w:hint="eastAsia" w:ascii="Times New Roman" w:hAnsi="Times New Roman" w:cs="Times New Roman"/>
                <w:bCs/>
                <w:sz w:val="24"/>
              </w:rPr>
              <w:t>承德富龙现代农业发展有限公司</w:t>
            </w:r>
            <w:r>
              <w:rPr>
                <w:rFonts w:hint="eastAsia" w:ascii="Times New Roman" w:hAnsi="Times New Roman" w:cs="Times New Roman"/>
                <w:bCs/>
                <w:sz w:val="24"/>
                <w:lang w:val="en-US" w:eastAsia="zh-CN"/>
              </w:rPr>
              <w:t>首次取得了全国</w:t>
            </w:r>
            <w:r>
              <w:rPr>
                <w:rFonts w:hint="eastAsia" w:ascii="Times New Roman" w:hAnsi="Times New Roman" w:cs="Times New Roman"/>
                <w:bCs/>
                <w:sz w:val="24"/>
              </w:rPr>
              <w:t>排污许可证</w:t>
            </w:r>
            <w:r>
              <w:rPr>
                <w:rFonts w:hint="eastAsia" w:ascii="Times New Roman" w:hAnsi="Times New Roman" w:cs="Times New Roman"/>
                <w:bCs/>
                <w:sz w:val="24"/>
                <w:lang w:val="en-US" w:eastAsia="zh-CN"/>
              </w:rPr>
              <w:t>（</w:t>
            </w:r>
            <w:r>
              <w:rPr>
                <w:rFonts w:hint="eastAsia" w:ascii="Times New Roman" w:hAnsi="Times New Roman" w:cs="Times New Roman"/>
                <w:bCs/>
                <w:sz w:val="24"/>
              </w:rPr>
              <w:t>许可证编号</w:t>
            </w:r>
            <w:r>
              <w:rPr>
                <w:rFonts w:hint="eastAsia" w:ascii="Times New Roman" w:hAnsi="Times New Roman" w:cs="Times New Roman"/>
                <w:bCs/>
                <w:sz w:val="24"/>
                <w:lang w:eastAsia="zh-CN"/>
              </w:rPr>
              <w:t>：91130828595446895P001X</w:t>
            </w:r>
            <w:r>
              <w:rPr>
                <w:rFonts w:hint="eastAsia" w:ascii="Times New Roman" w:hAnsi="Times New Roman" w:cs="Times New Roman"/>
                <w:bCs/>
                <w:sz w:val="24"/>
                <w:lang w:val="en-US" w:eastAsia="zh-CN"/>
              </w:rPr>
              <w:t>）</w:t>
            </w:r>
            <w:r>
              <w:rPr>
                <w:rFonts w:hint="eastAsia" w:ascii="Times New Roman" w:hAnsi="Times New Roman" w:cs="Times New Roman"/>
                <w:bCs/>
                <w:sz w:val="24"/>
              </w:rPr>
              <w:t>。</w:t>
            </w:r>
          </w:p>
          <w:p>
            <w:pPr>
              <w:pStyle w:val="17"/>
            </w:pPr>
            <w:r>
              <w:rPr>
                <w:rFonts w:hint="default" w:ascii="Times New Roman" w:hAnsi="Times New Roman" w:eastAsia="宋体" w:cs="Times New Roman"/>
                <w:b/>
                <w:bCs/>
                <w:color w:val="auto"/>
                <w:kern w:val="44"/>
                <w:sz w:val="24"/>
                <w:szCs w:val="24"/>
                <w:lang w:val="en-US" w:eastAsia="zh-CN"/>
              </w:rPr>
              <w:t>2、现有工程主要建设内容</w:t>
            </w:r>
          </w:p>
          <w:p>
            <w:pPr>
              <w:spacing w:line="360" w:lineRule="auto"/>
              <w:ind w:firstLine="480" w:firstLineChars="200"/>
              <w:rPr>
                <w:rFonts w:hint="eastAsia" w:ascii="Times New Roman" w:hAnsi="Times New Roman" w:cs="Times New Roman"/>
                <w:color w:val="auto"/>
                <w:kern w:val="24"/>
                <w:sz w:val="24"/>
                <w:szCs w:val="24"/>
                <w:lang w:eastAsia="zh-CN"/>
              </w:rPr>
            </w:pPr>
            <w:r>
              <w:rPr>
                <w:rFonts w:hint="eastAsia" w:ascii="Times New Roman" w:hAnsi="Times New Roman" w:eastAsia="宋体" w:cs="Times New Roman"/>
                <w:color w:val="auto"/>
                <w:kern w:val="44"/>
                <w:sz w:val="24"/>
                <w:szCs w:val="24"/>
                <w:lang w:val="en-US" w:eastAsia="zh-CN"/>
              </w:rPr>
              <w:t>承德富龙现代农业发展有限公司</w:t>
            </w:r>
            <w:r>
              <w:rPr>
                <w:rFonts w:hint="eastAsia" w:ascii="Times New Roman" w:hAnsi="Times New Roman" w:cs="Times New Roman"/>
                <w:bCs/>
                <w:sz w:val="24"/>
                <w:lang w:val="en-US" w:eastAsia="zh-CN"/>
              </w:rPr>
              <w:t>2020年新建</w:t>
            </w:r>
            <w:r>
              <w:rPr>
                <w:rFonts w:hint="eastAsia" w:ascii="Times New Roman" w:hAnsi="Times New Roman" w:eastAsia="宋体" w:cs="Times New Roman"/>
                <w:color w:val="auto"/>
                <w:kern w:val="44"/>
                <w:sz w:val="24"/>
                <w:szCs w:val="24"/>
                <w:lang w:val="en-US" w:eastAsia="zh-CN"/>
              </w:rPr>
              <w:t>1台20t/h生物质锅炉，用于生产供热。</w:t>
            </w:r>
            <w:r>
              <w:rPr>
                <w:rFonts w:hint="default" w:ascii="Times New Roman" w:hAnsi="Times New Roman" w:cs="Times New Roman"/>
                <w:color w:val="auto"/>
                <w:kern w:val="0"/>
                <w:sz w:val="24"/>
                <w:szCs w:val="24"/>
                <w:lang w:eastAsia="zh-CN"/>
              </w:rPr>
              <w:t>主要建设内容</w:t>
            </w:r>
            <w:r>
              <w:rPr>
                <w:rFonts w:hint="eastAsia" w:ascii="Times New Roman" w:hAnsi="Times New Roman" w:cs="Times New Roman"/>
                <w:color w:val="auto"/>
                <w:kern w:val="0"/>
                <w:sz w:val="24"/>
                <w:szCs w:val="24"/>
                <w:lang w:eastAsia="zh-CN"/>
              </w:rPr>
              <w:t>锅炉房、生物质棚</w:t>
            </w:r>
            <w:r>
              <w:rPr>
                <w:rFonts w:hint="default" w:ascii="Times New Roman" w:hAnsi="Times New Roman" w:cs="Times New Roman"/>
                <w:color w:val="auto"/>
                <w:kern w:val="0"/>
                <w:sz w:val="24"/>
                <w:szCs w:val="24"/>
                <w:lang w:val="en-US" w:eastAsia="zh-CN"/>
              </w:rPr>
              <w:t>等</w:t>
            </w:r>
            <w:r>
              <w:rPr>
                <w:rFonts w:hint="default" w:ascii="Times New Roman" w:hAnsi="Times New Roman" w:cs="Times New Roman"/>
                <w:color w:val="auto"/>
                <w:kern w:val="0"/>
                <w:sz w:val="24"/>
                <w:szCs w:val="24"/>
              </w:rPr>
              <w:t>。</w:t>
            </w:r>
            <w:r>
              <w:rPr>
                <w:rFonts w:hint="default" w:ascii="Times New Roman" w:hAnsi="Times New Roman" w:cs="Times New Roman"/>
                <w:color w:val="auto"/>
                <w:kern w:val="24"/>
                <w:sz w:val="24"/>
                <w:szCs w:val="24"/>
              </w:rPr>
              <w:t>主要建构筑物见</w:t>
            </w:r>
            <w:r>
              <w:rPr>
                <w:rFonts w:hint="eastAsia" w:ascii="Times New Roman" w:hAnsi="Times New Roman" w:cs="Times New Roman"/>
                <w:color w:val="auto"/>
                <w:kern w:val="24"/>
                <w:sz w:val="24"/>
                <w:szCs w:val="24"/>
                <w:lang w:eastAsia="zh-CN"/>
              </w:rPr>
              <w:t>下</w:t>
            </w:r>
            <w:r>
              <w:rPr>
                <w:rFonts w:hint="default" w:ascii="Times New Roman" w:hAnsi="Times New Roman" w:cs="Times New Roman"/>
                <w:color w:val="auto"/>
                <w:kern w:val="24"/>
                <w:sz w:val="24"/>
                <w:szCs w:val="24"/>
              </w:rPr>
              <w:t>表</w:t>
            </w:r>
            <w:r>
              <w:rPr>
                <w:rFonts w:hint="eastAsia" w:ascii="Times New Roman" w:hAnsi="Times New Roman" w:cs="Times New Roman"/>
                <w:color w:val="auto"/>
                <w:kern w:val="24"/>
                <w:sz w:val="24"/>
                <w:szCs w:val="24"/>
                <w:lang w:eastAsia="zh-CN"/>
              </w:rPr>
              <w:t>：</w:t>
            </w:r>
          </w:p>
          <w:p>
            <w:pPr>
              <w:pStyle w:val="49"/>
              <w:rPr>
                <w:rFonts w:hint="default" w:ascii="Times New Roman" w:hAnsi="Times New Roman" w:eastAsia="宋体" w:cs="Times New Roman"/>
              </w:rPr>
            </w:pPr>
            <w:r>
              <w:rPr>
                <w:rFonts w:hint="default" w:ascii="Times New Roman" w:hAnsi="Times New Roman" w:eastAsia="宋体" w:cs="Times New Roman"/>
              </w:rPr>
              <w:t>表</w:t>
            </w:r>
            <w:r>
              <w:rPr>
                <w:rFonts w:hint="eastAsia" w:ascii="Times New Roman" w:hAnsi="Times New Roman" w:eastAsia="宋体" w:cs="Times New Roman"/>
                <w:lang w:val="en-US" w:eastAsia="zh-CN"/>
              </w:rPr>
              <w:t>2-</w:t>
            </w:r>
            <w:r>
              <w:rPr>
                <w:rFonts w:hint="eastAsia" w:cs="Times New Roman"/>
                <w:lang w:val="en-US" w:eastAsia="zh-CN"/>
              </w:rPr>
              <w:t>8</w:t>
            </w:r>
            <w:r>
              <w:rPr>
                <w:rFonts w:hint="default" w:ascii="Times New Roman" w:hAnsi="Times New Roman" w:eastAsia="宋体" w:cs="Times New Roman"/>
              </w:rPr>
              <w:t xml:space="preserve">  项目</w:t>
            </w:r>
            <w:r>
              <w:rPr>
                <w:rFonts w:hint="default" w:ascii="Times New Roman" w:hAnsi="Times New Roman" w:eastAsia="宋体" w:cs="Times New Roman"/>
                <w:lang w:val="en-US" w:eastAsia="zh-CN"/>
              </w:rPr>
              <w:t>现有工程</w:t>
            </w:r>
            <w:r>
              <w:rPr>
                <w:rFonts w:hint="default" w:ascii="Times New Roman" w:hAnsi="Times New Roman" w:eastAsia="宋体" w:cs="Times New Roman"/>
              </w:rPr>
              <w:t>主要建设内容一览表</w:t>
            </w:r>
          </w:p>
          <w:tbl>
            <w:tblPr>
              <w:tblStyle w:val="24"/>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7"/>
              <w:gridCol w:w="1079"/>
              <w:gridCol w:w="69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tcBorders>
                    <w:tl2br w:val="nil"/>
                    <w:tr2bl w:val="nil"/>
                  </w:tcBorders>
                  <w:noWrap w:val="0"/>
                  <w:vAlign w:val="center"/>
                </w:tcPr>
                <w:p>
                  <w:pPr>
                    <w:pStyle w:val="53"/>
                    <w:rPr>
                      <w:rFonts w:hint="default" w:ascii="Times New Roman" w:hAnsi="Times New Roman" w:eastAsia="宋体" w:cs="Times New Roman"/>
                      <w:b/>
                      <w:bCs/>
                    </w:rPr>
                  </w:pPr>
                  <w:r>
                    <w:rPr>
                      <w:rFonts w:hint="default" w:ascii="Times New Roman" w:hAnsi="Times New Roman" w:eastAsia="宋体" w:cs="Times New Roman"/>
                      <w:b/>
                      <w:bCs/>
                    </w:rPr>
                    <w:t>工程类型</w:t>
                  </w:r>
                </w:p>
              </w:tc>
              <w:tc>
                <w:tcPr>
                  <w:tcW w:w="623" w:type="pct"/>
                  <w:tcBorders>
                    <w:tl2br w:val="nil"/>
                    <w:tr2bl w:val="nil"/>
                  </w:tcBorders>
                  <w:noWrap w:val="0"/>
                  <w:vAlign w:val="center"/>
                </w:tcPr>
                <w:p>
                  <w:pPr>
                    <w:pStyle w:val="53"/>
                    <w:rPr>
                      <w:rFonts w:hint="default" w:ascii="Times New Roman" w:hAnsi="Times New Roman" w:eastAsia="宋体" w:cs="Times New Roman"/>
                      <w:b/>
                      <w:bCs/>
                    </w:rPr>
                  </w:pPr>
                  <w:r>
                    <w:rPr>
                      <w:rFonts w:hint="default" w:ascii="Times New Roman" w:hAnsi="Times New Roman" w:eastAsia="宋体" w:cs="Times New Roman"/>
                      <w:b/>
                      <w:bCs/>
                    </w:rPr>
                    <w:t>名称</w:t>
                  </w:r>
                </w:p>
              </w:tc>
              <w:tc>
                <w:tcPr>
                  <w:tcW w:w="3991" w:type="pct"/>
                  <w:tcBorders>
                    <w:tl2br w:val="nil"/>
                    <w:tr2bl w:val="nil"/>
                  </w:tcBorders>
                  <w:noWrap w:val="0"/>
                  <w:vAlign w:val="center"/>
                </w:tcPr>
                <w:p>
                  <w:pPr>
                    <w:pStyle w:val="53"/>
                    <w:rPr>
                      <w:rFonts w:hint="default" w:ascii="Times New Roman" w:hAnsi="Times New Roman" w:eastAsia="宋体" w:cs="Times New Roman"/>
                      <w:b/>
                      <w:bCs/>
                    </w:rPr>
                  </w:pPr>
                  <w:r>
                    <w:rPr>
                      <w:rFonts w:hint="default" w:ascii="Times New Roman" w:hAnsi="Times New Roman" w:eastAsia="宋体" w:cs="Times New Roman"/>
                      <w:b/>
                      <w:bCs/>
                    </w:rPr>
                    <w:t>建设内容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tcBorders>
                    <w:tl2br w:val="nil"/>
                    <w:tr2bl w:val="nil"/>
                  </w:tcBorders>
                  <w:noWrap w:val="0"/>
                  <w:vAlign w:val="center"/>
                </w:tcPr>
                <w:p>
                  <w:pPr>
                    <w:pStyle w:val="53"/>
                    <w:rPr>
                      <w:rFonts w:hint="default" w:ascii="Times New Roman" w:hAnsi="Times New Roman" w:eastAsia="宋体" w:cs="Times New Roman"/>
                    </w:rPr>
                  </w:pPr>
                  <w:r>
                    <w:rPr>
                      <w:rFonts w:hint="default" w:ascii="Times New Roman" w:hAnsi="Times New Roman" w:eastAsia="宋体" w:cs="Times New Roman"/>
                    </w:rPr>
                    <w:t>主体工程</w:t>
                  </w: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lang w:val="en-US" w:eastAsia="zh-CN"/>
                    </w:rPr>
                    <w:t>锅炉房</w:t>
                  </w:r>
                </w:p>
              </w:tc>
              <w:tc>
                <w:tcPr>
                  <w:tcW w:w="3991"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1座，占地面积为1000m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，位于厂区东南侧，内设1台20t/h生物质锅炉，用于生产供热。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restart"/>
                  <w:tcBorders>
                    <w:tl2br w:val="nil"/>
                    <w:tr2bl w:val="nil"/>
                  </w:tcBorders>
                  <w:noWrap w:val="0"/>
                  <w:vAlign w:val="center"/>
                </w:tcPr>
                <w:p>
                  <w:pPr>
                    <w:pStyle w:val="5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辅助工程</w:t>
                  </w: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生物质棚</w:t>
                  </w:r>
                </w:p>
              </w:tc>
              <w:tc>
                <w:tcPr>
                  <w:tcW w:w="3991"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1处，占地面积为2000m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，位于锅炉房西侧，用于生物质燃料储存。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rPr>
                      <w:rFonts w:hint="default" w:ascii="Times New Roman" w:hAnsi="Times New Roman" w:eastAsia="宋体" w:cs="Times New Roman"/>
                      <w:lang w:val="en-US" w:eastAsia="zh-CN"/>
                    </w:rPr>
                  </w:pPr>
                </w:p>
              </w:tc>
              <w:tc>
                <w:tcPr>
                  <w:tcW w:w="623" w:type="pct"/>
                  <w:tcBorders>
                    <w:tl2br w:val="nil"/>
                    <w:tr2bl w:val="nil"/>
                  </w:tcBorders>
                  <w:noWrap w:val="0"/>
                  <w:vAlign w:val="center"/>
                </w:tcPr>
                <w:p>
                  <w:pPr>
                    <w:pStyle w:val="46"/>
                    <w:spacing w:line="240" w:lineRule="auto"/>
                    <w:ind w:firstLine="0" w:firstLineChars="0"/>
                    <w:jc w:val="center"/>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color w:val="auto"/>
                      <w:sz w:val="21"/>
                      <w:szCs w:val="21"/>
                    </w:rPr>
                    <w:t>软水系统</w:t>
                  </w:r>
                </w:p>
              </w:tc>
              <w:tc>
                <w:tcPr>
                  <w:tcW w:w="3991" w:type="pct"/>
                  <w:tcBorders>
                    <w:tl2br w:val="nil"/>
                    <w:tr2bl w:val="nil"/>
                  </w:tcBorders>
                  <w:noWrap w:val="0"/>
                  <w:vAlign w:val="center"/>
                </w:tcPr>
                <w:p>
                  <w:pPr>
                    <w:pStyle w:val="46"/>
                    <w:spacing w:line="240" w:lineRule="auto"/>
                    <w:ind w:firstLine="0" w:firstLineChars="0"/>
                    <w:jc w:val="center"/>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sz w:val="21"/>
                      <w:szCs w:val="21"/>
                      <w:lang w:val="en-US" w:eastAsia="zh-CN"/>
                    </w:rPr>
                    <w:t>采用</w:t>
                  </w:r>
                  <w:r>
                    <w:rPr>
                      <w:rFonts w:hint="default" w:ascii="Times New Roman" w:hAnsi="Times New Roman" w:eastAsia="宋体" w:cs="Times New Roman"/>
                      <w:color w:val="auto"/>
                      <w:sz w:val="21"/>
                      <w:szCs w:val="21"/>
                    </w:rPr>
                    <w:t>离子交换</w:t>
                  </w:r>
                  <w:r>
                    <w:rPr>
                      <w:rFonts w:hint="default" w:ascii="Times New Roman" w:hAnsi="Times New Roman" w:eastAsia="宋体" w:cs="Times New Roman"/>
                      <w:color w:val="auto"/>
                      <w:sz w:val="21"/>
                      <w:szCs w:val="21"/>
                      <w:lang w:val="en-US" w:eastAsia="zh-CN"/>
                    </w:rPr>
                    <w:t>法制备软化水，共1套。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restart"/>
                  <w:tcBorders>
                    <w:tl2br w:val="nil"/>
                    <w:tr2bl w:val="nil"/>
                  </w:tcBorders>
                  <w:noWrap w:val="0"/>
                  <w:vAlign w:val="center"/>
                </w:tcPr>
                <w:p>
                  <w:pPr>
                    <w:pStyle w:val="53"/>
                    <w:ind w:firstLine="0" w:firstLineChars="0"/>
                    <w:rPr>
                      <w:rFonts w:hint="default" w:ascii="Times New Roman" w:hAnsi="Times New Roman" w:eastAsia="宋体" w:cs="Times New Roman"/>
                    </w:rPr>
                  </w:pPr>
                  <w:r>
                    <w:rPr>
                      <w:rFonts w:hint="default" w:ascii="Times New Roman" w:hAnsi="Times New Roman" w:eastAsia="宋体" w:cs="Times New Roman"/>
                      <w:color w:val="auto"/>
                    </w:rPr>
                    <w:t>公用工程</w:t>
                  </w: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rPr>
                    <w:t>给水</w:t>
                  </w:r>
                  <w:r>
                    <w:rPr>
                      <w:rFonts w:hint="default" w:ascii="Times New Roman" w:hAnsi="Times New Roman" w:eastAsia="宋体" w:cs="Times New Roman"/>
                      <w:lang w:val="en-US" w:eastAsia="zh-CN"/>
                    </w:rPr>
                    <w:t>工程</w:t>
                  </w:r>
                </w:p>
              </w:tc>
              <w:tc>
                <w:tcPr>
                  <w:tcW w:w="3991" w:type="pct"/>
                  <w:tcBorders>
                    <w:tl2br w:val="nil"/>
                    <w:tr2bl w:val="nil"/>
                  </w:tcBorders>
                  <w:noWrap w:val="0"/>
                  <w:vAlign w:val="center"/>
                </w:tcPr>
                <w:p>
                  <w:pPr>
                    <w:widowControl/>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kern w:val="44"/>
                      <w:sz w:val="21"/>
                      <w:szCs w:val="21"/>
                      <w:vertAlign w:val="baseline"/>
                      <w:lang w:val="en-US" w:eastAsia="zh-CN"/>
                    </w:rPr>
                    <w:t>依托</w:t>
                  </w:r>
                  <w:r>
                    <w:rPr>
                      <w:rFonts w:hint="default" w:ascii="Times New Roman" w:hAnsi="Times New Roman" w:eastAsia="宋体" w:cs="Times New Roman"/>
                      <w:lang w:val="en-US" w:eastAsia="zh-CN"/>
                    </w:rPr>
                    <w:t>厂区现有供水工程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ind w:firstLine="0" w:firstLineChars="0"/>
                    <w:rPr>
                      <w:rFonts w:hint="default" w:ascii="Times New Roman" w:hAnsi="Times New Roman" w:eastAsia="宋体" w:cs="Times New Roman"/>
                    </w:rPr>
                  </w:pP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排水工程</w:t>
                  </w:r>
                </w:p>
              </w:tc>
              <w:tc>
                <w:tcPr>
                  <w:tcW w:w="3991" w:type="pct"/>
                  <w:tcBorders>
                    <w:tl2br w:val="nil"/>
                    <w:tr2bl w:val="nil"/>
                  </w:tcBorders>
                  <w:noWrap w:val="0"/>
                  <w:vAlign w:val="center"/>
                </w:tcPr>
                <w:p>
                  <w:pPr>
                    <w:widowControl/>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本项目不新增员工，无新增生活污水；本项目废水为锅炉排污水和软化水制备</w:t>
                  </w:r>
                  <w:r>
                    <w:rPr>
                      <w:rFonts w:hint="eastAsia" w:ascii="Times New Roman" w:hAnsi="Times New Roman" w:eastAsia="宋体" w:cs="Times New Roman"/>
                      <w:color w:val="auto"/>
                      <w:sz w:val="21"/>
                      <w:szCs w:val="21"/>
                      <w:lang w:val="en-US" w:eastAsia="zh-CN"/>
                    </w:rPr>
                    <w:t>废水通过厂区管网进入厂区污水处理站，依托厂区原有污水处理站进行处理</w:t>
                  </w:r>
                  <w:r>
                    <w:rPr>
                      <w:rFonts w:hint="default"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ind w:firstLine="0" w:firstLineChars="0"/>
                    <w:rPr>
                      <w:rFonts w:hint="default" w:ascii="Times New Roman" w:hAnsi="Times New Roman" w:eastAsia="宋体" w:cs="Times New Roman"/>
                    </w:rPr>
                  </w:pP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rPr>
                    <w:t>供电</w:t>
                  </w:r>
                  <w:r>
                    <w:rPr>
                      <w:rFonts w:hint="default" w:ascii="Times New Roman" w:hAnsi="Times New Roman" w:eastAsia="宋体" w:cs="Times New Roman"/>
                      <w:lang w:val="en-US" w:eastAsia="zh-CN"/>
                    </w:rPr>
                    <w:t>工程</w:t>
                  </w:r>
                </w:p>
              </w:tc>
              <w:tc>
                <w:tcPr>
                  <w:tcW w:w="3991" w:type="pct"/>
                  <w:tcBorders>
                    <w:tl2br w:val="nil"/>
                    <w:tr2bl w:val="nil"/>
                  </w:tcBorders>
                  <w:noWrap w:val="0"/>
                  <w:vAlign w:val="center"/>
                </w:tcPr>
                <w:p>
                  <w:pPr>
                    <w:pStyle w:val="53"/>
                    <w:tabs>
                      <w:tab w:val="left" w:pos="498"/>
                      <w:tab w:val="center" w:pos="3342"/>
                    </w:tabs>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kern w:val="44"/>
                      <w:sz w:val="21"/>
                      <w:szCs w:val="21"/>
                      <w:vertAlign w:val="baseline"/>
                      <w:lang w:val="en-US" w:eastAsia="zh-CN"/>
                    </w:rPr>
                    <w:t>依托</w:t>
                  </w:r>
                  <w:r>
                    <w:rPr>
                      <w:rFonts w:hint="default" w:ascii="Times New Roman" w:hAnsi="Times New Roman" w:eastAsia="宋体" w:cs="Times New Roman"/>
                      <w:lang w:val="en-US" w:eastAsia="zh-CN"/>
                    </w:rPr>
                    <w:t>厂区现有</w:t>
                  </w:r>
                  <w:r>
                    <w:rPr>
                      <w:rFonts w:hint="default" w:ascii="Times New Roman" w:hAnsi="Times New Roman" w:eastAsia="宋体" w:cs="Times New Roman"/>
                      <w:b w:val="0"/>
                      <w:bCs/>
                      <w:color w:val="auto"/>
                      <w:kern w:val="44"/>
                      <w:sz w:val="21"/>
                      <w:szCs w:val="21"/>
                      <w:vertAlign w:val="baseline"/>
                      <w:lang w:val="en-US" w:eastAsia="zh-CN"/>
                    </w:rPr>
                    <w:t>供电系统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restart"/>
                  <w:tcBorders>
                    <w:tl2br w:val="nil"/>
                    <w:tr2bl w:val="nil"/>
                  </w:tcBorders>
                  <w:noWrap w:val="0"/>
                  <w:vAlign w:val="center"/>
                </w:tcPr>
                <w:p>
                  <w:pPr>
                    <w:pStyle w:val="53"/>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环保工程</w:t>
                  </w: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废气治理</w:t>
                  </w:r>
                </w:p>
              </w:tc>
              <w:tc>
                <w:tcPr>
                  <w:tcW w:w="3991" w:type="pct"/>
                  <w:tcBorders>
                    <w:tl2br w:val="nil"/>
                    <w:tr2bl w:val="nil"/>
                  </w:tcBorders>
                  <w:noWrap w:val="0"/>
                  <w:vAlign w:val="center"/>
                </w:tcPr>
                <w:p>
                  <w:pPr>
                    <w:pStyle w:val="53"/>
                    <w:ind w:firstLine="0" w:firstLineChars="0"/>
                    <w:jc w:val="center"/>
                    <w:rPr>
                      <w:rFonts w:hint="default" w:ascii="Times New Roman" w:hAnsi="Times New Roman" w:eastAsia="宋体" w:cs="Times New Roman"/>
                      <w:b w:val="0"/>
                      <w:bCs/>
                      <w:color w:val="auto"/>
                      <w:kern w:val="44"/>
                      <w:sz w:val="21"/>
                      <w:szCs w:val="21"/>
                      <w:vertAlign w:val="baseline"/>
                      <w:lang w:val="en-US" w:eastAsia="zh-CN"/>
                    </w:rPr>
                  </w:pPr>
                  <w:r>
                    <w:rPr>
                      <w:rFonts w:hint="default" w:ascii="Times New Roman" w:hAnsi="Times New Roman" w:eastAsia="宋体" w:cs="Times New Roman"/>
                      <w:color w:val="auto"/>
                      <w:sz w:val="21"/>
                      <w:szCs w:val="21"/>
                      <w:lang w:val="en-US" w:eastAsia="zh-CN"/>
                    </w:rPr>
                    <w:t>20t/h生物质锅炉废气经布袋除尘+水浴除尘后经1根45m高排气筒排放。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ind w:firstLine="0" w:firstLineChars="0"/>
                    <w:rPr>
                      <w:rFonts w:hint="default" w:ascii="Times New Roman" w:hAnsi="Times New Roman" w:eastAsia="宋体" w:cs="Times New Roman"/>
                    </w:rPr>
                  </w:pP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废水治理</w:t>
                  </w:r>
                </w:p>
              </w:tc>
              <w:tc>
                <w:tcPr>
                  <w:tcW w:w="3991"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锅炉排污水和软化水制备废水通过厂区管网进入厂区污水处理站，依托厂区原有污水处理站进行处理。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噪声治理</w:t>
                  </w:r>
                </w:p>
              </w:tc>
              <w:tc>
                <w:tcPr>
                  <w:tcW w:w="3991"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锅炉房</w:t>
                  </w:r>
                  <w:r>
                    <w:rPr>
                      <w:rFonts w:hint="default" w:ascii="Times New Roman" w:hAnsi="Times New Roman" w:eastAsia="宋体" w:cs="Times New Roman"/>
                      <w:color w:val="auto"/>
                      <w:sz w:val="21"/>
                      <w:szCs w:val="21"/>
                    </w:rPr>
                    <w:t>封闭、设备基础减振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合理布局</w:t>
                  </w:r>
                  <w:r>
                    <w:rPr>
                      <w:rFonts w:hint="default" w:ascii="Times New Roman" w:hAnsi="Times New Roman" w:eastAsia="宋体" w:cs="Times New Roman"/>
                      <w:color w:val="auto"/>
                      <w:sz w:val="21"/>
                      <w:szCs w:val="21"/>
                    </w:rPr>
                    <w:t>等措施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固废治理</w:t>
                  </w:r>
                </w:p>
              </w:tc>
              <w:tc>
                <w:tcPr>
                  <w:tcW w:w="3991"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炉渣、除尘灰、</w:t>
                  </w:r>
                  <w:r>
                    <w:rPr>
                      <w:rFonts w:hint="default" w:ascii="Times New Roman" w:hAnsi="Times New Roman" w:eastAsia="宋体" w:cs="Times New Roman"/>
                      <w:color w:val="auto"/>
                      <w:sz w:val="21"/>
                      <w:szCs w:val="21"/>
                      <w:lang w:val="en-US" w:eastAsia="zh-CN"/>
                    </w:rPr>
                    <w:t>水浴除尘池底固形物</w:t>
                  </w:r>
                  <w:r>
                    <w:rPr>
                      <w:rFonts w:hint="default" w:ascii="Times New Roman" w:hAnsi="Times New Roman" w:eastAsia="宋体" w:cs="Times New Roman"/>
                      <w:sz w:val="21"/>
                      <w:szCs w:val="21"/>
                      <w:highlight w:val="none"/>
                      <w:lang w:val="en-US" w:eastAsia="zh-CN"/>
                    </w:rPr>
                    <w:t>定期外运至围场县环境卫生管理服务处；</w:t>
                  </w:r>
                  <w:r>
                    <w:rPr>
                      <w:rFonts w:hint="default" w:ascii="Times New Roman" w:hAnsi="Times New Roman" w:eastAsia="宋体" w:cs="Times New Roman"/>
                      <w:color w:val="auto"/>
                      <w:sz w:val="21"/>
                      <w:szCs w:val="21"/>
                      <w:lang w:val="en-US" w:eastAsia="zh-CN"/>
                    </w:rPr>
                    <w:t>生物质燃料</w:t>
                  </w:r>
                  <w:r>
                    <w:rPr>
                      <w:rFonts w:hint="default" w:ascii="Times New Roman" w:hAnsi="Times New Roman" w:eastAsia="宋体" w:cs="Times New Roman"/>
                      <w:color w:val="auto"/>
                      <w:sz w:val="21"/>
                      <w:szCs w:val="21"/>
                      <w:lang w:eastAsia="zh-CN"/>
                    </w:rPr>
                    <w:t>废包装袋集中收集后</w:t>
                  </w:r>
                  <w:r>
                    <w:rPr>
                      <w:rFonts w:hint="default" w:ascii="Times New Roman" w:hAnsi="Times New Roman" w:eastAsia="宋体" w:cs="Times New Roman"/>
                      <w:color w:val="auto"/>
                      <w:sz w:val="21"/>
                      <w:szCs w:val="21"/>
                      <w:lang w:val="en-US" w:eastAsia="zh-CN"/>
                    </w:rPr>
                    <w:t>由供货厂家回收</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eastAsia="宋体" w:cs="Times New Roman"/>
                      <w:color w:val="000000" w:themeColor="text1"/>
                      <w:sz w:val="21"/>
                      <w:szCs w:val="21"/>
                      <w:lang w:eastAsia="zh-CN"/>
                      <w14:textFill>
                        <w14:solidFill>
                          <w14:schemeClr w14:val="tx1"/>
                        </w14:solidFill>
                      </w14:textFill>
                    </w:rPr>
                    <w:t>废弃</w:t>
                  </w:r>
                  <w:r>
                    <w:rPr>
                      <w:rFonts w:hint="default" w:ascii="Times New Roman" w:hAnsi="Times New Roman" w:eastAsia="宋体" w:cs="Times New Roman"/>
                      <w:color w:val="000000" w:themeColor="text1"/>
                      <w:sz w:val="21"/>
                      <w:szCs w:val="21"/>
                      <w:lang w:eastAsia="zh-CN"/>
                      <w14:textFill>
                        <w14:solidFill>
                          <w14:schemeClr w14:val="tx1"/>
                        </w14:solidFill>
                      </w14:textFill>
                    </w:rPr>
                    <w:t>离子交换树脂集中收集后</w:t>
                  </w:r>
                  <w:r>
                    <w:rPr>
                      <w:rFonts w:hint="eastAsia" w:eastAsia="宋体" w:cs="Times New Roman"/>
                      <w:color w:val="000000" w:themeColor="text1"/>
                      <w:sz w:val="21"/>
                      <w:szCs w:val="21"/>
                      <w:lang w:eastAsia="zh-CN"/>
                      <w14:textFill>
                        <w14:solidFill>
                          <w14:schemeClr w14:val="tx1"/>
                        </w14:solidFill>
                      </w14:textFill>
                    </w:rPr>
                    <w:t>由厂家回收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200"/>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3、</w:t>
            </w:r>
            <w:r>
              <w:rPr>
                <w:rFonts w:hint="default" w:ascii="Times New Roman" w:hAnsi="Times New Roman" w:eastAsia="宋体" w:cs="Times New Roman"/>
                <w:b/>
                <w:bCs/>
                <w:color w:val="auto"/>
                <w:kern w:val="0"/>
                <w:sz w:val="24"/>
                <w:szCs w:val="24"/>
                <w:lang w:val="en-US" w:eastAsia="zh-CN"/>
              </w:rPr>
              <w:t>主要原材料及能源消耗</w:t>
            </w:r>
          </w:p>
          <w:p>
            <w:pPr>
              <w:spacing w:line="360" w:lineRule="auto"/>
              <w:ind w:firstLine="480" w:firstLineChars="200"/>
              <w:rPr>
                <w:rFonts w:hint="eastAsia" w:ascii="Times New Roman" w:hAnsi="Times New Roman" w:eastAsia="宋体" w:cs="Times New Roman"/>
                <w:color w:val="auto"/>
                <w:kern w:val="44"/>
                <w:sz w:val="24"/>
                <w:szCs w:val="24"/>
                <w:lang w:val="en-US" w:eastAsia="zh-CN"/>
              </w:rPr>
            </w:pPr>
            <w:r>
              <w:rPr>
                <w:rFonts w:hint="default" w:ascii="Times New Roman" w:hAnsi="Times New Roman" w:eastAsia="宋体" w:cs="Times New Roman"/>
                <w:color w:val="auto"/>
                <w:kern w:val="44"/>
                <w:sz w:val="24"/>
                <w:szCs w:val="24"/>
                <w:lang w:val="en-US" w:eastAsia="zh-CN"/>
              </w:rPr>
              <w:t>主要原辅材料及能源消耗详见下表</w:t>
            </w:r>
            <w:r>
              <w:rPr>
                <w:rFonts w:hint="eastAsia" w:ascii="Times New Roman" w:hAnsi="Times New Roman" w:eastAsia="宋体" w:cs="Times New Roman"/>
                <w:color w:val="auto"/>
                <w:kern w:val="44"/>
                <w:sz w:val="24"/>
                <w:szCs w:val="24"/>
                <w:lang w:val="en-US" w:eastAsia="zh-CN"/>
              </w:rPr>
              <w:t>：</w:t>
            </w: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iCs/>
                <w:color w:val="auto"/>
                <w:szCs w:val="21"/>
                <w:lang w:bidi="ar"/>
              </w:rPr>
              <w:t>表</w:t>
            </w:r>
            <w:r>
              <w:rPr>
                <w:rFonts w:hint="default" w:ascii="Times New Roman" w:hAnsi="Times New Roman" w:eastAsia="宋体" w:cs="Times New Roman"/>
                <w:b/>
                <w:iCs/>
                <w:color w:val="auto"/>
                <w:szCs w:val="21"/>
                <w:lang w:val="en-US" w:eastAsia="zh-CN" w:bidi="ar"/>
              </w:rPr>
              <w:t>2-</w:t>
            </w:r>
            <w:r>
              <w:rPr>
                <w:rFonts w:hint="eastAsia" w:ascii="Times New Roman" w:hAnsi="Times New Roman" w:eastAsia="宋体" w:cs="Times New Roman"/>
                <w:b/>
                <w:iCs/>
                <w:color w:val="auto"/>
                <w:szCs w:val="21"/>
                <w:lang w:val="en-US" w:eastAsia="zh-CN" w:bidi="ar"/>
              </w:rPr>
              <w:t xml:space="preserve">9  </w:t>
            </w:r>
            <w:r>
              <w:rPr>
                <w:rFonts w:hint="default" w:ascii="Times New Roman" w:hAnsi="Times New Roman" w:eastAsia="宋体" w:cs="Times New Roman"/>
                <w:b/>
                <w:iCs/>
                <w:color w:val="auto"/>
                <w:szCs w:val="21"/>
                <w:lang w:bidi="ar"/>
              </w:rPr>
              <w:t>项目</w:t>
            </w:r>
            <w:r>
              <w:rPr>
                <w:rFonts w:hint="default" w:ascii="Times New Roman" w:hAnsi="Times New Roman" w:eastAsia="宋体" w:cs="Times New Roman"/>
                <w:b/>
                <w:iCs/>
                <w:color w:val="auto"/>
                <w:szCs w:val="21"/>
                <w:lang w:val="en-US" w:eastAsia="zh-CN" w:bidi="ar"/>
              </w:rPr>
              <w:t>现有工程原辅材料及</w:t>
            </w:r>
            <w:r>
              <w:rPr>
                <w:rFonts w:hint="default" w:ascii="Times New Roman" w:hAnsi="Times New Roman" w:eastAsia="宋体" w:cs="Times New Roman"/>
                <w:b/>
                <w:iCs/>
                <w:color w:val="auto"/>
                <w:szCs w:val="21"/>
                <w:lang w:bidi="ar"/>
              </w:rPr>
              <w:t>能源消耗汇总表</w:t>
            </w:r>
          </w:p>
          <w:tbl>
            <w:tblPr>
              <w:tblStyle w:val="24"/>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2"/>
              <w:gridCol w:w="1670"/>
              <w:gridCol w:w="1207"/>
              <w:gridCol w:w="1607"/>
              <w:gridCol w:w="33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jc w:val="center"/>
              </w:trPr>
              <w:tc>
                <w:tcPr>
                  <w:tcW w:w="486" w:type="pct"/>
                  <w:noWrap w:val="0"/>
                  <w:vAlign w:val="center"/>
                </w:tcPr>
                <w:p>
                  <w:pPr>
                    <w:pStyle w:val="19"/>
                    <w:spacing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序号</w:t>
                  </w:r>
                </w:p>
              </w:tc>
              <w:tc>
                <w:tcPr>
                  <w:tcW w:w="964" w:type="pct"/>
                  <w:noWrap w:val="0"/>
                  <w:vAlign w:val="center"/>
                </w:tcPr>
                <w:p>
                  <w:pPr>
                    <w:pStyle w:val="19"/>
                    <w:spacing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名称</w:t>
                  </w:r>
                </w:p>
              </w:tc>
              <w:tc>
                <w:tcPr>
                  <w:tcW w:w="697" w:type="pct"/>
                  <w:noWrap w:val="0"/>
                  <w:vAlign w:val="center"/>
                </w:tcPr>
                <w:p>
                  <w:pPr>
                    <w:pStyle w:val="19"/>
                    <w:spacing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单位</w:t>
                  </w:r>
                </w:p>
              </w:tc>
              <w:tc>
                <w:tcPr>
                  <w:tcW w:w="928" w:type="pct"/>
                  <w:noWrap w:val="0"/>
                  <w:vAlign w:val="center"/>
                </w:tcPr>
                <w:p>
                  <w:pPr>
                    <w:pStyle w:val="19"/>
                    <w:spacing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数量</w:t>
                  </w:r>
                </w:p>
              </w:tc>
              <w:tc>
                <w:tcPr>
                  <w:tcW w:w="1923" w:type="pct"/>
                  <w:noWrap w:val="0"/>
                  <w:vAlign w:val="center"/>
                </w:tcPr>
                <w:p>
                  <w:pPr>
                    <w:pStyle w:val="19"/>
                    <w:spacing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pct"/>
                  <w:noWrap w:val="0"/>
                  <w:vAlign w:val="center"/>
                </w:tcPr>
                <w:p>
                  <w:pPr>
                    <w:pStyle w:val="19"/>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w:t>
                  </w:r>
                </w:p>
              </w:tc>
              <w:tc>
                <w:tcPr>
                  <w:tcW w:w="964"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生物质</w:t>
                  </w:r>
                </w:p>
              </w:tc>
              <w:tc>
                <w:tcPr>
                  <w:tcW w:w="697" w:type="pct"/>
                  <w:noWrap w:val="0"/>
                  <w:vAlign w:val="center"/>
                </w:tcPr>
                <w:p>
                  <w:pPr>
                    <w:pStyle w:val="19"/>
                    <w:spacing w:line="28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吨</w:t>
                  </w:r>
                </w:p>
              </w:tc>
              <w:tc>
                <w:tcPr>
                  <w:tcW w:w="928"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7000</w:t>
                  </w:r>
                </w:p>
              </w:tc>
              <w:tc>
                <w:tcPr>
                  <w:tcW w:w="1923"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外购袋装成型生物质颗粒燃料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2</w:t>
                  </w:r>
                </w:p>
              </w:tc>
              <w:tc>
                <w:tcPr>
                  <w:tcW w:w="964"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新鲜水</w:t>
                  </w:r>
                </w:p>
              </w:tc>
              <w:tc>
                <w:tcPr>
                  <w:tcW w:w="697"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r>
                    <w:rPr>
                      <w:rFonts w:hint="default" w:ascii="Times New Roman" w:hAnsi="Times New Roman" w:eastAsia="宋体" w:cs="Times New Roman"/>
                      <w:color w:val="auto"/>
                      <w:sz w:val="21"/>
                      <w:szCs w:val="21"/>
                    </w:rPr>
                    <w:t>/a</w:t>
                  </w:r>
                </w:p>
              </w:tc>
              <w:tc>
                <w:tcPr>
                  <w:tcW w:w="928" w:type="pct"/>
                  <w:noWrap w:val="0"/>
                  <w:vAlign w:val="center"/>
                </w:tcPr>
                <w:p>
                  <w:pPr>
                    <w:pStyle w:val="19"/>
                    <w:spacing w:line="280" w:lineRule="exact"/>
                    <w:jc w:val="center"/>
                    <w:rPr>
                      <w:rFonts w:hint="default" w:ascii="Times New Roman" w:hAnsi="Times New Roman" w:eastAsia="宋体" w:cs="Times New Roman"/>
                      <w:color w:val="auto"/>
                      <w:sz w:val="21"/>
                      <w:szCs w:val="21"/>
                      <w:highlight w:val="cyan"/>
                      <w:lang w:val="en-US" w:eastAsia="zh-CN"/>
                    </w:rPr>
                  </w:pPr>
                  <w:r>
                    <w:rPr>
                      <w:rFonts w:hint="default" w:ascii="Times New Roman" w:hAnsi="Times New Roman" w:eastAsia="宋体" w:cs="Times New Roman"/>
                      <w:color w:val="auto"/>
                      <w:sz w:val="21"/>
                      <w:szCs w:val="21"/>
                      <w:lang w:val="en-US" w:eastAsia="zh-CN"/>
                    </w:rPr>
                    <w:t>508.5</w:t>
                  </w:r>
                </w:p>
              </w:tc>
              <w:tc>
                <w:tcPr>
                  <w:tcW w:w="1923"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44"/>
                      <w:sz w:val="21"/>
                      <w:szCs w:val="21"/>
                      <w:vertAlign w:val="baseline"/>
                      <w:lang w:val="en-US" w:eastAsia="zh-CN"/>
                    </w:rPr>
                    <w:t>依托</w:t>
                  </w:r>
                  <w:r>
                    <w:rPr>
                      <w:rFonts w:hint="default" w:ascii="Times New Roman" w:hAnsi="Times New Roman" w:eastAsia="宋体" w:cs="Times New Roman"/>
                      <w:color w:val="auto"/>
                      <w:sz w:val="21"/>
                      <w:szCs w:val="21"/>
                      <w:lang w:val="en-US" w:eastAsia="zh-CN"/>
                    </w:rPr>
                    <w:t>厂区现有供水工程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3</w:t>
                  </w:r>
                </w:p>
              </w:tc>
              <w:tc>
                <w:tcPr>
                  <w:tcW w:w="964"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bidi="ar"/>
                    </w:rPr>
                    <w:t>电</w:t>
                  </w:r>
                </w:p>
              </w:tc>
              <w:tc>
                <w:tcPr>
                  <w:tcW w:w="697"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bidi="ar"/>
                    </w:rPr>
                    <w:t>kW·h/a</w:t>
                  </w:r>
                </w:p>
              </w:tc>
              <w:tc>
                <w:tcPr>
                  <w:tcW w:w="928" w:type="pct"/>
                  <w:noWrap w:val="0"/>
                  <w:vAlign w:val="center"/>
                </w:tcPr>
                <w:p>
                  <w:pPr>
                    <w:pStyle w:val="19"/>
                    <w:spacing w:line="280" w:lineRule="exact"/>
                    <w:jc w:val="center"/>
                    <w:rPr>
                      <w:rFonts w:hint="default" w:ascii="Times New Roman" w:hAnsi="Times New Roman" w:eastAsia="宋体" w:cs="Times New Roman"/>
                      <w:color w:val="auto"/>
                      <w:sz w:val="21"/>
                      <w:szCs w:val="21"/>
                      <w:highlight w:val="cyan"/>
                      <w:lang w:val="en-US" w:eastAsia="zh-CN"/>
                    </w:rPr>
                  </w:pPr>
                  <w:r>
                    <w:rPr>
                      <w:rFonts w:hint="default" w:ascii="Times New Roman" w:hAnsi="Times New Roman" w:eastAsia="宋体" w:cs="Times New Roman"/>
                      <w:color w:val="auto"/>
                      <w:sz w:val="21"/>
                      <w:szCs w:val="21"/>
                      <w:highlight w:val="none"/>
                      <w:lang w:val="en-US" w:eastAsia="zh-CN"/>
                    </w:rPr>
                    <w:t>5万</w:t>
                  </w:r>
                </w:p>
              </w:tc>
              <w:tc>
                <w:tcPr>
                  <w:tcW w:w="1923"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44"/>
                      <w:sz w:val="21"/>
                      <w:szCs w:val="21"/>
                      <w:vertAlign w:val="baseline"/>
                      <w:lang w:val="en-US" w:eastAsia="zh-CN"/>
                    </w:rPr>
                    <w:t>依托</w:t>
                  </w:r>
                  <w:r>
                    <w:rPr>
                      <w:rFonts w:hint="default" w:ascii="Times New Roman" w:hAnsi="Times New Roman" w:eastAsia="宋体" w:cs="Times New Roman"/>
                      <w:sz w:val="21"/>
                      <w:szCs w:val="21"/>
                      <w:lang w:val="en-US" w:eastAsia="zh-CN"/>
                    </w:rPr>
                    <w:t>厂区现有</w:t>
                  </w:r>
                  <w:r>
                    <w:rPr>
                      <w:rFonts w:hint="default" w:ascii="Times New Roman" w:hAnsi="Times New Roman" w:eastAsia="宋体" w:cs="Times New Roman"/>
                      <w:b w:val="0"/>
                      <w:bCs/>
                      <w:color w:val="auto"/>
                      <w:kern w:val="44"/>
                      <w:sz w:val="21"/>
                      <w:szCs w:val="21"/>
                      <w:vertAlign w:val="baseline"/>
                      <w:lang w:val="en-US" w:eastAsia="zh-CN"/>
                    </w:rPr>
                    <w:t>供电系统</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4</w:t>
            </w:r>
            <w:r>
              <w:rPr>
                <w:rFonts w:hint="default" w:ascii="Times New Roman" w:hAnsi="Times New Roman" w:eastAsia="宋体" w:cs="Times New Roman"/>
                <w:b/>
                <w:bCs/>
                <w:color w:val="auto"/>
                <w:kern w:val="0"/>
                <w:sz w:val="24"/>
                <w:szCs w:val="24"/>
                <w:lang w:val="en-US" w:eastAsia="zh-CN"/>
              </w:rPr>
              <w:t>、主要设备</w:t>
            </w:r>
          </w:p>
          <w:p>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主要生产设备详见下表</w:t>
            </w:r>
            <w:r>
              <w:rPr>
                <w:rFonts w:hint="eastAsia" w:ascii="Times New Roman" w:hAnsi="Times New Roman" w:eastAsia="宋体"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b/>
                <w:bCs/>
                <w:color w:val="auto"/>
                <w:kern w:val="24"/>
                <w:sz w:val="24"/>
                <w:szCs w:val="24"/>
                <w:lang w:eastAsia="zh-CN"/>
              </w:rPr>
            </w:pPr>
            <w:r>
              <w:rPr>
                <w:rFonts w:hint="default" w:ascii="Times New Roman" w:hAnsi="Times New Roman" w:eastAsia="宋体" w:cs="Times New Roman"/>
                <w:b/>
                <w:iCs/>
                <w:color w:val="auto"/>
                <w:szCs w:val="21"/>
                <w:lang w:bidi="ar"/>
              </w:rPr>
              <w:t>表</w:t>
            </w:r>
            <w:r>
              <w:rPr>
                <w:rFonts w:hint="default" w:ascii="Times New Roman" w:hAnsi="Times New Roman" w:eastAsia="宋体" w:cs="Times New Roman"/>
                <w:b/>
                <w:iCs/>
                <w:color w:val="auto"/>
                <w:szCs w:val="21"/>
                <w:lang w:val="en-US" w:eastAsia="zh-CN" w:bidi="ar"/>
              </w:rPr>
              <w:t>2-</w:t>
            </w:r>
            <w:r>
              <w:rPr>
                <w:rFonts w:hint="eastAsia" w:ascii="Times New Roman" w:hAnsi="Times New Roman" w:eastAsia="宋体" w:cs="Times New Roman"/>
                <w:b/>
                <w:iCs/>
                <w:color w:val="auto"/>
                <w:szCs w:val="21"/>
                <w:lang w:val="en-US" w:eastAsia="zh-CN" w:bidi="ar"/>
              </w:rPr>
              <w:t xml:space="preserve">10  </w:t>
            </w:r>
            <w:r>
              <w:rPr>
                <w:rFonts w:hint="default" w:ascii="Times New Roman" w:hAnsi="Times New Roman" w:eastAsia="宋体" w:cs="Times New Roman"/>
                <w:b/>
                <w:iCs/>
                <w:color w:val="auto"/>
                <w:szCs w:val="21"/>
                <w:lang w:bidi="ar"/>
              </w:rPr>
              <w:t>项目</w:t>
            </w:r>
            <w:r>
              <w:rPr>
                <w:rFonts w:hint="default" w:ascii="Times New Roman" w:hAnsi="Times New Roman" w:eastAsia="宋体" w:cs="Times New Roman"/>
                <w:b/>
                <w:iCs/>
                <w:color w:val="auto"/>
                <w:szCs w:val="21"/>
                <w:lang w:val="en-US" w:eastAsia="zh-CN" w:bidi="ar"/>
              </w:rPr>
              <w:t>现有工程</w:t>
            </w:r>
            <w:r>
              <w:rPr>
                <w:rFonts w:hint="default" w:ascii="Times New Roman" w:hAnsi="Times New Roman" w:eastAsia="宋体" w:cs="Times New Roman"/>
                <w:b/>
                <w:color w:val="auto"/>
                <w:szCs w:val="21"/>
                <w:lang w:val="en-US" w:eastAsia="zh-CN"/>
              </w:rPr>
              <w:t>生产</w:t>
            </w:r>
            <w:r>
              <w:rPr>
                <w:rFonts w:hint="default" w:ascii="Times New Roman" w:hAnsi="Times New Roman" w:eastAsia="宋体" w:cs="Times New Roman"/>
                <w:b/>
                <w:color w:val="auto"/>
              </w:rPr>
              <w:t>设备一览表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257"/>
              <w:gridCol w:w="2593"/>
              <w:gridCol w:w="121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noWrap w:val="0"/>
                  <w:vAlign w:val="center"/>
                </w:tcPr>
                <w:p>
                  <w:pPr>
                    <w:spacing w:line="3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302" w:type="pct"/>
                  <w:noWrap w:val="0"/>
                  <w:vAlign w:val="center"/>
                </w:tcPr>
                <w:p>
                  <w:pPr>
                    <w:spacing w:line="3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设备</w:t>
                  </w:r>
                </w:p>
              </w:tc>
              <w:tc>
                <w:tcPr>
                  <w:tcW w:w="1495" w:type="pct"/>
                  <w:noWrap w:val="0"/>
                  <w:vAlign w:val="center"/>
                </w:tcPr>
                <w:p>
                  <w:pPr>
                    <w:spacing w:line="3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型号</w:t>
                  </w:r>
                </w:p>
              </w:tc>
              <w:tc>
                <w:tcPr>
                  <w:tcW w:w="703" w:type="pct"/>
                  <w:noWrap w:val="0"/>
                  <w:vAlign w:val="center"/>
                </w:tcPr>
                <w:p>
                  <w:pPr>
                    <w:spacing w:line="3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数量</w:t>
                  </w:r>
                </w:p>
              </w:tc>
              <w:tc>
                <w:tcPr>
                  <w:tcW w:w="880" w:type="pct"/>
                  <w:noWrap w:val="0"/>
                  <w:vAlign w:val="center"/>
                </w:tcPr>
                <w:p>
                  <w:pPr>
                    <w:spacing w:line="3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noWrap w:val="0"/>
                  <w:vAlign w:val="center"/>
                </w:tcPr>
                <w:p>
                  <w:pPr>
                    <w:spacing w:line="30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w:t>
                  </w:r>
                </w:p>
              </w:tc>
              <w:tc>
                <w:tcPr>
                  <w:tcW w:w="1302" w:type="pct"/>
                  <w:noWrap w:val="0"/>
                  <w:vAlign w:val="center"/>
                </w:tcPr>
                <w:p>
                  <w:pPr>
                    <w:spacing w:line="300" w:lineRule="exact"/>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auto"/>
                      <w:szCs w:val="21"/>
                      <w:lang w:val="en-US" w:eastAsia="zh-CN"/>
                    </w:rPr>
                    <w:t>锅炉</w:t>
                  </w:r>
                </w:p>
              </w:tc>
              <w:tc>
                <w:tcPr>
                  <w:tcW w:w="1495" w:type="pct"/>
                  <w:noWrap w:val="0"/>
                  <w:vAlign w:val="center"/>
                </w:tcPr>
                <w:p>
                  <w:pPr>
                    <w:widowControl/>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kern w:val="0"/>
                      <w:szCs w:val="21"/>
                      <w:lang w:val="en-US" w:eastAsia="zh-CN"/>
                    </w:rPr>
                    <w:t>SHX</w:t>
                  </w:r>
                  <w:r>
                    <w:rPr>
                      <w:rFonts w:hint="default" w:ascii="Times New Roman" w:hAnsi="Times New Roman" w:eastAsia="宋体" w:cs="Times New Roman"/>
                      <w:kern w:val="0"/>
                      <w:szCs w:val="21"/>
                    </w:rPr>
                    <w:t>20-</w:t>
                  </w:r>
                  <w:r>
                    <w:rPr>
                      <w:rFonts w:hint="default" w:ascii="Times New Roman" w:hAnsi="Times New Roman" w:eastAsia="宋体" w:cs="Times New Roman"/>
                      <w:kern w:val="0"/>
                      <w:szCs w:val="21"/>
                      <w:lang w:val="en-US" w:eastAsia="zh-CN"/>
                    </w:rPr>
                    <w:t>2.5</w:t>
                  </w:r>
                  <w:r>
                    <w:rPr>
                      <w:rFonts w:hint="default" w:ascii="Times New Roman" w:hAnsi="Times New Roman" w:eastAsia="宋体" w:cs="Times New Roman"/>
                      <w:kern w:val="0"/>
                      <w:szCs w:val="21"/>
                    </w:rPr>
                    <w:t>-</w:t>
                  </w:r>
                  <w:r>
                    <w:rPr>
                      <w:rFonts w:hint="default" w:ascii="Times New Roman" w:hAnsi="Times New Roman" w:eastAsia="宋体" w:cs="Times New Roman"/>
                      <w:kern w:val="0"/>
                      <w:szCs w:val="21"/>
                      <w:lang w:val="en-US" w:eastAsia="zh-CN"/>
                    </w:rPr>
                    <w:t>H</w:t>
                  </w:r>
                </w:p>
              </w:tc>
              <w:tc>
                <w:tcPr>
                  <w:tcW w:w="703" w:type="pct"/>
                  <w:noWrap w:val="0"/>
                  <w:vAlign w:val="center"/>
                </w:tcPr>
                <w:p>
                  <w:pPr>
                    <w:spacing w:line="300" w:lineRule="exact"/>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auto"/>
                      <w:szCs w:val="21"/>
                      <w:lang w:val="en-US" w:eastAsia="zh-CN"/>
                    </w:rPr>
                    <w:t>1</w:t>
                  </w:r>
                </w:p>
              </w:tc>
              <w:tc>
                <w:tcPr>
                  <w:tcW w:w="880" w:type="pct"/>
                  <w:noWrap w:val="0"/>
                  <w:vAlign w:val="center"/>
                </w:tcPr>
                <w:p>
                  <w:pPr>
                    <w:spacing w:line="300" w:lineRule="exact"/>
                    <w:jc w:val="center"/>
                    <w:rPr>
                      <w:rFonts w:hint="default" w:ascii="Times New Roman" w:hAnsi="Times New Roman" w:eastAsia="宋体" w:cs="Times New Roman"/>
                      <w:color w:val="FF0000"/>
                      <w:szCs w:val="21"/>
                    </w:rPr>
                  </w:pPr>
                  <w:r>
                    <w:rPr>
                      <w:rFonts w:hint="default" w:ascii="Times New Roman" w:hAnsi="Times New Roman" w:eastAsia="宋体" w:cs="Times New Roman"/>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noWrap w:val="0"/>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2</w:t>
                  </w:r>
                </w:p>
              </w:tc>
              <w:tc>
                <w:tcPr>
                  <w:tcW w:w="1302" w:type="pct"/>
                  <w:noWrap w:val="0"/>
                  <w:vAlign w:val="center"/>
                </w:tcPr>
                <w:p>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软化水制备设备</w:t>
                  </w:r>
                </w:p>
              </w:tc>
              <w:tc>
                <w:tcPr>
                  <w:tcW w:w="1495" w:type="pct"/>
                  <w:noWrap w:val="0"/>
                  <w:vAlign w:val="center"/>
                </w:tcPr>
                <w:p>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703" w:type="pct"/>
                  <w:noWrap w:val="0"/>
                  <w:vAlign w:val="center"/>
                </w:tcPr>
                <w:p>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880" w:type="pct"/>
                  <w:noWrap w:val="0"/>
                  <w:vAlign w:val="center"/>
                </w:tcPr>
                <w:p>
                  <w:pPr>
                    <w:spacing w:line="30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noWrap w:val="0"/>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3</w:t>
                  </w:r>
                </w:p>
              </w:tc>
              <w:tc>
                <w:tcPr>
                  <w:tcW w:w="1302" w:type="pct"/>
                  <w:noWrap w:val="0"/>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水泵</w:t>
                  </w:r>
                </w:p>
              </w:tc>
              <w:tc>
                <w:tcPr>
                  <w:tcW w:w="1495" w:type="pct"/>
                  <w:noWrap w:val="0"/>
                  <w:vAlign w:val="center"/>
                </w:tcPr>
                <w:p>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703" w:type="pct"/>
                  <w:noWrap w:val="0"/>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auto"/>
                      <w:szCs w:val="21"/>
                      <w:lang w:val="en-US" w:eastAsia="zh-CN"/>
                    </w:rPr>
                    <w:t>1</w:t>
                  </w:r>
                </w:p>
              </w:tc>
              <w:tc>
                <w:tcPr>
                  <w:tcW w:w="880" w:type="pct"/>
                  <w:noWrap w:val="0"/>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台</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w:t>
            </w:r>
            <w:r>
              <w:rPr>
                <w:rFonts w:hint="eastAsia" w:ascii="Times New Roman" w:hAnsi="Times New Roman" w:eastAsia="宋体" w:cs="Times New Roman"/>
                <w:b/>
                <w:bCs/>
                <w:color w:val="auto"/>
                <w:kern w:val="0"/>
                <w:sz w:val="24"/>
                <w:szCs w:val="24"/>
                <w:lang w:val="en-US" w:eastAsia="zh-CN"/>
              </w:rPr>
              <w:t>现有工程生产工艺</w:t>
            </w:r>
          </w:p>
          <w:p>
            <w:pPr>
              <w:tabs>
                <w:tab w:val="left" w:pos="4111"/>
              </w:tabs>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130165" cy="1968500"/>
                  <wp:effectExtent l="0" t="0" r="13335" b="1270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5130165" cy="1968500"/>
                          </a:xfrm>
                          <a:prstGeom prst="rect">
                            <a:avLst/>
                          </a:prstGeom>
                          <a:noFill/>
                          <a:ln>
                            <a:noFill/>
                          </a:ln>
                        </pic:spPr>
                      </pic:pic>
                    </a:graphicData>
                  </a:graphic>
                </wp:inline>
              </w:drawing>
            </w:r>
          </w:p>
          <w:p>
            <w:pPr>
              <w:tabs>
                <w:tab w:val="left" w:pos="4111"/>
              </w:tabs>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（注：绿色线为汽水系统，黄色线为</w:t>
            </w:r>
            <w:r>
              <w:rPr>
                <w:rFonts w:hint="default" w:ascii="Times New Roman" w:hAnsi="Times New Roman" w:eastAsia="宋体" w:cs="Times New Roman"/>
                <w:b/>
                <w:bCs/>
                <w:color w:val="auto"/>
                <w:sz w:val="21"/>
                <w:szCs w:val="21"/>
                <w:lang w:val="en-US" w:eastAsia="zh-CN"/>
              </w:rPr>
              <w:t>燃料系统</w:t>
            </w:r>
            <w:r>
              <w:rPr>
                <w:rFonts w:hint="default" w:ascii="Times New Roman" w:hAnsi="Times New Roman" w:eastAsia="宋体" w:cs="Times New Roman"/>
                <w:b/>
                <w:bCs/>
                <w:color w:val="auto"/>
                <w:sz w:val="21"/>
                <w:szCs w:val="21"/>
              </w:rPr>
              <w:t>、红色线为烟气）</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2-4</w:t>
            </w:r>
            <w:r>
              <w:rPr>
                <w:rFonts w:hint="default" w:ascii="Times New Roman" w:hAnsi="Times New Roman" w:eastAsia="宋体" w:cs="Times New Roman"/>
                <w:b/>
                <w:bCs/>
                <w:color w:val="auto"/>
                <w:sz w:val="21"/>
                <w:szCs w:val="21"/>
              </w:rPr>
              <w:t xml:space="preserve">  项目工艺流程</w:t>
            </w:r>
            <w:r>
              <w:rPr>
                <w:rFonts w:hint="default" w:ascii="Times New Roman" w:hAnsi="Times New Roman" w:eastAsia="宋体" w:cs="Times New Roman"/>
                <w:b/>
                <w:bCs/>
                <w:color w:val="auto"/>
                <w:sz w:val="21"/>
                <w:szCs w:val="21"/>
                <w:lang w:eastAsia="zh-CN"/>
              </w:rPr>
              <w:t>及产排污节点</w:t>
            </w:r>
            <w:r>
              <w:rPr>
                <w:rFonts w:hint="default" w:ascii="Times New Roman" w:hAnsi="Times New Roman" w:eastAsia="宋体" w:cs="Times New Roman"/>
                <w:b/>
                <w:bCs/>
                <w:color w:val="auto"/>
                <w:sz w:val="21"/>
                <w:szCs w:val="21"/>
              </w:rPr>
              <w:t>图</w:t>
            </w:r>
          </w:p>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工艺流程简述:</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（1）燃料输送系统流程：</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燃料生物质储存在锅炉前端燃烧室上方的料斗内，通过料斗出口送入锅炉燃烧系统。</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（2）蒸汽生产</w:t>
            </w:r>
          </w:p>
          <w:p>
            <w:pPr>
              <w:spacing w:line="360" w:lineRule="auto"/>
              <w:ind w:firstLine="480" w:firstLineChars="200"/>
              <w:rPr>
                <w:rFonts w:hint="eastAsia" w:ascii="Times New Roman" w:hAnsi="Times New Roman" w:eastAsia="宋体" w:cs="Times New Roman"/>
                <w:sz w:val="24"/>
                <w:szCs w:val="28"/>
                <w:lang w:eastAsia="zh-CN"/>
              </w:rPr>
            </w:pPr>
            <w:r>
              <w:rPr>
                <w:rFonts w:hint="default" w:ascii="Times New Roman" w:hAnsi="Times New Roman" w:eastAsia="宋体" w:cs="Times New Roman"/>
                <w:sz w:val="24"/>
                <w:szCs w:val="28"/>
              </w:rPr>
              <w:t>锅炉给水经过水处理后，达到国家有关标准通过给水泵送进省煤器加热后，由管路进入上锅筒，经多个回路进行水循环，各回路中汽水混合物进入上锅筒，经汽水分离装置，汽水分离后的饱和蒸汽通过引出管进入过热器加热，在过热器出口集箱汇集经喷水减温器调温后，输出过热蒸汽</w:t>
            </w:r>
            <w:r>
              <w:rPr>
                <w:rFonts w:hint="eastAsia" w:ascii="Times New Roman" w:hAnsi="Times New Roman" w:eastAsia="宋体" w:cs="Times New Roman"/>
                <w:sz w:val="24"/>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b/>
                <w:bCs/>
                <w:color w:val="auto"/>
                <w:kern w:val="24"/>
                <w:sz w:val="24"/>
                <w:szCs w:val="24"/>
                <w:lang w:eastAsia="zh-CN"/>
              </w:rPr>
            </w:pPr>
            <w:r>
              <w:rPr>
                <w:rFonts w:hint="default" w:ascii="Times New Roman" w:hAnsi="Times New Roman" w:eastAsia="宋体" w:cs="Times New Roman"/>
                <w:b/>
                <w:iCs/>
                <w:color w:val="auto"/>
                <w:szCs w:val="21"/>
                <w:lang w:bidi="ar"/>
              </w:rPr>
              <w:t>表</w:t>
            </w:r>
            <w:r>
              <w:rPr>
                <w:rFonts w:hint="default" w:ascii="Times New Roman" w:hAnsi="Times New Roman" w:eastAsia="宋体" w:cs="Times New Roman"/>
                <w:b/>
                <w:iCs/>
                <w:color w:val="auto"/>
                <w:szCs w:val="21"/>
                <w:lang w:val="en-US" w:eastAsia="zh-CN" w:bidi="ar"/>
              </w:rPr>
              <w:t>2-</w:t>
            </w:r>
            <w:r>
              <w:rPr>
                <w:rFonts w:hint="eastAsia" w:ascii="Times New Roman" w:hAnsi="Times New Roman" w:eastAsia="宋体" w:cs="Times New Roman"/>
                <w:b/>
                <w:iCs/>
                <w:color w:val="auto"/>
                <w:szCs w:val="21"/>
                <w:lang w:val="en-US" w:eastAsia="zh-CN" w:bidi="ar"/>
              </w:rPr>
              <w:t xml:space="preserve">11  </w:t>
            </w:r>
            <w:r>
              <w:rPr>
                <w:rFonts w:hint="default" w:ascii="Times New Roman" w:hAnsi="Times New Roman" w:cs="Times New Roman"/>
                <w:b/>
                <w:bCs/>
                <w:color w:val="auto"/>
                <w:kern w:val="0"/>
                <w:sz w:val="21"/>
                <w:szCs w:val="21"/>
                <w:lang w:val="en-US" w:eastAsia="zh-CN"/>
              </w:rPr>
              <w:t>现有工程产排污节点</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608"/>
              <w:gridCol w:w="905"/>
              <w:gridCol w:w="1056"/>
              <w:gridCol w:w="1136"/>
              <w:gridCol w:w="938"/>
              <w:gridCol w:w="858"/>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排污节点</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污染因子</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所在生产单元</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产生特征</w:t>
                  </w:r>
                </w:p>
              </w:tc>
              <w:tc>
                <w:tcPr>
                  <w:tcW w:w="1586"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拟采取措施及去向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w:t>
                  </w: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G1</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生物质锅炉</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锅炉烟气</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颗粒物</w:t>
                  </w: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x</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锅炉房</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w:t>
                  </w:r>
                </w:p>
              </w:tc>
              <w:tc>
                <w:tcPr>
                  <w:tcW w:w="1586"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生物质</w:t>
                  </w:r>
                  <w:r>
                    <w:rPr>
                      <w:rFonts w:hint="default" w:ascii="Times New Roman" w:hAnsi="Times New Roman" w:eastAsia="宋体" w:cs="Times New Roman"/>
                      <w:color w:val="auto"/>
                      <w:sz w:val="21"/>
                      <w:szCs w:val="21"/>
                      <w:lang w:val="en-US" w:eastAsia="zh-CN"/>
                    </w:rPr>
                    <w:t>锅炉废气经布袋除尘+水浴除尘后经1根45m高排气筒排放。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w:t>
                  </w: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W1</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position w:val="2"/>
                      <w:sz w:val="21"/>
                      <w:szCs w:val="21"/>
                      <w:lang w:val="en-US" w:eastAsia="zh-CN"/>
                    </w:rPr>
                    <w:t>软化水制备</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软化水制备废水</w:t>
                  </w:r>
                </w:p>
              </w:tc>
              <w:tc>
                <w:tcPr>
                  <w:tcW w:w="65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钙镁离子、磷酸根离子等</w:t>
                  </w:r>
                </w:p>
              </w:tc>
              <w:tc>
                <w:tcPr>
                  <w:tcW w:w="54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锅炉房</w:t>
                  </w:r>
                </w:p>
              </w:tc>
              <w:tc>
                <w:tcPr>
                  <w:tcW w:w="49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间断</w:t>
                  </w:r>
                </w:p>
              </w:tc>
              <w:tc>
                <w:tcPr>
                  <w:tcW w:w="158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锅炉排污水和软化水制备废水通过厂区管网进入厂区污水处理站，依托厂区原有污水处理站进行处理。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W2</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生物质锅炉</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锅炉排污水</w:t>
                  </w:r>
                </w:p>
              </w:tc>
              <w:tc>
                <w:tcPr>
                  <w:tcW w:w="65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5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lang w:eastAsia="zh-CN"/>
                    </w:rPr>
                  </w:pPr>
                </w:p>
              </w:tc>
              <w:tc>
                <w:tcPr>
                  <w:tcW w:w="4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58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N1</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position w:val="2"/>
                      <w:sz w:val="21"/>
                      <w:szCs w:val="21"/>
                    </w:rPr>
                    <w:t>水泵</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等效连续A声级</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eastAsia="zh-CN"/>
                    </w:rPr>
                    <w:t>锅炉房</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连续</w:t>
                  </w:r>
                </w:p>
              </w:tc>
              <w:tc>
                <w:tcPr>
                  <w:tcW w:w="1586"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snapToGrid w:val="0"/>
                      <w:color w:val="auto"/>
                      <w:kern w:val="0"/>
                      <w:sz w:val="21"/>
                      <w:szCs w:val="21"/>
                      <w:lang w:val="en-US" w:eastAsia="zh-CN"/>
                    </w:rPr>
                    <w:t>锅炉房封闭、设备基础减振、合理布局等措施。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固废</w:t>
                  </w: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S1</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position w:val="2"/>
                      <w:sz w:val="21"/>
                      <w:szCs w:val="21"/>
                      <w:highlight w:val="none"/>
                      <w:lang w:val="en-US" w:eastAsia="zh-CN"/>
                    </w:rPr>
                    <w:t>软化水制备</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废弃离子交换树脂</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废弃离子交换树脂</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eastAsia="zh-CN"/>
                    </w:rPr>
                    <w:t>锅炉房</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间断</w:t>
                  </w:r>
                </w:p>
              </w:tc>
              <w:tc>
                <w:tcPr>
                  <w:tcW w:w="1586"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集中收集后</w:t>
                  </w:r>
                  <w:r>
                    <w:rPr>
                      <w:rFonts w:hint="eastAsia" w:ascii="Times New Roman" w:hAnsi="Times New Roman" w:eastAsia="宋体" w:cs="Times New Roman"/>
                      <w:color w:val="auto"/>
                      <w:sz w:val="21"/>
                      <w:szCs w:val="21"/>
                      <w:highlight w:val="none"/>
                      <w:vertAlign w:val="baseline"/>
                      <w:lang w:val="en-US" w:eastAsia="zh-CN"/>
                    </w:rPr>
                    <w:t>由厂家回收</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cs="Times New Roman"/>
                <w:color w:val="auto"/>
                <w:kern w:val="24"/>
                <w:sz w:val="24"/>
                <w:szCs w:val="24"/>
                <w:lang w:eastAsia="zh-CN"/>
              </w:rPr>
            </w:pPr>
            <w:r>
              <w:rPr>
                <w:rFonts w:hint="eastAsia" w:ascii="Times New Roman" w:hAnsi="Times New Roman" w:eastAsia="宋体" w:cs="Times New Roman"/>
                <w:b/>
                <w:bCs/>
                <w:color w:val="auto"/>
                <w:kern w:val="0"/>
                <w:sz w:val="24"/>
                <w:szCs w:val="24"/>
                <w:lang w:val="en-US" w:eastAsia="zh-CN"/>
              </w:rPr>
              <w:t>6</w:t>
            </w:r>
            <w:r>
              <w:rPr>
                <w:rFonts w:hint="default" w:ascii="Times New Roman" w:hAnsi="Times New Roman" w:eastAsia="宋体" w:cs="Times New Roman"/>
                <w:b/>
                <w:bCs/>
                <w:color w:val="auto"/>
                <w:kern w:val="0"/>
                <w:sz w:val="24"/>
                <w:szCs w:val="24"/>
                <w:lang w:val="en-US" w:eastAsia="zh-CN"/>
              </w:rPr>
              <w:t>、现有工程污染物产生与排放情况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A大气污染物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现有工程运营期产生的废气为锅炉烟气，主要污染物为颗粒物</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vertAlign w:val="baseline"/>
                <w:lang w:eastAsia="zh-CN"/>
              </w:rPr>
              <w:t>。根据《</w:t>
            </w:r>
            <w:r>
              <w:rPr>
                <w:rFonts w:hint="default" w:ascii="Times New Roman" w:hAnsi="Times New Roman" w:eastAsia="宋体" w:cs="Times New Roman"/>
                <w:bCs/>
                <w:color w:val="auto"/>
                <w:sz w:val="24"/>
                <w:lang w:eastAsia="zh-CN"/>
              </w:rPr>
              <w:t>木兰皇家农业综合示范园区集中供热承德富龙现代农业发展有限公司锅炉升级改造项</w:t>
            </w:r>
            <w:r>
              <w:rPr>
                <w:rFonts w:hint="default" w:ascii="Times New Roman" w:hAnsi="Times New Roman" w:eastAsia="宋体" w:cs="Times New Roman"/>
                <w:bCs/>
                <w:sz w:val="24"/>
                <w:lang w:eastAsia="zh-CN"/>
              </w:rPr>
              <w:t>目</w:t>
            </w:r>
            <w:r>
              <w:rPr>
                <w:rFonts w:hint="eastAsia" w:ascii="Times New Roman" w:hAnsi="Times New Roman" w:eastAsia="宋体" w:cs="Times New Roman"/>
                <w:bCs/>
                <w:sz w:val="24"/>
                <w:lang w:val="en-US" w:eastAsia="zh-CN"/>
              </w:rPr>
              <w:t>环境影响报告表</w:t>
            </w:r>
            <w:r>
              <w:rPr>
                <w:rFonts w:hint="default" w:ascii="Times New Roman" w:hAnsi="Times New Roman" w:eastAsia="宋体" w:cs="Times New Roman"/>
                <w:bCs/>
                <w:sz w:val="24"/>
                <w:lang w:val="en-US" w:eastAsia="zh-CN"/>
              </w:rPr>
              <w:t>》</w:t>
            </w:r>
            <w:r>
              <w:rPr>
                <w:rFonts w:hint="eastAsia" w:ascii="Times New Roman" w:hAnsi="Times New Roman" w:eastAsia="宋体" w:cs="Times New Roman"/>
                <w:bCs/>
                <w:sz w:val="24"/>
                <w:lang w:val="en-US" w:eastAsia="zh-CN"/>
              </w:rPr>
              <w:t>及《</w:t>
            </w:r>
            <w:r>
              <w:rPr>
                <w:rFonts w:hint="default" w:ascii="Times New Roman" w:hAnsi="Times New Roman" w:eastAsia="宋体" w:cs="Times New Roman"/>
                <w:bCs/>
                <w:color w:val="auto"/>
                <w:sz w:val="24"/>
                <w:lang w:eastAsia="zh-CN"/>
              </w:rPr>
              <w:t>木兰皇家农业综合示范园区集中供热承德富龙现代农业发展有限公司锅炉升级改造项</w:t>
            </w:r>
            <w:r>
              <w:rPr>
                <w:rFonts w:hint="default" w:ascii="Times New Roman" w:hAnsi="Times New Roman" w:eastAsia="宋体" w:cs="Times New Roman"/>
                <w:bCs/>
                <w:sz w:val="24"/>
                <w:lang w:eastAsia="zh-CN"/>
              </w:rPr>
              <w:t>目</w:t>
            </w:r>
            <w:r>
              <w:rPr>
                <w:rFonts w:hint="eastAsia" w:ascii="Times New Roman" w:hAnsi="Times New Roman" w:eastAsia="宋体" w:cs="Times New Roman"/>
                <w:bCs/>
                <w:sz w:val="24"/>
                <w:lang w:eastAsia="zh-CN"/>
              </w:rPr>
              <w:t>竣工环境保护验收报告</w:t>
            </w:r>
            <w:r>
              <w:rPr>
                <w:rFonts w:hint="eastAsia" w:ascii="Times New Roman" w:hAnsi="Times New Roman" w:eastAsia="宋体" w:cs="Times New Roman"/>
                <w:bCs/>
                <w:sz w:val="24"/>
                <w:lang w:val="en-US" w:eastAsia="zh-CN"/>
              </w:rPr>
              <w:t>》可知。</w:t>
            </w:r>
            <w:r>
              <w:rPr>
                <w:rFonts w:hint="default" w:ascii="Times New Roman" w:hAnsi="Times New Roman" w:eastAsia="宋体" w:cs="Times New Roman"/>
                <w:bCs/>
                <w:sz w:val="24"/>
                <w:vertAlign w:val="baseline"/>
                <w:lang w:val="en-US" w:eastAsia="zh-CN"/>
              </w:rPr>
              <w:t>本项目污染物排放量为颗粒物0.</w:t>
            </w:r>
            <w:r>
              <w:rPr>
                <w:rFonts w:hint="eastAsia" w:ascii="Times New Roman" w:hAnsi="Times New Roman" w:eastAsia="宋体" w:cs="Times New Roman"/>
                <w:bCs/>
                <w:sz w:val="24"/>
                <w:vertAlign w:val="baseline"/>
                <w:lang w:val="en-US" w:eastAsia="zh-CN"/>
              </w:rPr>
              <w:t>54</w:t>
            </w:r>
            <w:r>
              <w:rPr>
                <w:rFonts w:hint="default" w:ascii="Times New Roman" w:hAnsi="Times New Roman" w:eastAsia="宋体" w:cs="Times New Roman"/>
                <w:bCs/>
                <w:sz w:val="24"/>
                <w:vertAlign w:val="baseline"/>
                <w:lang w:val="en-US" w:eastAsia="zh-CN"/>
              </w:rPr>
              <w:t>t/a、二氧化硫1.</w:t>
            </w:r>
            <w:r>
              <w:rPr>
                <w:rFonts w:hint="eastAsia" w:ascii="Times New Roman" w:hAnsi="Times New Roman" w:eastAsia="宋体" w:cs="Times New Roman"/>
                <w:bCs/>
                <w:sz w:val="24"/>
                <w:vertAlign w:val="baseline"/>
                <w:lang w:val="en-US" w:eastAsia="zh-CN"/>
              </w:rPr>
              <w:t>618</w:t>
            </w:r>
            <w:r>
              <w:rPr>
                <w:rFonts w:hint="default" w:ascii="Times New Roman" w:hAnsi="Times New Roman" w:eastAsia="宋体" w:cs="Times New Roman"/>
                <w:bCs/>
                <w:sz w:val="24"/>
                <w:vertAlign w:val="baseline"/>
                <w:lang w:val="en-US" w:eastAsia="zh-CN"/>
              </w:rPr>
              <w:t>t/a、氮氧化物</w:t>
            </w:r>
            <w:r>
              <w:rPr>
                <w:rFonts w:hint="eastAsia" w:ascii="Times New Roman" w:hAnsi="Times New Roman" w:eastAsia="宋体" w:cs="Times New Roman"/>
                <w:bCs/>
                <w:sz w:val="24"/>
                <w:vertAlign w:val="baseline"/>
                <w:lang w:val="en-US" w:eastAsia="zh-CN"/>
              </w:rPr>
              <w:t>4.300</w:t>
            </w:r>
            <w:r>
              <w:rPr>
                <w:rFonts w:hint="default" w:ascii="Times New Roman" w:hAnsi="Times New Roman" w:eastAsia="宋体" w:cs="Times New Roman"/>
                <w:bCs/>
                <w:sz w:val="24"/>
                <w:vertAlign w:val="baseline"/>
                <w:lang w:val="en-US" w:eastAsia="zh-CN"/>
              </w:rPr>
              <w:t>t/a</w:t>
            </w:r>
            <w:r>
              <w:rPr>
                <w:rFonts w:hint="eastAsia" w:ascii="Times New Roman" w:hAnsi="Times New Roman" w:eastAsia="宋体" w:cs="Times New Roman"/>
                <w:bCs/>
                <w:sz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B水</w:t>
            </w:r>
            <w:r>
              <w:rPr>
                <w:rFonts w:hint="default" w:ascii="Times New Roman" w:hAnsi="Times New Roman" w:eastAsia="宋体" w:cs="Times New Roman"/>
                <w:color w:val="auto"/>
                <w:sz w:val="24"/>
                <w:szCs w:val="24"/>
                <w:lang w:val="en-US" w:eastAsia="zh-CN"/>
              </w:rPr>
              <w:t>污染物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现有工程原生产阶段</w:t>
            </w:r>
            <w:r>
              <w:rPr>
                <w:rFonts w:hint="default" w:ascii="Times New Roman" w:hAnsi="Times New Roman" w:cs="Times New Roman"/>
                <w:color w:val="auto"/>
                <w:sz w:val="24"/>
                <w:szCs w:val="24"/>
              </w:rPr>
              <w:t>产生的废水</w:t>
            </w:r>
            <w:r>
              <w:rPr>
                <w:rFonts w:hint="eastAsia" w:ascii="Times New Roman" w:hAnsi="Times New Roman" w:cs="Times New Roman"/>
                <w:color w:val="auto"/>
                <w:sz w:val="24"/>
                <w:szCs w:val="24"/>
                <w:lang w:val="en-US" w:eastAsia="zh-CN"/>
              </w:rPr>
              <w:t>为</w:t>
            </w:r>
            <w:r>
              <w:rPr>
                <w:rFonts w:hint="default" w:ascii="Times New Roman" w:hAnsi="Times New Roman" w:eastAsia="宋体" w:cs="Times New Roman"/>
                <w:color w:val="auto"/>
                <w:sz w:val="24"/>
                <w:szCs w:val="24"/>
                <w:lang w:eastAsia="zh-CN"/>
              </w:rPr>
              <w:t>锅炉排污水和软化水制备废水</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废水量为</w:t>
            </w:r>
            <w:r>
              <w:rPr>
                <w:rFonts w:hint="eastAsia" w:ascii="Times New Roman" w:hAnsi="Times New Roman" w:eastAsia="宋体" w:cs="Times New Roman"/>
                <w:color w:val="auto"/>
                <w:sz w:val="24"/>
                <w:szCs w:val="24"/>
                <w:lang w:val="en-US" w:eastAsia="zh-CN"/>
              </w:rPr>
              <w:t>10.515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525.75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en-US" w:eastAsia="zh-CN"/>
              </w:rPr>
              <w:t>/a），锅炉排污水和软化水制备废水通过厂区管网进入厂区污水处理站，依托厂区原有污水处理站进行处理</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kern w:val="24"/>
                <w:sz w:val="24"/>
                <w:szCs w:val="24"/>
                <w:lang w:eastAsia="zh-CN"/>
              </w:rPr>
            </w:pPr>
            <w:r>
              <w:rPr>
                <w:rFonts w:hint="default" w:ascii="Times New Roman" w:hAnsi="Times New Roman" w:cs="Times New Roman"/>
                <w:bCs/>
                <w:color w:val="auto"/>
                <w:sz w:val="24"/>
                <w:szCs w:val="24"/>
                <w:lang w:val="en-US" w:eastAsia="zh-CN"/>
              </w:rPr>
              <w:t>C噪声</w:t>
            </w:r>
          </w:p>
          <w:p>
            <w:pPr>
              <w:spacing w:line="360" w:lineRule="auto"/>
              <w:ind w:firstLine="472"/>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sz w:val="24"/>
                <w:szCs w:val="24"/>
                <w:lang w:val="en-US" w:eastAsia="zh-CN"/>
              </w:rPr>
              <w:t>运营期产生的噪声主要为锅炉、水泵、风机等设备工作时产生的噪声；车辆运输过程产生的交通噪声。通过将生产设备均置于封闭的生产车间内，使用低噪声设备，设备基础减振等隔声降噪措施减少厂区的噪声排放；针对车辆运输时的交通噪声，运输车辆经过村庄时禁止鸣笛</w:t>
            </w:r>
            <w:r>
              <w:rPr>
                <w:rFonts w:hint="eastAsia" w:ascii="Times New Roman" w:hAnsi="Times New Roman" w:eastAsia="宋体" w:cs="Times New Roman"/>
                <w:sz w:val="24"/>
                <w:szCs w:val="24"/>
                <w:lang w:val="en-US" w:eastAsia="zh-CN"/>
              </w:rPr>
              <w:t>。并</w:t>
            </w:r>
            <w:r>
              <w:rPr>
                <w:rFonts w:hint="default" w:ascii="Times New Roman" w:hAnsi="Times New Roman" w:eastAsia="宋体" w:cs="Times New Roman"/>
                <w:color w:val="auto"/>
                <w:sz w:val="24"/>
                <w:szCs w:val="24"/>
                <w:lang w:val="en-US" w:eastAsia="zh-CN"/>
              </w:rPr>
              <w:t>于20</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日对运营期</w:t>
            </w:r>
            <w:r>
              <w:rPr>
                <w:rFonts w:hint="eastAsia" w:ascii="Times New Roman" w:hAnsi="Times New Roman" w:eastAsia="宋体"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噪声进行监测，昼间噪声最高为</w:t>
            </w:r>
            <w:r>
              <w:rPr>
                <w:rFonts w:hint="eastAsia" w:ascii="Times New Roman" w:hAnsi="Times New Roman" w:eastAsia="宋体" w:cs="Times New Roman"/>
                <w:color w:val="auto"/>
                <w:sz w:val="24"/>
                <w:szCs w:val="24"/>
                <w:lang w:val="en-US" w:eastAsia="zh-CN"/>
              </w:rPr>
              <w:t>57.3</w:t>
            </w:r>
            <w:r>
              <w:rPr>
                <w:rFonts w:hint="default" w:ascii="Times New Roman" w:hAnsi="Times New Roman" w:eastAsia="宋体" w:cs="Times New Roman"/>
                <w:color w:val="auto"/>
                <w:sz w:val="24"/>
                <w:szCs w:val="24"/>
                <w:lang w:val="en-US" w:eastAsia="zh-CN"/>
              </w:rPr>
              <w:t>dB，最低为</w:t>
            </w:r>
            <w:r>
              <w:rPr>
                <w:rFonts w:hint="eastAsia" w:ascii="Times New Roman" w:hAnsi="Times New Roman" w:eastAsia="宋体" w:cs="Times New Roman"/>
                <w:color w:val="auto"/>
                <w:sz w:val="24"/>
                <w:szCs w:val="24"/>
                <w:lang w:val="en-US" w:eastAsia="zh-CN"/>
              </w:rPr>
              <w:t>54.0</w:t>
            </w:r>
            <w:r>
              <w:rPr>
                <w:rFonts w:hint="default" w:ascii="Times New Roman" w:hAnsi="Times New Roman" w:eastAsia="宋体" w:cs="Times New Roman"/>
                <w:color w:val="auto"/>
                <w:sz w:val="24"/>
                <w:szCs w:val="24"/>
                <w:lang w:val="en-US" w:eastAsia="zh-CN"/>
              </w:rPr>
              <w:t>dB，夜间噪声最高为</w:t>
            </w:r>
            <w:r>
              <w:rPr>
                <w:rFonts w:hint="eastAsia" w:ascii="Times New Roman" w:hAnsi="Times New Roman" w:eastAsia="宋体" w:cs="Times New Roman"/>
                <w:color w:val="auto"/>
                <w:sz w:val="24"/>
                <w:szCs w:val="24"/>
                <w:lang w:val="en-US" w:eastAsia="zh-CN"/>
              </w:rPr>
              <w:t>47.8</w:t>
            </w:r>
            <w:r>
              <w:rPr>
                <w:rFonts w:hint="default" w:ascii="Times New Roman" w:hAnsi="Times New Roman" w:eastAsia="宋体" w:cs="Times New Roman"/>
                <w:color w:val="auto"/>
                <w:sz w:val="24"/>
                <w:szCs w:val="24"/>
                <w:lang w:val="en-US" w:eastAsia="zh-CN"/>
              </w:rPr>
              <w:t>dB，最低为</w:t>
            </w:r>
            <w:r>
              <w:rPr>
                <w:rFonts w:hint="eastAsia" w:ascii="Times New Roman" w:hAnsi="Times New Roman" w:eastAsia="宋体" w:cs="Times New Roman"/>
                <w:color w:val="auto"/>
                <w:sz w:val="24"/>
                <w:szCs w:val="24"/>
                <w:lang w:val="en-US" w:eastAsia="zh-CN"/>
              </w:rPr>
              <w:t>44.2</w:t>
            </w:r>
            <w:r>
              <w:rPr>
                <w:rFonts w:hint="default" w:ascii="Times New Roman" w:hAnsi="Times New Roman" w:eastAsia="宋体" w:cs="Times New Roman"/>
                <w:color w:val="auto"/>
                <w:sz w:val="24"/>
                <w:szCs w:val="24"/>
                <w:lang w:val="en-US" w:eastAsia="zh-CN"/>
              </w:rPr>
              <w:t>dB，符合《工业企业厂界环境噪声排放标准》(GB12348-2008)中的2类标准。</w:t>
            </w:r>
          </w:p>
          <w:p>
            <w:pPr>
              <w:spacing w:line="360" w:lineRule="auto"/>
              <w:ind w:firstLine="480" w:firstLineChars="200"/>
              <w:rPr>
                <w:rFonts w:hint="eastAsia" w:ascii="Times New Roman" w:hAnsi="Times New Roman" w:cs="Times New Roman"/>
                <w:color w:val="auto"/>
                <w:kern w:val="24"/>
                <w:sz w:val="24"/>
                <w:szCs w:val="24"/>
                <w:lang w:eastAsia="zh-CN"/>
              </w:rPr>
            </w:pPr>
            <w:r>
              <w:rPr>
                <w:rFonts w:hint="default" w:ascii="Times New Roman" w:hAnsi="Times New Roman" w:cs="Times New Roman"/>
                <w:bCs/>
                <w:color w:val="auto"/>
                <w:sz w:val="24"/>
                <w:szCs w:val="24"/>
                <w:lang w:val="en-US" w:eastAsia="zh-CN"/>
              </w:rPr>
              <w:t>D固体废物</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项目不新增劳动定员，无新增生活垃圾。生产过程中产生的固体废物包括炉渣、除尘灰、水浴除尘池底固形物、生物质燃料废包装袋及</w:t>
            </w:r>
            <w:r>
              <w:rPr>
                <w:rFonts w:hint="eastAsia" w:ascii="Times New Roman" w:hAnsi="Times New Roman" w:eastAsia="宋体" w:cs="Times New Roman"/>
                <w:color w:val="auto"/>
                <w:sz w:val="24"/>
                <w:szCs w:val="24"/>
                <w:lang w:val="en-US" w:eastAsia="zh-CN"/>
              </w:rPr>
              <w:t>废弃</w:t>
            </w:r>
            <w:r>
              <w:rPr>
                <w:rFonts w:hint="default" w:ascii="Times New Roman" w:hAnsi="Times New Roman" w:eastAsia="宋体" w:cs="Times New Roman"/>
                <w:color w:val="auto"/>
                <w:sz w:val="24"/>
                <w:szCs w:val="24"/>
                <w:lang w:val="en-US" w:eastAsia="zh-CN"/>
              </w:rPr>
              <w:t>离子交换树脂。</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生物质年用量为7000</w:t>
            </w:r>
            <w:r>
              <w:rPr>
                <w:rFonts w:hint="default" w:ascii="Times New Roman" w:hAnsi="Times New Roman" w:eastAsia="宋体" w:cs="Times New Roman"/>
                <w:sz w:val="24"/>
              </w:rPr>
              <w:t>t/a</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炉渣</w:t>
            </w:r>
            <w:r>
              <w:rPr>
                <w:rFonts w:hint="default" w:ascii="Times New Roman" w:hAnsi="Times New Roman" w:eastAsia="宋体" w:cs="Times New Roman"/>
                <w:sz w:val="24"/>
                <w:lang w:val="en-US" w:eastAsia="zh-CN"/>
              </w:rPr>
              <w:t>产生</w:t>
            </w:r>
            <w:r>
              <w:rPr>
                <w:rFonts w:hint="default" w:ascii="Times New Roman" w:hAnsi="Times New Roman" w:eastAsia="宋体" w:cs="Times New Roman"/>
                <w:sz w:val="24"/>
              </w:rPr>
              <w:t>量</w:t>
            </w:r>
            <w:r>
              <w:rPr>
                <w:rFonts w:hint="default" w:ascii="Times New Roman" w:hAnsi="Times New Roman" w:eastAsia="宋体" w:cs="Times New Roman"/>
                <w:sz w:val="24"/>
                <w:lang w:val="en-US" w:eastAsia="zh-CN"/>
              </w:rPr>
              <w:t>按生物质年用量10%计算，约为70</w:t>
            </w:r>
            <w:r>
              <w:rPr>
                <w:rFonts w:hint="default" w:ascii="Times New Roman" w:hAnsi="Times New Roman" w:eastAsia="宋体" w:cs="Times New Roman"/>
                <w:sz w:val="24"/>
              </w:rPr>
              <w:t>t/a</w:t>
            </w:r>
            <w:r>
              <w:rPr>
                <w:rFonts w:hint="default" w:ascii="Times New Roman" w:hAnsi="Times New Roman" w:eastAsia="宋体" w:cs="Times New Roman"/>
                <w:sz w:val="24"/>
                <w:lang w:val="en-US" w:eastAsia="zh-CN"/>
              </w:rPr>
              <w:t>；除尘灰产生量约为3</w:t>
            </w:r>
            <w:r>
              <w:rPr>
                <w:rFonts w:hint="default" w:ascii="Times New Roman" w:hAnsi="Times New Roman" w:eastAsia="宋体" w:cs="Times New Roman"/>
                <w:sz w:val="24"/>
              </w:rPr>
              <w:t>t/a</w:t>
            </w:r>
            <w:r>
              <w:rPr>
                <w:rFonts w:hint="default" w:ascii="Times New Roman" w:hAnsi="Times New Roman" w:eastAsia="宋体" w:cs="Times New Roman"/>
                <w:sz w:val="24"/>
                <w:lang w:val="en-US" w:eastAsia="zh-CN"/>
              </w:rPr>
              <w:t>，</w:t>
            </w:r>
            <w:r>
              <w:rPr>
                <w:rFonts w:hint="default" w:ascii="Times New Roman" w:hAnsi="Times New Roman" w:eastAsia="宋体" w:cs="Times New Roman"/>
                <w:color w:val="auto"/>
                <w:sz w:val="24"/>
                <w:szCs w:val="24"/>
                <w:lang w:val="en-US" w:eastAsia="zh-CN"/>
              </w:rPr>
              <w:t>水浴除尘池底固形物产生量约为</w:t>
            </w:r>
            <w:r>
              <w:rPr>
                <w:rFonts w:hint="default" w:ascii="Times New Roman" w:hAnsi="Times New Roman" w:eastAsia="宋体" w:cs="Times New Roman"/>
                <w:sz w:val="24"/>
                <w:lang w:val="en-US" w:eastAsia="zh-CN"/>
              </w:rPr>
              <w:t>0.47</w:t>
            </w:r>
            <w:r>
              <w:rPr>
                <w:rFonts w:hint="default" w:ascii="Times New Roman" w:hAnsi="Times New Roman" w:eastAsia="宋体" w:cs="Times New Roman"/>
                <w:sz w:val="24"/>
              </w:rPr>
              <w:t>t/a</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生物质废旧包装袋产生量约为0.5</w:t>
            </w:r>
            <w:r>
              <w:rPr>
                <w:rFonts w:hint="default" w:ascii="Times New Roman" w:hAnsi="Times New Roman" w:eastAsia="宋体" w:cs="Times New Roman"/>
                <w:sz w:val="24"/>
              </w:rPr>
              <w:t>t/a</w:t>
            </w:r>
            <w:r>
              <w:rPr>
                <w:rFonts w:hint="default" w:ascii="Times New Roman" w:hAnsi="Times New Roman" w:eastAsia="宋体" w:cs="Times New Roman"/>
                <w:sz w:val="24"/>
                <w:lang w:eastAsia="zh-CN"/>
              </w:rPr>
              <w:t>。</w:t>
            </w:r>
            <w:r>
              <w:rPr>
                <w:rFonts w:hint="default" w:ascii="Times New Roman" w:hAnsi="Times New Roman" w:eastAsia="宋体" w:cs="Times New Roman"/>
                <w:color w:val="auto"/>
                <w:sz w:val="24"/>
                <w:szCs w:val="24"/>
                <w:lang w:val="en-US" w:eastAsia="zh-CN"/>
              </w:rPr>
              <w:t>软水系统产生的废</w:t>
            </w:r>
            <w:r>
              <w:rPr>
                <w:rFonts w:hint="eastAsia" w:ascii="Times New Roman" w:hAnsi="Times New Roman" w:eastAsia="宋体" w:cs="Times New Roman"/>
                <w:color w:val="auto"/>
                <w:sz w:val="24"/>
                <w:szCs w:val="24"/>
                <w:lang w:val="en-US" w:eastAsia="zh-CN"/>
              </w:rPr>
              <w:t>弃</w:t>
            </w:r>
            <w:r>
              <w:rPr>
                <w:rFonts w:hint="default" w:ascii="Times New Roman" w:hAnsi="Times New Roman" w:eastAsia="宋体" w:cs="Times New Roman"/>
                <w:color w:val="auto"/>
                <w:sz w:val="24"/>
                <w:szCs w:val="24"/>
                <w:lang w:val="en-US" w:eastAsia="zh-CN"/>
              </w:rPr>
              <w:t>离子交换树脂</w:t>
            </w:r>
            <w:r>
              <w:rPr>
                <w:rFonts w:hint="default" w:ascii="Times New Roman" w:hAnsi="Times New Roman" w:eastAsia="宋体" w:cs="Times New Roman"/>
                <w:color w:val="auto"/>
                <w:sz w:val="24"/>
                <w:szCs w:val="24"/>
                <w:highlight w:val="none"/>
                <w:lang w:val="en-US" w:eastAsia="zh-CN"/>
              </w:rPr>
              <w:t>产生量为0.1t/a</w:t>
            </w:r>
            <w:r>
              <w:rPr>
                <w:rFonts w:hint="eastAsia" w:ascii="Times New Roman" w:hAnsi="Times New Roman" w:cs="Times New Roman"/>
                <w:color w:val="auto"/>
                <w:kern w:val="24"/>
                <w:sz w:val="24"/>
                <w:szCs w:val="24"/>
                <w:lang w:eastAsia="zh-CN"/>
              </w:rPr>
              <w:t>。</w:t>
            </w:r>
            <w:r>
              <w:rPr>
                <w:rFonts w:hint="default" w:ascii="Times New Roman" w:hAnsi="Times New Roman" w:eastAsia="宋体" w:cs="Times New Roman"/>
                <w:sz w:val="24"/>
              </w:rPr>
              <w:t>炉渣、除尘灰</w:t>
            </w:r>
            <w:r>
              <w:rPr>
                <w:rFonts w:hint="default" w:ascii="Times New Roman" w:hAnsi="Times New Roman" w:eastAsia="宋体" w:cs="Times New Roman"/>
                <w:sz w:val="24"/>
                <w:lang w:eastAsia="zh-CN"/>
              </w:rPr>
              <w:t>、</w:t>
            </w:r>
            <w:r>
              <w:rPr>
                <w:rFonts w:hint="default" w:ascii="Times New Roman" w:hAnsi="Times New Roman" w:eastAsia="宋体" w:cs="Times New Roman"/>
                <w:color w:val="auto"/>
                <w:sz w:val="24"/>
                <w:szCs w:val="24"/>
                <w:lang w:val="en-US" w:eastAsia="zh-CN"/>
              </w:rPr>
              <w:t>水浴除尘池底固形物</w:t>
            </w:r>
            <w:r>
              <w:rPr>
                <w:rFonts w:hint="default" w:ascii="Times New Roman" w:hAnsi="Times New Roman" w:eastAsia="宋体" w:cs="Times New Roman"/>
                <w:sz w:val="24"/>
              </w:rPr>
              <w:t>均为生物质成型颗粒燃料中未燃尽部分与燃料在高温下气化的杂质，主要成分为农林废弃物灰烬，属于一般工业固废，</w:t>
            </w:r>
            <w:r>
              <w:rPr>
                <w:rFonts w:hint="default" w:ascii="Times New Roman" w:hAnsi="Times New Roman" w:eastAsia="宋体" w:cs="Times New Roman"/>
                <w:sz w:val="24"/>
                <w:highlight w:val="none"/>
                <w:lang w:val="en-US" w:eastAsia="zh-CN"/>
              </w:rPr>
              <w:t>定期外运至围场县环境卫生管理服务处</w:t>
            </w:r>
            <w:r>
              <w:rPr>
                <w:rFonts w:hint="default" w:ascii="Times New Roman" w:hAnsi="Times New Roman" w:eastAsia="宋体" w:cs="Times New Roman"/>
                <w:sz w:val="24"/>
                <w:lang w:eastAsia="zh-CN"/>
              </w:rPr>
              <w:t>；</w:t>
            </w:r>
            <w:r>
              <w:rPr>
                <w:rFonts w:hint="default" w:ascii="Times New Roman" w:hAnsi="Times New Roman" w:eastAsia="宋体" w:cs="Times New Roman"/>
                <w:color w:val="auto"/>
                <w:sz w:val="24"/>
                <w:szCs w:val="24"/>
                <w:lang w:val="en-US" w:eastAsia="zh-CN"/>
              </w:rPr>
              <w:t>生物质燃料</w:t>
            </w:r>
            <w:r>
              <w:rPr>
                <w:rFonts w:hint="default" w:ascii="Times New Roman" w:hAnsi="Times New Roman" w:eastAsia="宋体" w:cs="Times New Roman"/>
                <w:sz w:val="24"/>
              </w:rPr>
              <w:t>废包装袋集中收集后</w:t>
            </w:r>
            <w:r>
              <w:rPr>
                <w:rFonts w:hint="default" w:ascii="Times New Roman" w:hAnsi="Times New Roman" w:eastAsia="宋体" w:cs="Times New Roman"/>
                <w:sz w:val="24"/>
                <w:lang w:val="en-US" w:eastAsia="zh-CN"/>
              </w:rPr>
              <w:t>由供货厂家回收</w:t>
            </w:r>
            <w:r>
              <w:rPr>
                <w:rFonts w:hint="eastAsia" w:ascii="Times New Roman" w:hAnsi="Times New Roman" w:eastAsia="宋体" w:cs="Times New Roman"/>
                <w:sz w:val="24"/>
                <w:lang w:val="en-US" w:eastAsia="zh-CN"/>
              </w:rPr>
              <w:t>，</w:t>
            </w:r>
            <w:r>
              <w:rPr>
                <w:rFonts w:hint="eastAsia" w:ascii="Times New Roman" w:hAnsi="Times New Roman" w:eastAsia="宋体" w:cs="Times New Roman"/>
                <w:color w:val="auto"/>
                <w:sz w:val="24"/>
                <w:szCs w:val="24"/>
                <w:lang w:val="en-US" w:eastAsia="zh-CN"/>
              </w:rPr>
              <w:t>废弃</w:t>
            </w:r>
            <w:r>
              <w:rPr>
                <w:rFonts w:hint="default" w:ascii="Times New Roman" w:hAnsi="Times New Roman" w:eastAsia="宋体" w:cs="Times New Roman"/>
                <w:color w:val="auto"/>
                <w:sz w:val="24"/>
                <w:szCs w:val="24"/>
                <w:lang w:val="en-US" w:eastAsia="zh-CN"/>
              </w:rPr>
              <w:t>离子交换树脂集中收集后外售综合利用</w:t>
            </w:r>
            <w:r>
              <w:rPr>
                <w:rFonts w:hint="default" w:ascii="Times New Roman" w:hAnsi="Times New Roman" w:eastAsia="宋体" w:cs="Times New Roman"/>
                <w:sz w:val="24"/>
              </w:rPr>
              <w:t>。</w:t>
            </w:r>
          </w:p>
          <w:p>
            <w:pPr>
              <w:spacing w:line="360" w:lineRule="auto"/>
              <w:ind w:firstLine="480" w:firstLineChars="200"/>
              <w:rPr>
                <w:rFonts w:hint="eastAsia"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综上，</w:t>
            </w:r>
            <w:r>
              <w:rPr>
                <w:rFonts w:hint="eastAsia" w:ascii="Times New Roman" w:hAnsi="Times New Roman" w:cs="Times New Roman"/>
                <w:bCs/>
                <w:color w:val="auto"/>
                <w:sz w:val="24"/>
                <w:szCs w:val="24"/>
                <w:lang w:val="en-US" w:eastAsia="zh-CN"/>
              </w:rPr>
              <w:t>本项目</w:t>
            </w:r>
            <w:r>
              <w:rPr>
                <w:rFonts w:hint="default" w:ascii="Times New Roman" w:hAnsi="Times New Roman" w:cs="Times New Roman"/>
                <w:bCs/>
                <w:color w:val="auto"/>
                <w:sz w:val="24"/>
                <w:szCs w:val="24"/>
                <w:lang w:val="en-US" w:eastAsia="zh-CN"/>
              </w:rPr>
              <w:t>运营期产生的固体废物均得到妥善处置，对区域环境影响不大</w:t>
            </w:r>
            <w:r>
              <w:rPr>
                <w:rFonts w:hint="eastAsia" w:ascii="Times New Roman" w:hAnsi="Times New Roman" w:cs="Times New Roman"/>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cs="Times New Roman"/>
                <w:b/>
                <w:bCs/>
                <w:color w:val="auto"/>
                <w:lang w:val="en-US" w:eastAsia="zh-CN"/>
              </w:rPr>
            </w:pPr>
            <w:r>
              <w:rPr>
                <w:rFonts w:hint="eastAsia" w:ascii="Times New Roman" w:hAnsi="Times New Roman" w:cs="Times New Roman"/>
                <w:b/>
                <w:bCs w:val="0"/>
                <w:color w:val="auto"/>
                <w:sz w:val="24"/>
                <w:szCs w:val="24"/>
                <w:lang w:val="en-US" w:eastAsia="zh-CN"/>
              </w:rPr>
              <w:t>7</w:t>
            </w:r>
            <w:r>
              <w:rPr>
                <w:rFonts w:hint="default" w:ascii="Times New Roman" w:hAnsi="Times New Roman" w:cs="Times New Roman"/>
                <w:b/>
                <w:bCs w:val="0"/>
                <w:color w:val="auto"/>
                <w:sz w:val="24"/>
                <w:szCs w:val="24"/>
                <w:lang w:val="en-US" w:eastAsia="zh-CN"/>
              </w:rPr>
              <w:t>、现有</w:t>
            </w:r>
            <w:r>
              <w:rPr>
                <w:rFonts w:hint="default" w:ascii="Times New Roman" w:hAnsi="Times New Roman" w:eastAsia="宋体" w:cs="Times New Roman"/>
                <w:b/>
                <w:bCs w:val="0"/>
                <w:color w:val="auto"/>
                <w:sz w:val="24"/>
                <w:szCs w:val="24"/>
                <w:lang w:val="en-US" w:eastAsia="zh-CN"/>
              </w:rPr>
              <w:t>主要环境问题</w:t>
            </w:r>
          </w:p>
          <w:p>
            <w:pPr>
              <w:spacing w:line="360" w:lineRule="auto"/>
              <w:ind w:firstLine="480" w:firstLineChars="200"/>
              <w:rPr>
                <w:rFonts w:hint="default" w:ascii="Times New Roman" w:hAnsi="Times New Roman" w:cs="Times New Roman" w:eastAsiaTheme="minorEastAsia"/>
                <w:bCs/>
                <w:szCs w:val="21"/>
                <w:lang w:val="en-US" w:eastAsia="zh-CN"/>
              </w:rPr>
            </w:pPr>
            <w:r>
              <w:rPr>
                <w:rFonts w:hint="eastAsia" w:ascii="Times New Roman" w:hAnsi="Times New Roman"/>
                <w:sz w:val="24"/>
              </w:rPr>
              <w:t>根据现场勘查</w:t>
            </w:r>
            <w:r>
              <w:rPr>
                <w:rFonts w:hint="eastAsia" w:ascii="Times New Roman" w:hAnsi="Times New Roman" w:eastAsia="宋体" w:cs="Times New Roman"/>
                <w:bCs/>
                <w:sz w:val="24"/>
              </w:rPr>
              <w:t>，</w:t>
            </w:r>
            <w:r>
              <w:rPr>
                <w:rFonts w:hint="eastAsia" w:ascii="Times New Roman" w:hAnsi="Times New Roman" w:eastAsia="宋体" w:cs="Times New Roman"/>
                <w:bCs/>
                <w:sz w:val="24"/>
                <w:lang w:eastAsia="zh-CN"/>
              </w:rPr>
              <w:t>现场</w:t>
            </w:r>
            <w:r>
              <w:rPr>
                <w:rFonts w:hint="eastAsia" w:ascii="Times New Roman" w:hAnsi="Times New Roman" w:cs="Times New Roman"/>
                <w:sz w:val="24"/>
                <w:szCs w:val="24"/>
                <w:lang w:val="en-US" w:eastAsia="zh-CN"/>
              </w:rPr>
              <w:t>改造了1台20t/h生物质锅炉，同时将原有的废气治理设施改造为布袋除尘+低氮燃烧技术，作为应急备用锅炉，并对原有锅炉房进行了改造，将原有生物质库改造成煤棚，改造原有渣库，并新建破碎楼、灰仓及配套设施</w:t>
            </w:r>
            <w:r>
              <w:rPr>
                <w:rFonts w:hint="eastAsia" w:ascii="Times New Roman" w:hAnsi="Times New Roman" w:cs="Times New Roman"/>
                <w:bCs/>
                <w:color w:val="auto"/>
                <w:sz w:val="24"/>
                <w:szCs w:val="24"/>
                <w:lang w:val="en-US" w:eastAsia="zh-CN"/>
              </w:rPr>
              <w:t>。</w:t>
            </w:r>
          </w:p>
        </w:tc>
      </w:tr>
    </w:tbl>
    <w:p>
      <w:pPr>
        <w:rPr>
          <w:rFonts w:ascii="黑体" w:hAnsi="宋体" w:eastAsia="黑体" w:cs="Times New Roman"/>
          <w:snapToGrid w:val="0"/>
          <w:sz w:val="36"/>
          <w:szCs w:val="36"/>
          <w:lang w:bidi="ar"/>
        </w:rPr>
        <w:sectPr>
          <w:pgSz w:w="11906" w:h="16838"/>
          <w:pgMar w:top="1702" w:right="1531" w:bottom="1702" w:left="1531" w:header="851" w:footer="851" w:gutter="0"/>
          <w:cols w:space="425" w:num="1"/>
          <w:docGrid w:type="lines" w:linePitch="312" w:charSpace="0"/>
        </w:sectPr>
      </w:pPr>
    </w:p>
    <w:p>
      <w:pPr>
        <w:pStyle w:val="19"/>
        <w:keepNext w:val="0"/>
        <w:keepLines w:val="0"/>
        <w:pageBreakBefore w:val="0"/>
        <w:widowControl/>
        <w:kinsoku/>
        <w:wordWrap/>
        <w:overflowPunct/>
        <w:topLinePunct w:val="0"/>
        <w:autoSpaceDE/>
        <w:autoSpaceDN/>
        <w:bidi w:val="0"/>
        <w:adjustRightInd/>
        <w:snapToGrid/>
        <w:spacing w:beforeAutospacing="0" w:afterAutospacing="0" w:line="360" w:lineRule="auto"/>
        <w:jc w:val="center"/>
        <w:textAlignment w:val="auto"/>
        <w:outlineLvl w:val="0"/>
        <w:rPr>
          <w:rFonts w:hint="default" w:ascii="黑体" w:eastAsia="黑体" w:cs="黑体"/>
          <w:snapToGrid w:val="0"/>
          <w:sz w:val="30"/>
          <w:szCs w:val="30"/>
        </w:rPr>
      </w:pPr>
      <w:r>
        <w:rPr>
          <w:rFonts w:ascii="黑体" w:eastAsia="黑体" w:cs="黑体"/>
          <w:snapToGrid w:val="0"/>
          <w:sz w:val="30"/>
          <w:szCs w:val="30"/>
        </w:rPr>
        <w:t>三、区域环境质量现状、环境保护目标及评价标准</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tcBorders>
              <w:top w:val="single" w:color="auto" w:sz="8"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区域</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环境</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质量</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现状</w:t>
            </w:r>
          </w:p>
        </w:tc>
        <w:tc>
          <w:tcPr>
            <w:tcW w:w="4719" w:type="pct"/>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1、大气环境</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（1）项目所在区域环境质量达标情况</w:t>
            </w:r>
          </w:p>
          <w:p>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本评价通过引用《2022年承德市生态环境状况公报》中围场县大气常规污染物现状监测统计资料中监测数据，来说明拟建地区的环境空气质量。</w:t>
            </w:r>
          </w:p>
          <w:p>
            <w:pPr>
              <w:adjustRightInd w:val="0"/>
              <w:snapToGrid w:val="0"/>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项目所在区域环境空气质量执行《环境空气质量标准》（GB3095-2012）及其修改单的二级标准。根据《2022年承德市生态环境状况公报》中围场县大气常规污染物中的PM</w:t>
            </w:r>
            <w:r>
              <w:rPr>
                <w:rFonts w:hint="default" w:ascii="Times New Roman" w:hAnsi="Times New Roman" w:eastAsia="宋体" w:cs="Times New Roman"/>
                <w:sz w:val="24"/>
                <w:szCs w:val="24"/>
                <w:vertAlign w:val="subscript"/>
                <w:lang w:val="en-US" w:eastAsia="zh-CN"/>
              </w:rPr>
              <w:t>2.5</w:t>
            </w:r>
            <w:r>
              <w:rPr>
                <w:rFonts w:hint="default" w:ascii="Times New Roman" w:hAnsi="Times New Roman" w:eastAsia="宋体" w:cs="Times New Roman"/>
                <w:sz w:val="24"/>
                <w:szCs w:val="24"/>
                <w:lang w:val="en-US" w:eastAsia="zh-CN"/>
              </w:rPr>
              <w:t>、PM</w:t>
            </w:r>
            <w:r>
              <w:rPr>
                <w:rFonts w:hint="default" w:ascii="Times New Roman" w:hAnsi="Times New Roman" w:eastAsia="宋体" w:cs="Times New Roman"/>
                <w:sz w:val="24"/>
                <w:szCs w:val="24"/>
                <w:vertAlign w:val="subscript"/>
                <w:lang w:val="en-US" w:eastAsia="zh-CN"/>
              </w:rPr>
              <w:t>10</w:t>
            </w:r>
            <w:r>
              <w:rPr>
                <w:rFonts w:hint="default" w:ascii="Times New Roman" w:hAnsi="Times New Roman" w:eastAsia="宋体" w:cs="Times New Roman"/>
                <w:sz w:val="24"/>
                <w:szCs w:val="24"/>
                <w:lang w:val="en-US" w:eastAsia="zh-CN"/>
              </w:rPr>
              <w:t>、SO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、CO、O</w:t>
            </w:r>
            <w:r>
              <w:rPr>
                <w:rFonts w:hint="default" w:ascii="Times New Roman" w:hAnsi="Times New Roman" w:eastAsia="宋体" w:cs="Times New Roman"/>
                <w:sz w:val="24"/>
                <w:szCs w:val="24"/>
                <w:vertAlign w:val="subscript"/>
                <w:lang w:val="en-US" w:eastAsia="zh-CN"/>
              </w:rPr>
              <w:t>3</w:t>
            </w:r>
            <w:r>
              <w:rPr>
                <w:rFonts w:hint="default" w:ascii="Times New Roman" w:hAnsi="Times New Roman" w:eastAsia="宋体" w:cs="Times New Roman"/>
                <w:sz w:val="24"/>
                <w:szCs w:val="24"/>
                <w:lang w:val="en-US" w:eastAsia="zh-CN"/>
              </w:rPr>
              <w:t>和NO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现状监测统计资料，监测结果见下表</w:t>
            </w:r>
            <w:r>
              <w:rPr>
                <w:rFonts w:hint="default" w:ascii="Times New Roman" w:hAnsi="Times New Roman" w:eastAsia="宋体" w:cs="Times New Roman"/>
                <w:sz w:val="24"/>
                <w:szCs w:val="24"/>
                <w:lang w:eastAsia="zh-CN"/>
              </w:rPr>
              <w:t>：</w:t>
            </w:r>
          </w:p>
          <w:p>
            <w:pPr>
              <w:autoSpaceDE w:val="0"/>
              <w:autoSpaceDN w:val="0"/>
              <w:adjustRightInd w:val="0"/>
              <w:snapToGrid w:val="0"/>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 xml:space="preserve">表3-1  </w:t>
            </w:r>
            <w:r>
              <w:rPr>
                <w:rStyle w:val="27"/>
                <w:rFonts w:hint="default" w:ascii="Times New Roman" w:hAnsi="Times New Roman" w:cs="Times New Roman"/>
              </w:rPr>
              <w:t>202</w:t>
            </w:r>
            <w:r>
              <w:rPr>
                <w:rStyle w:val="27"/>
                <w:rFonts w:hint="default" w:ascii="Times New Roman" w:hAnsi="Times New Roman" w:cs="Times New Roman"/>
                <w:lang w:val="en-US" w:eastAsia="zh-CN"/>
              </w:rPr>
              <w:t>2</w:t>
            </w:r>
            <w:r>
              <w:rPr>
                <w:rStyle w:val="27"/>
                <w:rFonts w:hint="default" w:ascii="Times New Roman" w:hAnsi="Times New Roman" w:cs="Times New Roman"/>
              </w:rPr>
              <w:t>年围场满族蒙古族自治县环境空气质量监测结果</w:t>
            </w:r>
            <w:r>
              <w:rPr>
                <w:rFonts w:hint="default" w:ascii="Times New Roman" w:hAnsi="Times New Roman" w:cs="Times New Roman"/>
                <w:b/>
                <w:bCs/>
                <w:szCs w:val="21"/>
              </w:rPr>
              <w:t>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1995"/>
              <w:gridCol w:w="868"/>
              <w:gridCol w:w="886"/>
              <w:gridCol w:w="646"/>
              <w:gridCol w:w="913"/>
              <w:gridCol w:w="624"/>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94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污染物名称</w:t>
                  </w:r>
                </w:p>
              </w:tc>
              <w:tc>
                <w:tcPr>
                  <w:tcW w:w="118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环境空气质量综合指数</w:t>
                  </w:r>
                </w:p>
              </w:tc>
              <w:tc>
                <w:tcPr>
                  <w:tcW w:w="51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2.5</w:t>
                  </w:r>
                </w:p>
              </w:tc>
              <w:tc>
                <w:tcPr>
                  <w:tcW w:w="52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385"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544"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w:t>
                  </w:r>
                </w:p>
              </w:tc>
              <w:tc>
                <w:tcPr>
                  <w:tcW w:w="37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3</w:t>
                  </w:r>
                </w:p>
              </w:tc>
              <w:tc>
                <w:tcPr>
                  <w:tcW w:w="52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jc w:val="center"/>
              </w:trPr>
              <w:tc>
                <w:tcPr>
                  <w:tcW w:w="94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年均值</w:t>
                  </w:r>
                </w:p>
              </w:tc>
              <w:tc>
                <w:tcPr>
                  <w:tcW w:w="118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rPr>
                    <w:t>2.7</w:t>
                  </w:r>
                </w:p>
              </w:tc>
              <w:tc>
                <w:tcPr>
                  <w:tcW w:w="868"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18</w:t>
                  </w:r>
                </w:p>
              </w:tc>
              <w:tc>
                <w:tcPr>
                  <w:tcW w:w="886"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rPr>
                    <w:t>42</w:t>
                  </w:r>
                </w:p>
              </w:tc>
              <w:tc>
                <w:tcPr>
                  <w:tcW w:w="646"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rPr>
                    <w:t>9</w:t>
                  </w:r>
                </w:p>
              </w:tc>
              <w:tc>
                <w:tcPr>
                  <w:tcW w:w="913"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rPr>
                    <w:t>0.8</w:t>
                  </w:r>
                </w:p>
              </w:tc>
              <w:tc>
                <w:tcPr>
                  <w:tcW w:w="624"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131</w:t>
                  </w:r>
                </w:p>
              </w:tc>
              <w:tc>
                <w:tcPr>
                  <w:tcW w:w="873"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exact"/>
                <w:jc w:val="center"/>
              </w:trPr>
              <w:tc>
                <w:tcPr>
                  <w:tcW w:w="94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标准（二级）</w:t>
                  </w:r>
                </w:p>
              </w:tc>
              <w:tc>
                <w:tcPr>
                  <w:tcW w:w="1189"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68"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35</w:t>
                  </w:r>
                </w:p>
              </w:tc>
              <w:tc>
                <w:tcPr>
                  <w:tcW w:w="886"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70</w:t>
                  </w:r>
                </w:p>
              </w:tc>
              <w:tc>
                <w:tcPr>
                  <w:tcW w:w="646"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60</w:t>
                  </w:r>
                </w:p>
              </w:tc>
              <w:tc>
                <w:tcPr>
                  <w:tcW w:w="913"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4.0</w:t>
                  </w:r>
                </w:p>
              </w:tc>
              <w:tc>
                <w:tcPr>
                  <w:tcW w:w="624"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160</w:t>
                  </w:r>
                </w:p>
              </w:tc>
              <w:tc>
                <w:tcPr>
                  <w:tcW w:w="873"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40</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b/>
                <w:szCs w:val="21"/>
              </w:rPr>
            </w:pPr>
            <w:r>
              <w:rPr>
                <w:rFonts w:hint="default" w:ascii="Times New Roman" w:hAnsi="Times New Roman" w:cs="Times New Roman"/>
                <w:b/>
                <w:szCs w:val="21"/>
              </w:rPr>
              <w:t>注：1.CO的浓度单位是mg/m</w:t>
            </w:r>
            <w:r>
              <w:rPr>
                <w:rFonts w:hint="default" w:ascii="Times New Roman" w:hAnsi="Times New Roman" w:cs="Times New Roman"/>
                <w:b/>
                <w:szCs w:val="21"/>
                <w:vertAlign w:val="superscript"/>
              </w:rPr>
              <w:t>3</w:t>
            </w:r>
            <w:r>
              <w:rPr>
                <w:rFonts w:hint="default" w:ascii="Times New Roman" w:hAnsi="Times New Roman" w:cs="Times New Roman"/>
                <w:b/>
                <w:szCs w:val="21"/>
              </w:rPr>
              <w:t>，PM</w:t>
            </w:r>
            <w:r>
              <w:rPr>
                <w:rFonts w:hint="default" w:ascii="Times New Roman" w:hAnsi="Times New Roman" w:cs="Times New Roman"/>
                <w:b/>
                <w:szCs w:val="21"/>
                <w:vertAlign w:val="subscript"/>
              </w:rPr>
              <w:t>2.5</w:t>
            </w:r>
            <w:r>
              <w:rPr>
                <w:rFonts w:hint="default" w:ascii="Times New Roman" w:hAnsi="Times New Roman" w:cs="Times New Roman"/>
                <w:b/>
                <w:szCs w:val="21"/>
              </w:rPr>
              <w:t>、PM</w:t>
            </w:r>
            <w:r>
              <w:rPr>
                <w:rFonts w:hint="default" w:ascii="Times New Roman" w:hAnsi="Times New Roman" w:cs="Times New Roman"/>
                <w:b/>
                <w:szCs w:val="21"/>
                <w:vertAlign w:val="subscript"/>
              </w:rPr>
              <w:t>10</w:t>
            </w:r>
            <w:r>
              <w:rPr>
                <w:rFonts w:hint="default" w:ascii="Times New Roman" w:hAnsi="Times New Roman" w:cs="Times New Roman"/>
                <w:b/>
                <w:szCs w:val="21"/>
              </w:rPr>
              <w:t>、NO</w:t>
            </w:r>
            <w:r>
              <w:rPr>
                <w:rFonts w:hint="default" w:ascii="Times New Roman" w:hAnsi="Times New Roman" w:cs="Times New Roman"/>
                <w:b/>
                <w:szCs w:val="21"/>
                <w:vertAlign w:val="subscript"/>
              </w:rPr>
              <w:t>2</w:t>
            </w:r>
            <w:r>
              <w:rPr>
                <w:rFonts w:hint="default" w:ascii="Times New Roman" w:hAnsi="Times New Roman" w:cs="Times New Roman"/>
                <w:b/>
                <w:szCs w:val="21"/>
              </w:rPr>
              <w:t>、SO</w:t>
            </w:r>
            <w:r>
              <w:rPr>
                <w:rFonts w:hint="default" w:ascii="Times New Roman" w:hAnsi="Times New Roman" w:cs="Times New Roman"/>
                <w:b/>
                <w:szCs w:val="21"/>
                <w:vertAlign w:val="subscript"/>
              </w:rPr>
              <w:t>2</w:t>
            </w:r>
            <w:r>
              <w:rPr>
                <w:rFonts w:hint="default" w:ascii="Times New Roman" w:hAnsi="Times New Roman" w:cs="Times New Roman"/>
                <w:b/>
                <w:szCs w:val="21"/>
              </w:rPr>
              <w:t>、O</w:t>
            </w:r>
            <w:r>
              <w:rPr>
                <w:rFonts w:hint="default" w:ascii="Times New Roman" w:hAnsi="Times New Roman" w:cs="Times New Roman"/>
                <w:b/>
                <w:szCs w:val="21"/>
                <w:vertAlign w:val="subscript"/>
              </w:rPr>
              <w:t>3</w:t>
            </w:r>
            <w:r>
              <w:rPr>
                <w:rFonts w:hint="default" w:ascii="Times New Roman" w:hAnsi="Times New Roman" w:cs="Times New Roman"/>
                <w:b/>
                <w:szCs w:val="21"/>
              </w:rPr>
              <w:t>的浓度单位是μg/m</w:t>
            </w:r>
            <w:r>
              <w:rPr>
                <w:rFonts w:hint="default" w:ascii="Times New Roman" w:hAnsi="Times New Roman" w:cs="Times New Roman"/>
                <w:b/>
                <w:szCs w:val="21"/>
                <w:vertAlign w:val="superscript"/>
              </w:rPr>
              <w:t>3</w:t>
            </w:r>
            <w:r>
              <w:rPr>
                <w:rFonts w:hint="default" w:ascii="Times New Roman" w:hAnsi="Times New Roman" w:cs="Times New Roman"/>
                <w:b/>
                <w:szCs w:val="21"/>
              </w:rPr>
              <w:t>；2.CO为24小时平均第95百分位数，O</w:t>
            </w:r>
            <w:r>
              <w:rPr>
                <w:rFonts w:hint="default" w:ascii="Times New Roman" w:hAnsi="Times New Roman" w:cs="Times New Roman"/>
                <w:b/>
                <w:szCs w:val="21"/>
                <w:vertAlign w:val="subscript"/>
              </w:rPr>
              <w:t>3</w:t>
            </w:r>
            <w:r>
              <w:rPr>
                <w:rFonts w:hint="default" w:ascii="Times New Roman" w:hAnsi="Times New Roman" w:cs="Times New Roman"/>
                <w:b/>
                <w:szCs w:val="21"/>
              </w:rPr>
              <w:t>为日最大8小时平均第90百分位数。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区域环境空气质量现状评价表见下表：</w:t>
            </w:r>
          </w:p>
          <w:p>
            <w:pPr>
              <w:adjustRightInd w:val="0"/>
              <w:snapToGrid w:val="0"/>
              <w:spacing w:line="360" w:lineRule="auto"/>
              <w:ind w:firstLine="422" w:firstLineChars="200"/>
              <w:jc w:val="center"/>
              <w:rPr>
                <w:rFonts w:hint="default" w:ascii="Times New Roman" w:hAnsi="Times New Roman" w:cs="Times New Roman"/>
                <w:b/>
                <w:bCs/>
                <w:szCs w:val="21"/>
              </w:rPr>
            </w:pPr>
            <w:r>
              <w:rPr>
                <w:rFonts w:hint="default" w:ascii="Times New Roman" w:hAnsi="Times New Roman" w:cs="Times New Roman"/>
                <w:b/>
                <w:bCs/>
                <w:szCs w:val="21"/>
              </w:rPr>
              <w:t>表3-2  202</w:t>
            </w:r>
            <w:r>
              <w:rPr>
                <w:rFonts w:hint="default" w:ascii="Times New Roman" w:hAnsi="Times New Roman" w:cs="Times New Roman"/>
                <w:b/>
                <w:bCs/>
                <w:szCs w:val="21"/>
                <w:lang w:val="en-US" w:eastAsia="zh-CN"/>
              </w:rPr>
              <w:t>2</w:t>
            </w:r>
            <w:r>
              <w:rPr>
                <w:rFonts w:hint="default" w:ascii="Times New Roman" w:hAnsi="Times New Roman" w:cs="Times New Roman"/>
                <w:b/>
                <w:bCs/>
                <w:szCs w:val="21"/>
              </w:rPr>
              <w:t>年区域环境空气质量现状评价表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1067"/>
              <w:gridCol w:w="1067"/>
              <w:gridCol w:w="1067"/>
              <w:gridCol w:w="1067"/>
              <w:gridCol w:w="1067"/>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82" w:type="pc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环境空气质量综合指数</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PM</w:t>
                  </w:r>
                  <w:r>
                    <w:rPr>
                      <w:rFonts w:hint="default" w:ascii="Times New Roman" w:hAnsi="Times New Roman" w:eastAsia="宋体" w:cs="Times New Roman"/>
                      <w:b/>
                      <w:bCs/>
                      <w:sz w:val="21"/>
                      <w:szCs w:val="21"/>
                      <w:vertAlign w:val="subscript"/>
                    </w:rPr>
                    <w:t>2.5</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PM</w:t>
                  </w:r>
                  <w:r>
                    <w:rPr>
                      <w:rFonts w:hint="default" w:ascii="Times New Roman" w:hAnsi="Times New Roman" w:eastAsia="宋体" w:cs="Times New Roman"/>
                      <w:b/>
                      <w:bCs/>
                      <w:sz w:val="21"/>
                      <w:szCs w:val="21"/>
                      <w:vertAlign w:val="subscript"/>
                    </w:rPr>
                    <w:t>10</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SO</w:t>
                  </w:r>
                  <w:r>
                    <w:rPr>
                      <w:rFonts w:hint="default" w:ascii="Times New Roman" w:hAnsi="Times New Roman" w:eastAsia="宋体" w:cs="Times New Roman"/>
                      <w:b/>
                      <w:bCs/>
                      <w:sz w:val="21"/>
                      <w:szCs w:val="21"/>
                      <w:vertAlign w:val="subscript"/>
                    </w:rPr>
                    <w:t>2</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CO</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O</w:t>
                  </w:r>
                  <w:r>
                    <w:rPr>
                      <w:rFonts w:hint="default" w:ascii="Times New Roman" w:hAnsi="Times New Roman" w:eastAsia="宋体" w:cs="Times New Roman"/>
                      <w:b/>
                      <w:bCs/>
                      <w:sz w:val="21"/>
                      <w:szCs w:val="21"/>
                      <w:vertAlign w:val="subscript"/>
                    </w:rPr>
                    <w:t>3</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NO</w:t>
                  </w:r>
                  <w:r>
                    <w:rPr>
                      <w:rFonts w:hint="default" w:ascii="Times New Roman" w:hAnsi="Times New Roman" w:eastAsia="宋体" w:cs="Times New Roman"/>
                      <w:b/>
                      <w:bCs/>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82" w:type="pct"/>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现状浓度（µg/m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kern w:val="2"/>
                      <w:sz w:val="21"/>
                      <w:szCs w:val="21"/>
                      <w:highlight w:val="none"/>
                      <w:lang w:val="en-US" w:eastAsia="zh-CN" w:bidi="ar-SA"/>
                    </w:rPr>
                    <w:t>18</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sz w:val="21"/>
                      <w:szCs w:val="21"/>
                      <w:highlight w:val="none"/>
                      <w:lang w:val="en-US" w:eastAsia="zh-CN"/>
                    </w:rPr>
                    <w:t>42</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sz w:val="21"/>
                      <w:szCs w:val="21"/>
                      <w:highlight w:val="none"/>
                      <w:lang w:val="en-US" w:eastAsia="zh-CN"/>
                    </w:rPr>
                    <w:t>9</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sz w:val="21"/>
                      <w:szCs w:val="21"/>
                      <w:highlight w:val="none"/>
                      <w:lang w:val="en-US" w:eastAsia="zh-CN"/>
                    </w:rPr>
                    <w:t>0.8</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kern w:val="2"/>
                      <w:sz w:val="21"/>
                      <w:szCs w:val="21"/>
                      <w:highlight w:val="none"/>
                      <w:lang w:val="en-US" w:eastAsia="zh-CN" w:bidi="ar-SA"/>
                    </w:rPr>
                    <w:t>131</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kern w:val="2"/>
                      <w:sz w:val="21"/>
                      <w:szCs w:val="21"/>
                      <w:highlight w:val="none"/>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82" w:type="pct"/>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标准值（µg/m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w:t>
                  </w:r>
                </w:p>
              </w:tc>
              <w:tc>
                <w:tcPr>
                  <w:tcW w:w="1067" w:type="dxa"/>
                  <w:vAlign w:val="center"/>
                </w:tcPr>
                <w:p>
                  <w:pPr>
                    <w:spacing w:line="240" w:lineRule="auto"/>
                    <w:ind w:firstLine="0" w:firstLineChars="0"/>
                    <w:jc w:val="center"/>
                    <w:textAlignment w:val="baseline"/>
                    <w:rPr>
                      <w:rFonts w:hint="default" w:ascii="Times New Roman" w:hAnsi="Times New Roman" w:cs="Times New Roman"/>
                      <w:bCs/>
                      <w:kern w:val="0"/>
                      <w:szCs w:val="21"/>
                    </w:rPr>
                  </w:pPr>
                  <w:r>
                    <w:rPr>
                      <w:rFonts w:hint="default" w:ascii="Times New Roman" w:hAnsi="Times New Roman" w:eastAsia="宋体" w:cs="Times New Roman"/>
                      <w:color w:val="000000"/>
                      <w:sz w:val="21"/>
                      <w:szCs w:val="21"/>
                      <w:highlight w:val="none"/>
                    </w:rPr>
                    <w:t>35</w:t>
                  </w:r>
                </w:p>
              </w:tc>
              <w:tc>
                <w:tcPr>
                  <w:tcW w:w="1067" w:type="dxa"/>
                  <w:vAlign w:val="center"/>
                </w:tcPr>
                <w:p>
                  <w:pPr>
                    <w:spacing w:line="240" w:lineRule="auto"/>
                    <w:ind w:firstLine="0" w:firstLineChars="0"/>
                    <w:jc w:val="center"/>
                    <w:textAlignment w:val="baseline"/>
                    <w:rPr>
                      <w:rFonts w:hint="default" w:ascii="Times New Roman" w:hAnsi="Times New Roman" w:cs="Times New Roman"/>
                      <w:bCs/>
                      <w:kern w:val="0"/>
                      <w:szCs w:val="21"/>
                    </w:rPr>
                  </w:pPr>
                  <w:r>
                    <w:rPr>
                      <w:rFonts w:hint="default" w:ascii="Times New Roman" w:hAnsi="Times New Roman" w:eastAsia="宋体" w:cs="Times New Roman"/>
                      <w:color w:val="000000"/>
                      <w:sz w:val="21"/>
                      <w:szCs w:val="21"/>
                      <w:highlight w:val="none"/>
                    </w:rPr>
                    <w:t>70</w:t>
                  </w:r>
                </w:p>
              </w:tc>
              <w:tc>
                <w:tcPr>
                  <w:tcW w:w="1067" w:type="dxa"/>
                  <w:vAlign w:val="center"/>
                </w:tcPr>
                <w:p>
                  <w:pPr>
                    <w:spacing w:line="240" w:lineRule="auto"/>
                    <w:ind w:firstLine="0" w:firstLineChars="0"/>
                    <w:jc w:val="center"/>
                    <w:textAlignment w:val="baseline"/>
                    <w:rPr>
                      <w:rFonts w:hint="default" w:ascii="Times New Roman" w:hAnsi="Times New Roman" w:cs="Times New Roman"/>
                      <w:kern w:val="0"/>
                      <w:szCs w:val="21"/>
                    </w:rPr>
                  </w:pPr>
                  <w:r>
                    <w:rPr>
                      <w:rFonts w:hint="default" w:ascii="Times New Roman" w:hAnsi="Times New Roman" w:eastAsia="宋体" w:cs="Times New Roman"/>
                      <w:color w:val="000000"/>
                      <w:sz w:val="21"/>
                      <w:szCs w:val="21"/>
                      <w:highlight w:val="none"/>
                    </w:rPr>
                    <w:t>60</w:t>
                  </w:r>
                </w:p>
              </w:tc>
              <w:tc>
                <w:tcPr>
                  <w:tcW w:w="1067" w:type="dxa"/>
                  <w:vAlign w:val="center"/>
                </w:tcPr>
                <w:p>
                  <w:pPr>
                    <w:spacing w:line="240" w:lineRule="auto"/>
                    <w:ind w:firstLine="0" w:firstLineChars="0"/>
                    <w:jc w:val="center"/>
                    <w:textAlignment w:val="baseline"/>
                    <w:rPr>
                      <w:rFonts w:hint="default" w:ascii="Times New Roman" w:hAnsi="Times New Roman" w:cs="Times New Roman"/>
                      <w:szCs w:val="21"/>
                    </w:rPr>
                  </w:pPr>
                  <w:r>
                    <w:rPr>
                      <w:rFonts w:hint="default" w:ascii="Times New Roman" w:hAnsi="Times New Roman" w:eastAsia="宋体" w:cs="Times New Roman"/>
                      <w:color w:val="000000"/>
                      <w:sz w:val="21"/>
                      <w:szCs w:val="21"/>
                      <w:highlight w:val="none"/>
                    </w:rPr>
                    <w:t>4.0</w:t>
                  </w:r>
                </w:p>
              </w:tc>
              <w:tc>
                <w:tcPr>
                  <w:tcW w:w="1067" w:type="dxa"/>
                  <w:vAlign w:val="center"/>
                </w:tcPr>
                <w:p>
                  <w:pPr>
                    <w:spacing w:line="240" w:lineRule="auto"/>
                    <w:ind w:firstLine="0" w:firstLineChars="0"/>
                    <w:jc w:val="center"/>
                    <w:textAlignment w:val="baseline"/>
                    <w:rPr>
                      <w:rFonts w:hint="default" w:ascii="Times New Roman" w:hAnsi="Times New Roman" w:cs="Times New Roman"/>
                      <w:bCs/>
                      <w:kern w:val="0"/>
                      <w:szCs w:val="21"/>
                    </w:rPr>
                  </w:pPr>
                  <w:r>
                    <w:rPr>
                      <w:rFonts w:hint="default" w:ascii="Times New Roman" w:hAnsi="Times New Roman" w:eastAsia="宋体" w:cs="Times New Roman"/>
                      <w:color w:val="000000"/>
                      <w:sz w:val="21"/>
                      <w:szCs w:val="21"/>
                      <w:highlight w:val="none"/>
                    </w:rPr>
                    <w:t>160</w:t>
                  </w:r>
                </w:p>
              </w:tc>
              <w:tc>
                <w:tcPr>
                  <w:tcW w:w="1067" w:type="dxa"/>
                  <w:vAlign w:val="center"/>
                </w:tcPr>
                <w:p>
                  <w:pPr>
                    <w:spacing w:line="240" w:lineRule="auto"/>
                    <w:ind w:firstLine="0" w:firstLineChars="0"/>
                    <w:jc w:val="center"/>
                    <w:textAlignment w:val="baseline"/>
                    <w:rPr>
                      <w:rFonts w:hint="default" w:ascii="Times New Roman" w:hAnsi="Times New Roman" w:cs="Times New Roman"/>
                      <w:bCs/>
                      <w:kern w:val="0"/>
                      <w:szCs w:val="21"/>
                    </w:rPr>
                  </w:pPr>
                  <w:r>
                    <w:rPr>
                      <w:rFonts w:hint="default" w:ascii="Times New Roman" w:hAnsi="Times New Roman" w:eastAsia="宋体" w:cs="Times New Roman"/>
                      <w:color w:val="000000"/>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82" w:type="pct"/>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占标率</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51.43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60.00</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81.88</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82" w:type="pct"/>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达标情况</w:t>
                  </w:r>
                </w:p>
              </w:tc>
              <w:tc>
                <w:tcPr>
                  <w:tcW w:w="636" w:type="pct"/>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kern w:val="0"/>
                      <w:szCs w:val="21"/>
                    </w:rPr>
                    <w:t>达标</w:t>
                  </w:r>
                </w:p>
              </w:tc>
              <w:tc>
                <w:tcPr>
                  <w:tcW w:w="636" w:type="pct"/>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kern w:val="0"/>
                      <w:szCs w:val="21"/>
                    </w:rPr>
                    <w:t>达标</w:t>
                  </w:r>
                </w:p>
              </w:tc>
              <w:tc>
                <w:tcPr>
                  <w:tcW w:w="636" w:type="pc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达标</w:t>
                  </w:r>
                </w:p>
              </w:tc>
              <w:tc>
                <w:tcPr>
                  <w:tcW w:w="636" w:type="pct"/>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达标</w:t>
                  </w:r>
                </w:p>
              </w:tc>
              <w:tc>
                <w:tcPr>
                  <w:tcW w:w="636" w:type="pct"/>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kern w:val="0"/>
                      <w:szCs w:val="21"/>
                    </w:rPr>
                    <w:t>达标</w:t>
                  </w:r>
                </w:p>
              </w:tc>
              <w:tc>
                <w:tcPr>
                  <w:tcW w:w="636" w:type="pct"/>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kern w:val="0"/>
                      <w:szCs w:val="21"/>
                    </w:rPr>
                    <w:t>达标</w:t>
                  </w:r>
                </w:p>
              </w:tc>
            </w:tr>
          </w:tbl>
          <w:p>
            <w:pPr>
              <w:pStyle w:val="3"/>
              <w:keepNext/>
              <w:keepLines/>
              <w:pageBreakBefore w:val="0"/>
              <w:widowControl w:val="0"/>
              <w:kinsoku/>
              <w:wordWrap/>
              <w:overflowPunct/>
              <w:topLinePunct w:val="0"/>
              <w:autoSpaceDE/>
              <w:autoSpaceDN/>
              <w:bidi w:val="0"/>
              <w:adjustRightInd w:val="0"/>
              <w:snapToGrid w:val="0"/>
              <w:spacing w:before="157" w:beforeLines="50" w:after="0" w:line="360" w:lineRule="auto"/>
              <w:ind w:firstLine="480" w:firstLineChars="200"/>
              <w:textAlignment w:val="auto"/>
              <w:rPr>
                <w:rFonts w:hint="default"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rPr>
              <w:t>由上表可知</w:t>
            </w:r>
            <w:r>
              <w:rPr>
                <w:rFonts w:hint="default" w:ascii="Times New Roman" w:hAnsi="Times New Roman" w:eastAsia="宋体" w:cs="Times New Roman"/>
                <w:b w:val="0"/>
                <w:bCs w:val="0"/>
                <w:sz w:val="24"/>
                <w:lang w:eastAsia="zh-CN"/>
              </w:rPr>
              <w:t>，</w:t>
            </w:r>
            <w:r>
              <w:rPr>
                <w:rFonts w:hint="default" w:ascii="Times New Roman" w:hAnsi="Times New Roman" w:eastAsia="宋体" w:cs="Times New Roman"/>
                <w:b w:val="0"/>
                <w:bCs w:val="0"/>
                <w:sz w:val="24"/>
                <w:szCs w:val="24"/>
                <w:lang w:val="en-US" w:eastAsia="zh-CN"/>
              </w:rPr>
              <w:t>2022年围场县</w:t>
            </w:r>
            <w:r>
              <w:rPr>
                <w:rFonts w:hint="default" w:ascii="Times New Roman" w:hAnsi="Times New Roman" w:eastAsia="宋体" w:cs="Times New Roman"/>
                <w:b w:val="0"/>
                <w:bCs w:val="0"/>
                <w:sz w:val="24"/>
                <w:szCs w:val="24"/>
              </w:rPr>
              <w:t>大气主要污染物PM</w:t>
            </w:r>
            <w:r>
              <w:rPr>
                <w:rFonts w:hint="default" w:ascii="Times New Roman" w:hAnsi="Times New Roman" w:eastAsia="宋体" w:cs="Times New Roman"/>
                <w:b w:val="0"/>
                <w:bCs w:val="0"/>
                <w:sz w:val="24"/>
                <w:szCs w:val="24"/>
                <w:vertAlign w:val="subscript"/>
              </w:rPr>
              <w:t>2.5</w:t>
            </w:r>
            <w:r>
              <w:rPr>
                <w:rFonts w:hint="default" w:ascii="Times New Roman" w:hAnsi="Times New Roman" w:eastAsia="宋体" w:cs="Times New Roman"/>
                <w:b w:val="0"/>
                <w:bCs w:val="0"/>
                <w:sz w:val="24"/>
                <w:szCs w:val="24"/>
              </w:rPr>
              <w:t>年平均值</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PM</w:t>
            </w:r>
            <w:r>
              <w:rPr>
                <w:rFonts w:hint="default" w:ascii="Times New Roman" w:hAnsi="Times New Roman" w:eastAsia="宋体" w:cs="Times New Roman"/>
                <w:b w:val="0"/>
                <w:bCs w:val="0"/>
                <w:sz w:val="24"/>
                <w:szCs w:val="24"/>
                <w:vertAlign w:val="subscript"/>
              </w:rPr>
              <w:t>10</w:t>
            </w:r>
            <w:r>
              <w:rPr>
                <w:rFonts w:hint="default" w:ascii="Times New Roman" w:hAnsi="Times New Roman" w:eastAsia="宋体" w:cs="Times New Roman"/>
                <w:b w:val="0"/>
                <w:bCs w:val="0"/>
                <w:sz w:val="24"/>
                <w:szCs w:val="24"/>
              </w:rPr>
              <w:t>年平均值</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SO</w:t>
            </w:r>
            <w:r>
              <w:rPr>
                <w:rFonts w:hint="default" w:ascii="Times New Roman" w:hAnsi="Times New Roman" w:eastAsia="宋体" w:cs="Times New Roman"/>
                <w:b w:val="0"/>
                <w:bCs w:val="0"/>
                <w:sz w:val="24"/>
                <w:szCs w:val="24"/>
                <w:vertAlign w:val="subscript"/>
              </w:rPr>
              <w:t>2</w:t>
            </w:r>
            <w:r>
              <w:rPr>
                <w:rFonts w:hint="default" w:ascii="Times New Roman" w:hAnsi="Times New Roman" w:eastAsia="宋体" w:cs="Times New Roman"/>
                <w:b w:val="0"/>
                <w:bCs w:val="0"/>
                <w:sz w:val="24"/>
                <w:szCs w:val="24"/>
              </w:rPr>
              <w:t>年平均值、CO24小时平均浓度第95百分位数、O</w:t>
            </w:r>
            <w:r>
              <w:rPr>
                <w:rFonts w:hint="default" w:ascii="Times New Roman" w:hAnsi="Times New Roman" w:eastAsia="宋体" w:cs="Times New Roman"/>
                <w:b w:val="0"/>
                <w:bCs w:val="0"/>
                <w:sz w:val="24"/>
                <w:szCs w:val="24"/>
                <w:vertAlign w:val="subscript"/>
              </w:rPr>
              <w:t>3</w:t>
            </w:r>
            <w:r>
              <w:rPr>
                <w:rFonts w:hint="default" w:ascii="Times New Roman" w:hAnsi="Times New Roman" w:eastAsia="宋体" w:cs="Times New Roman"/>
                <w:b w:val="0"/>
                <w:bCs w:val="0"/>
                <w:sz w:val="24"/>
                <w:szCs w:val="24"/>
              </w:rPr>
              <w:t>日最大8小时平均浓度第90百分位数、NO</w:t>
            </w:r>
            <w:r>
              <w:rPr>
                <w:rFonts w:hint="default" w:ascii="Times New Roman" w:hAnsi="Times New Roman" w:eastAsia="宋体" w:cs="Times New Roman"/>
                <w:b w:val="0"/>
                <w:bCs w:val="0"/>
                <w:sz w:val="24"/>
                <w:szCs w:val="24"/>
                <w:vertAlign w:val="subscript"/>
              </w:rPr>
              <w:t>2</w:t>
            </w:r>
            <w:r>
              <w:rPr>
                <w:rFonts w:hint="default" w:ascii="Times New Roman" w:hAnsi="Times New Roman" w:eastAsia="宋体" w:cs="Times New Roman"/>
                <w:b w:val="0"/>
                <w:bCs w:val="0"/>
                <w:sz w:val="24"/>
                <w:szCs w:val="24"/>
              </w:rPr>
              <w:t>年平均值均</w:t>
            </w:r>
            <w:r>
              <w:rPr>
                <w:rFonts w:hint="default" w:ascii="Times New Roman" w:hAnsi="Times New Roman" w:eastAsia="宋体" w:cs="Times New Roman"/>
                <w:b w:val="0"/>
                <w:bCs w:val="0"/>
                <w:sz w:val="24"/>
                <w:szCs w:val="24"/>
                <w:lang w:val="en-US" w:eastAsia="zh-CN"/>
              </w:rPr>
              <w:t>满足</w:t>
            </w:r>
            <w:r>
              <w:rPr>
                <w:rFonts w:hint="default" w:ascii="Times New Roman" w:hAnsi="Times New Roman" w:eastAsia="宋体" w:cs="Times New Roman"/>
                <w:b w:val="0"/>
                <w:bCs w:val="0"/>
                <w:sz w:val="24"/>
                <w:szCs w:val="24"/>
              </w:rPr>
              <w:t>《环境空气质量标准》（GB3095-2012）及其修改单</w:t>
            </w:r>
            <w:r>
              <w:rPr>
                <w:rFonts w:hint="default" w:ascii="Times New Roman" w:hAnsi="Times New Roman" w:eastAsia="宋体" w:cs="Times New Roman"/>
                <w:b w:val="0"/>
                <w:bCs w:val="0"/>
                <w:sz w:val="24"/>
                <w:szCs w:val="24"/>
                <w:lang w:val="en-US" w:eastAsia="zh-CN"/>
              </w:rPr>
              <w:t>的</w:t>
            </w:r>
            <w:r>
              <w:rPr>
                <w:rFonts w:hint="default" w:ascii="Times New Roman" w:hAnsi="Times New Roman" w:eastAsia="宋体" w:cs="Times New Roman"/>
                <w:b w:val="0"/>
                <w:bCs w:val="0"/>
                <w:sz w:val="24"/>
                <w:szCs w:val="24"/>
              </w:rPr>
              <w:t>二级标准要求</w:t>
            </w:r>
            <w:r>
              <w:rPr>
                <w:rFonts w:hint="default" w:ascii="Times New Roman" w:hAnsi="Times New Roman" w:eastAsia="宋体" w:cs="Times New Roman"/>
                <w:b w:val="0"/>
                <w:bCs w:val="0"/>
                <w:sz w:val="24"/>
                <w:szCs w:val="24"/>
                <w:lang w:eastAsia="zh-CN"/>
              </w:rPr>
              <w:t>，项目所在区域为达标区。</w:t>
            </w:r>
          </w:p>
          <w:p>
            <w:pPr>
              <w:pStyle w:val="3"/>
              <w:numPr>
                <w:ilvl w:val="0"/>
                <w:numId w:val="0"/>
              </w:numPr>
              <w:adjustRightInd w:val="0"/>
              <w:snapToGrid w:val="0"/>
              <w:spacing w:before="0" w:after="0" w:line="360" w:lineRule="auto"/>
              <w:ind w:leftChars="200"/>
              <w:rPr>
                <w:rFonts w:hint="default"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lang w:eastAsia="zh-CN"/>
              </w:rPr>
              <w:t>（</w:t>
            </w:r>
            <w:r>
              <w:rPr>
                <w:rFonts w:hint="default" w:ascii="Times New Roman" w:hAnsi="Times New Roman" w:eastAsia="宋体" w:cs="Times New Roman"/>
                <w:b w:val="0"/>
                <w:bCs w:val="0"/>
                <w:sz w:val="24"/>
                <w:lang w:val="en-US" w:eastAsia="zh-CN"/>
              </w:rPr>
              <w:t>2</w:t>
            </w:r>
            <w:r>
              <w:rPr>
                <w:rFonts w:hint="default" w:ascii="Times New Roman" w:hAnsi="Times New Roman" w:eastAsia="宋体" w:cs="Times New Roman"/>
                <w:b w:val="0"/>
                <w:bCs w:val="0"/>
                <w:sz w:val="24"/>
                <w:lang w:eastAsia="zh-CN"/>
              </w:rPr>
              <w:t>）其他污染物环境质量现状</w:t>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eastAsia="zh-CN"/>
              </w:rPr>
              <w:t>为进一步了解项目区环境空气质量现状，根据《</w:t>
            </w:r>
            <w:r>
              <w:rPr>
                <w:rFonts w:hint="default" w:ascii="Times New Roman" w:hAnsi="Times New Roman" w:eastAsia="宋体" w:cs="Times New Roman"/>
                <w:b w:val="0"/>
                <w:bCs w:val="0"/>
                <w:sz w:val="24"/>
                <w:lang w:val="en-US" w:eastAsia="zh-CN"/>
              </w:rPr>
              <w:t>建设项目环境影响报告表编制技术指南（污染影响类）（试行）</w:t>
            </w:r>
            <w:r>
              <w:rPr>
                <w:rFonts w:hint="default" w:ascii="Times New Roman" w:hAnsi="Times New Roman" w:eastAsia="宋体" w:cs="Times New Roman"/>
                <w:b w:val="0"/>
                <w:bCs w:val="0"/>
                <w:sz w:val="24"/>
                <w:lang w:eastAsia="zh-CN"/>
              </w:rPr>
              <w:t>》中“</w:t>
            </w:r>
            <w:r>
              <w:rPr>
                <w:rFonts w:hint="default" w:ascii="Times New Roman" w:hAnsi="Times New Roman" w:eastAsia="宋体" w:cs="Times New Roman"/>
                <w:b w:val="0"/>
                <w:bCs w:val="0"/>
                <w:sz w:val="24"/>
                <w:lang w:val="en-US" w:eastAsia="zh-CN"/>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default" w:ascii="Times New Roman" w:hAnsi="Times New Roman" w:eastAsia="宋体" w:cs="Times New Roman"/>
                <w:b w:val="0"/>
                <w:bCs w:val="0"/>
                <w:sz w:val="24"/>
                <w:lang w:eastAsia="zh-CN"/>
              </w:rPr>
              <w:t>”的相关要求，</w:t>
            </w:r>
            <w:r>
              <w:rPr>
                <w:rFonts w:hint="default" w:ascii="Times New Roman" w:hAnsi="Times New Roman" w:eastAsia="宋体" w:cs="Times New Roman"/>
                <w:b w:val="0"/>
                <w:bCs w:val="0"/>
                <w:sz w:val="24"/>
                <w:lang w:val="en-US" w:eastAsia="zh-CN"/>
              </w:rPr>
              <w:t>承德泓辉双合酒业有限公司大气监</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测点位距离本项目1135m，因此</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本项目引用</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《承德泓辉双合酒业有限公司粉条白酒、粉渣饲料和变性淀粉建设项目》检测报告（（辽鹏环测）字PY2211294-001号）总</w:t>
            </w:r>
            <w:r>
              <w:rPr>
                <w:rFonts w:hint="default" w:ascii="Times New Roman" w:hAnsi="Times New Roman" w:eastAsia="宋体" w:cs="Times New Roman"/>
                <w:b w:val="0"/>
                <w:bCs w:val="0"/>
                <w:sz w:val="24"/>
                <w:lang w:val="en-US" w:eastAsia="zh-CN"/>
              </w:rPr>
              <w:t>悬浮颗粒物、汞及其化合物的监测数据可行。</w:t>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承德泓辉双合酒业有限公司与本项目位置关系如下图所示：</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FF0000"/>
                <w:lang w:eastAsia="zh-CN"/>
              </w:rPr>
            </w:pPr>
            <w:r>
              <w:rPr>
                <w:rFonts w:hint="default" w:ascii="Times New Roman" w:hAnsi="Times New Roman" w:cs="Times New Roman"/>
              </w:rPr>
              <w:drawing>
                <wp:inline distT="0" distB="0" distL="114300" distR="114300">
                  <wp:extent cx="5353050" cy="3782695"/>
                  <wp:effectExtent l="0" t="0" r="0" b="825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353050" cy="3782695"/>
                          </a:xfrm>
                          <a:prstGeom prst="rect">
                            <a:avLst/>
                          </a:prstGeom>
                          <a:noFill/>
                          <a:ln>
                            <a:noFill/>
                          </a:ln>
                        </pic:spPr>
                      </pic:pic>
                    </a:graphicData>
                  </a:graphic>
                </wp:inline>
              </w:drawing>
            </w:r>
          </w:p>
          <w:p>
            <w:pPr>
              <w:numPr>
                <w:ilvl w:val="0"/>
                <w:numId w:val="0"/>
              </w:numPr>
              <w:autoSpaceDE w:val="0"/>
              <w:autoSpaceDN w:val="0"/>
              <w:ind w:leftChars="0"/>
              <w:jc w:val="center"/>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1"/>
                <w:szCs w:val="21"/>
                <w:lang w:val="en-US" w:eastAsia="zh-CN"/>
              </w:rPr>
              <w:t>图3-1  本项目与承德泓辉双合酒业有限公司大气监测点位位置关系图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监测结果如下所示：</w:t>
            </w:r>
          </w:p>
          <w:p>
            <w:pPr>
              <w:numPr>
                <w:ilvl w:val="0"/>
                <w:numId w:val="0"/>
              </w:numPr>
              <w:autoSpaceDE w:val="0"/>
              <w:autoSpaceDN w:val="0"/>
              <w:ind w:lef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 xml:space="preserve">表3-3  </w:t>
            </w:r>
            <w:r>
              <w:rPr>
                <w:rFonts w:hint="default" w:ascii="Times New Roman" w:hAnsi="Times New Roman" w:cs="Times New Roman"/>
                <w:b/>
                <w:bCs/>
                <w:color w:val="auto"/>
                <w:sz w:val="21"/>
                <w:szCs w:val="21"/>
              </w:rPr>
              <w:t>环境空气质量现状监测与统计结果</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1570"/>
              <w:gridCol w:w="1243"/>
              <w:gridCol w:w="871"/>
              <w:gridCol w:w="998"/>
              <w:gridCol w:w="1035"/>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blHeader/>
                <w:jc w:val="center"/>
              </w:trPr>
              <w:tc>
                <w:tcPr>
                  <w:tcW w:w="73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监测项目</w:t>
                  </w:r>
                </w:p>
              </w:tc>
              <w:tc>
                <w:tcPr>
                  <w:tcW w:w="936"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监测日期</w:t>
                  </w:r>
                </w:p>
              </w:tc>
              <w:tc>
                <w:tcPr>
                  <w:tcW w:w="741"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浓度值</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标准值</w:t>
                  </w:r>
                </w:p>
              </w:tc>
              <w:tc>
                <w:tcPr>
                  <w:tcW w:w="595"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单位</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超标率</w:t>
                  </w:r>
                </w:p>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单因子标准指数（%）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总悬浮颗粒物</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24小时平均值</w:t>
                  </w: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2022.11.07</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85</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2022.11.08</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81</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2022.11.09</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90</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2022.11.10</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84</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2022.11.11</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78</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2022.11.12</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88</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2022.11.13</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83</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汞及其化合物</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24小时平均值</w:t>
                  </w: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2022.11.07</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2022.11.08</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2022.11.09</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2022.11.10</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2022.11.11</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2022.11.12</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2022.11.13</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bl>
          <w:p>
            <w:pPr>
              <w:pStyle w:val="3"/>
              <w:adjustRightInd w:val="0"/>
              <w:snapToGrid w:val="0"/>
              <w:spacing w:before="0" w:after="0" w:line="360" w:lineRule="auto"/>
              <w:ind w:firstLine="422" w:firstLineChars="200"/>
              <w:rPr>
                <w:rFonts w:hint="default" w:ascii="Times New Roman" w:hAnsi="Times New Roman" w:cs="Times New Roman" w:eastAsiaTheme="minorEastAsia"/>
                <w:b/>
                <w:bCs w:val="0"/>
                <w:kern w:val="2"/>
                <w:sz w:val="21"/>
                <w:szCs w:val="21"/>
                <w:lang w:val="en-US" w:eastAsia="zh-CN" w:bidi="ar-SA"/>
              </w:rPr>
            </w:pPr>
            <w:r>
              <w:rPr>
                <w:rFonts w:hint="default" w:ascii="Times New Roman" w:hAnsi="Times New Roman" w:cs="Times New Roman" w:eastAsiaTheme="minorEastAsia"/>
                <w:b/>
                <w:bCs w:val="0"/>
                <w:kern w:val="2"/>
                <w:sz w:val="21"/>
                <w:szCs w:val="21"/>
                <w:lang w:val="en-US" w:eastAsia="zh-CN" w:bidi="ar-SA"/>
              </w:rPr>
              <w:t>注：“＜+数值”代表小于检出限</w:t>
            </w:r>
            <w:r>
              <w:rPr>
                <w:rFonts w:hint="default" w:ascii="Times New Roman" w:hAnsi="Times New Roman" w:cs="Times New Roman"/>
                <w:b/>
                <w:bCs w:val="0"/>
                <w:kern w:val="2"/>
                <w:sz w:val="21"/>
                <w:szCs w:val="21"/>
                <w:lang w:val="en-US" w:eastAsia="zh-CN" w:bidi="ar-SA"/>
              </w:rPr>
              <w:t>。</w:t>
            </w:r>
          </w:p>
          <w:p>
            <w:pPr>
              <w:pStyle w:val="3"/>
              <w:adjustRightInd w:val="0"/>
              <w:snapToGrid w:val="0"/>
              <w:spacing w:before="0" w:after="0" w:line="360" w:lineRule="auto"/>
              <w:ind w:firstLine="480" w:firstLineChars="20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rPr>
              <w:t>结果分析</w:t>
            </w:r>
          </w:p>
          <w:p>
            <w:pPr>
              <w:pStyle w:val="3"/>
              <w:adjustRightInd w:val="0"/>
              <w:snapToGrid w:val="0"/>
              <w:spacing w:before="0" w:after="0"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根据上表监测结果，</w:t>
            </w:r>
            <w:r>
              <w:rPr>
                <w:rFonts w:hint="default" w:ascii="Times New Roman" w:hAnsi="Times New Roman" w:cs="Times New Roman"/>
                <w:b w:val="0"/>
                <w:bCs w:val="0"/>
                <w:sz w:val="24"/>
                <w:szCs w:val="24"/>
                <w:lang w:eastAsia="zh-CN"/>
              </w:rPr>
              <w:t>总悬浮颗粒物、</w:t>
            </w:r>
            <w:r>
              <w:rPr>
                <w:rFonts w:hint="default" w:ascii="Times New Roman" w:hAnsi="Times New Roman" w:cs="Times New Roman"/>
                <w:b w:val="0"/>
                <w:bCs w:val="0"/>
                <w:sz w:val="24"/>
                <w:szCs w:val="24"/>
                <w:lang w:val="en-US" w:eastAsia="zh-CN"/>
              </w:rPr>
              <w:t>汞及其化合物</w:t>
            </w:r>
            <w:r>
              <w:rPr>
                <w:rFonts w:hint="default" w:ascii="Times New Roman" w:hAnsi="Times New Roman" w:cs="Times New Roman"/>
                <w:b w:val="0"/>
                <w:bCs w:val="0"/>
                <w:sz w:val="24"/>
                <w:szCs w:val="24"/>
                <w:lang w:eastAsia="zh-CN"/>
              </w:rPr>
              <w:t>监测24小时平均值</w:t>
            </w:r>
            <w:r>
              <w:rPr>
                <w:rFonts w:hint="default" w:ascii="Times New Roman" w:hAnsi="Times New Roman" w:cs="Times New Roman"/>
                <w:b w:val="0"/>
                <w:bCs w:val="0"/>
                <w:sz w:val="24"/>
                <w:szCs w:val="24"/>
              </w:rPr>
              <w:t>符合</w:t>
            </w:r>
            <w:r>
              <w:rPr>
                <w:rFonts w:hint="default" w:ascii="Times New Roman" w:hAnsi="Times New Roman" w:cs="Times New Roman"/>
                <w:b w:val="0"/>
                <w:bCs w:val="0"/>
                <w:sz w:val="24"/>
                <w:szCs w:val="24"/>
                <w:lang w:val="en-US" w:eastAsia="zh-CN"/>
              </w:rPr>
              <w:t>《环境空气质量标准》（GB3095-2012）及其修改单（2018年8月13日）的二级标准。</w:t>
            </w:r>
          </w:p>
          <w:p>
            <w:pPr>
              <w:pStyle w:val="3"/>
              <w:adjustRightInd w:val="0"/>
              <w:snapToGrid w:val="0"/>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2、地表水环境</w:t>
            </w:r>
          </w:p>
          <w:p>
            <w:pPr>
              <w:adjustRightInd w:val="0"/>
              <w:snapToGrid w:val="0"/>
              <w:spacing w:line="360" w:lineRule="auto"/>
              <w:ind w:firstLine="482"/>
              <w:rPr>
                <w:rFonts w:hint="default" w:ascii="Times New Roman" w:hAnsi="Times New Roman" w:cs="Times New Roman"/>
                <w:bCs/>
                <w:sz w:val="24"/>
                <w:lang w:val="en-US" w:eastAsia="zh-CN"/>
              </w:rPr>
            </w:pPr>
            <w:r>
              <w:rPr>
                <w:rFonts w:hint="default" w:ascii="Times New Roman" w:hAnsi="Times New Roman" w:cs="Times New Roman"/>
                <w:bCs/>
                <w:sz w:val="24"/>
              </w:rPr>
              <w:t>项目</w:t>
            </w:r>
            <w:r>
              <w:rPr>
                <w:rFonts w:hint="default" w:ascii="Times New Roman" w:hAnsi="Times New Roman" w:cs="Times New Roman"/>
                <w:bCs/>
                <w:sz w:val="24"/>
                <w:lang w:eastAsia="zh-CN"/>
              </w:rPr>
              <w:t>南</w:t>
            </w:r>
            <w:r>
              <w:rPr>
                <w:rFonts w:hint="default" w:ascii="Times New Roman" w:hAnsi="Times New Roman" w:cs="Times New Roman"/>
                <w:bCs/>
                <w:sz w:val="24"/>
                <w:lang w:val="en-US" w:eastAsia="zh-CN"/>
              </w:rPr>
              <w:t>侧75m为蚁蚂吐河</w:t>
            </w:r>
            <w:r>
              <w:rPr>
                <w:rFonts w:hint="default" w:ascii="Times New Roman" w:hAnsi="Times New Roman" w:cs="Times New Roman"/>
                <w:bCs/>
                <w:sz w:val="24"/>
                <w:lang w:eastAsia="zh-CN"/>
              </w:rPr>
              <w:t>，属于伊逊河支流。按照河北省水利厅与河北省环境保护厅联合下发的关于调整公布《河北省水功能区划》的通知（冀水资[2017]127号）的要求，伊逊河保护级别为地表水Ⅲ类水体，执行《地表水环境质量标准》（GB3838-2002）Ⅲ类标准</w:t>
            </w:r>
            <w:r>
              <w:rPr>
                <w:rFonts w:hint="default" w:ascii="Times New Roman" w:hAnsi="Times New Roman" w:cs="Times New Roman"/>
                <w:bCs/>
                <w:sz w:val="24"/>
                <w:lang w:val="en-US" w:eastAsia="zh-CN"/>
              </w:rPr>
              <w:t>。</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bCs/>
                <w:sz w:val="24"/>
              </w:rPr>
              <w:t>本次评价引用《</w:t>
            </w:r>
            <w:r>
              <w:rPr>
                <w:rFonts w:hint="default" w:ascii="Times New Roman" w:hAnsi="Times New Roman" w:cs="Times New Roman"/>
                <w:bCs/>
                <w:sz w:val="24"/>
                <w:lang w:eastAsia="zh-CN"/>
              </w:rPr>
              <w:t>20</w:t>
            </w:r>
            <w:r>
              <w:rPr>
                <w:rFonts w:hint="default" w:ascii="Times New Roman" w:hAnsi="Times New Roman" w:cs="Times New Roman"/>
                <w:bCs/>
                <w:sz w:val="24"/>
                <w:lang w:val="en-US" w:eastAsia="zh-CN"/>
              </w:rPr>
              <w:t>22</w:t>
            </w:r>
            <w:r>
              <w:rPr>
                <w:rFonts w:hint="default" w:ascii="Times New Roman" w:hAnsi="Times New Roman" w:cs="Times New Roman"/>
                <w:bCs/>
                <w:sz w:val="24"/>
                <w:lang w:eastAsia="zh-CN"/>
              </w:rPr>
              <w:t>年承德市</w:t>
            </w:r>
            <w:r>
              <w:rPr>
                <w:rFonts w:hint="default" w:ascii="Times New Roman" w:hAnsi="Times New Roman" w:cs="Times New Roman"/>
                <w:bCs/>
                <w:sz w:val="24"/>
                <w:lang w:val="en-US" w:eastAsia="zh-CN"/>
              </w:rPr>
              <w:t>生态</w:t>
            </w:r>
            <w:r>
              <w:rPr>
                <w:rFonts w:hint="default" w:ascii="Times New Roman" w:hAnsi="Times New Roman" w:cs="Times New Roman"/>
                <w:bCs/>
                <w:sz w:val="24"/>
                <w:lang w:eastAsia="zh-CN"/>
              </w:rPr>
              <w:t>环境状况公报</w:t>
            </w:r>
            <w:r>
              <w:rPr>
                <w:rFonts w:hint="default" w:ascii="Times New Roman" w:hAnsi="Times New Roman" w:cs="Times New Roman"/>
                <w:bCs/>
                <w:sz w:val="24"/>
              </w:rPr>
              <w:t>》</w:t>
            </w:r>
            <w:r>
              <w:rPr>
                <w:rFonts w:hint="default" w:ascii="Times New Roman" w:hAnsi="Times New Roman" w:cs="Times New Roman"/>
                <w:bCs/>
                <w:sz w:val="24"/>
                <w:lang w:val="en-US" w:eastAsia="zh-CN"/>
              </w:rPr>
              <w:t>伊逊河的</w:t>
            </w:r>
            <w:r>
              <w:rPr>
                <w:rFonts w:hint="default" w:ascii="Times New Roman" w:hAnsi="Times New Roman" w:cs="Times New Roman"/>
                <w:bCs/>
                <w:sz w:val="24"/>
              </w:rPr>
              <w:t>监测数据来说明项目所在区域的地表水环境质量状况，</w:t>
            </w:r>
            <w:r>
              <w:rPr>
                <w:rFonts w:hint="default" w:ascii="Times New Roman" w:hAnsi="Times New Roman" w:cs="Times New Roman"/>
                <w:bCs/>
                <w:sz w:val="24"/>
                <w:lang w:val="en-US" w:eastAsia="zh-CN"/>
              </w:rPr>
              <w:t>伊逊河共布设地表水常规监测断面2个，为唐三营监测断面、李台监测断面。2022年伊逊河流域总体水质状况为优，与2021年相比水环境质量有明显改善。唐三营、李台监测断面</w:t>
            </w:r>
            <w:r>
              <w:rPr>
                <w:rFonts w:hint="default" w:ascii="Times New Roman" w:hAnsi="Times New Roman" w:cs="Times New Roman"/>
                <w:bCs/>
                <w:sz w:val="24"/>
              </w:rPr>
              <w:t>监测结果见下表。</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表3-</w:t>
            </w:r>
            <w:r>
              <w:rPr>
                <w:rFonts w:hint="default" w:ascii="Times New Roman" w:hAnsi="Times New Roman" w:cs="Times New Roman"/>
                <w:b/>
                <w:bCs/>
                <w:szCs w:val="21"/>
                <w:lang w:val="en-US" w:eastAsia="zh-CN"/>
              </w:rPr>
              <w:t>4</w:t>
            </w:r>
            <w:r>
              <w:rPr>
                <w:rFonts w:hint="default" w:ascii="Times New Roman" w:hAnsi="Times New Roman" w:cs="Times New Roman"/>
                <w:b/>
                <w:bCs/>
                <w:szCs w:val="21"/>
              </w:rPr>
              <w:t xml:space="preserve">  202</w:t>
            </w:r>
            <w:r>
              <w:rPr>
                <w:rFonts w:hint="default" w:ascii="Times New Roman" w:hAnsi="Times New Roman" w:cs="Times New Roman"/>
                <w:b/>
                <w:bCs/>
                <w:szCs w:val="21"/>
                <w:lang w:val="en-US" w:eastAsia="zh-CN"/>
              </w:rPr>
              <w:t>2</w:t>
            </w:r>
            <w:r>
              <w:rPr>
                <w:rFonts w:hint="default" w:ascii="Times New Roman" w:hAnsi="Times New Roman" w:cs="Times New Roman"/>
                <w:b/>
                <w:bCs/>
                <w:szCs w:val="21"/>
              </w:rPr>
              <w:t>年</w:t>
            </w:r>
            <w:r>
              <w:rPr>
                <w:rFonts w:hint="default" w:ascii="Times New Roman" w:hAnsi="Times New Roman" w:cs="Times New Roman"/>
                <w:b/>
                <w:bCs/>
                <w:szCs w:val="21"/>
                <w:lang w:val="en-US" w:eastAsia="zh-CN"/>
              </w:rPr>
              <w:t>唐三营</w:t>
            </w:r>
            <w:r>
              <w:rPr>
                <w:rFonts w:hint="default" w:ascii="Times New Roman" w:hAnsi="Times New Roman" w:cs="Times New Roman"/>
                <w:b/>
                <w:bCs/>
                <w:szCs w:val="21"/>
              </w:rPr>
              <w:t>断面和</w:t>
            </w:r>
            <w:r>
              <w:rPr>
                <w:rFonts w:hint="default" w:ascii="Times New Roman" w:hAnsi="Times New Roman" w:cs="Times New Roman"/>
                <w:b/>
                <w:bCs/>
                <w:szCs w:val="21"/>
                <w:lang w:val="en-US" w:eastAsia="zh-CN"/>
              </w:rPr>
              <w:t>李台</w:t>
            </w:r>
            <w:r>
              <w:rPr>
                <w:rFonts w:hint="default" w:ascii="Times New Roman" w:hAnsi="Times New Roman" w:cs="Times New Roman"/>
                <w:b/>
                <w:bCs/>
                <w:szCs w:val="21"/>
              </w:rPr>
              <w:t>断面监测结果表</w:t>
            </w:r>
          </w:p>
          <w:tbl>
            <w:tblPr>
              <w:tblStyle w:val="24"/>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183"/>
              <w:gridCol w:w="1183"/>
              <w:gridCol w:w="1184"/>
              <w:gridCol w:w="1183"/>
              <w:gridCol w:w="118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河流名称</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断面名称</w:t>
                  </w:r>
                </w:p>
              </w:tc>
              <w:tc>
                <w:tcPr>
                  <w:tcW w:w="1429"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各监测断面水质情况</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主要</w:t>
                  </w:r>
                  <w:r>
                    <w:rPr>
                      <w:rFonts w:hint="default" w:ascii="Times New Roman" w:hAnsi="Times New Roman" w:eastAsia="宋体" w:cs="Times New Roman"/>
                      <w:sz w:val="21"/>
                      <w:szCs w:val="21"/>
                    </w:rPr>
                    <w:t>污染物</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2021年河流</w:t>
                  </w:r>
                  <w:r>
                    <w:rPr>
                      <w:rFonts w:hint="default" w:ascii="Times New Roman" w:hAnsi="Times New Roman" w:eastAsia="宋体" w:cs="Times New Roman"/>
                      <w:sz w:val="21"/>
                      <w:szCs w:val="21"/>
                    </w:rPr>
                    <w:t>水质状况</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2022年河流</w:t>
                  </w:r>
                  <w:r>
                    <w:rPr>
                      <w:rFonts w:hint="default" w:ascii="Times New Roman" w:hAnsi="Times New Roman" w:eastAsia="宋体" w:cs="Times New Roman"/>
                      <w:sz w:val="21"/>
                      <w:szCs w:val="21"/>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2021年</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2022年</w:t>
                  </w: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伊逊河</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唐三营</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Ⅲ</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Ⅱ</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良好</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李台</w:t>
                  </w:r>
                </w:p>
              </w:tc>
              <w:tc>
                <w:tcPr>
                  <w:tcW w:w="118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Ⅲ</w:t>
                  </w:r>
                </w:p>
              </w:tc>
              <w:tc>
                <w:tcPr>
                  <w:tcW w:w="118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Ⅱ</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r>
          </w:tbl>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3、地下水环境</w:t>
            </w:r>
          </w:p>
          <w:p>
            <w:pPr>
              <w:adjustRightInd w:val="0"/>
              <w:snapToGrid w:val="0"/>
              <w:spacing w:line="360" w:lineRule="auto"/>
              <w:ind w:firstLine="480" w:firstLineChars="200"/>
              <w:rPr>
                <w:rFonts w:hint="default" w:ascii="Times New Roman" w:hAnsi="Times New Roman" w:cs="Times New Roman"/>
                <w:b/>
                <w:bCs/>
                <w:sz w:val="24"/>
              </w:rPr>
            </w:pPr>
            <w:r>
              <w:rPr>
                <w:rFonts w:hint="default" w:ascii="Times New Roman" w:hAnsi="Times New Roman" w:cs="Times New Roman"/>
                <w:snapToGrid w:val="0"/>
                <w:color w:val="auto"/>
                <w:kern w:val="0"/>
                <w:sz w:val="24"/>
                <w:szCs w:val="24"/>
                <w:lang w:val="en-US" w:eastAsia="zh-CN"/>
              </w:rPr>
              <w:t>根据工程分析，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危险废物暂存间采取防渗，防渗系数≤1×10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cm/s；脱硫系统内配套的沉淀池采取防渗，防渗系数≤1×10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cm/s。采取措施后，对区域地下水环境质量不会造成明显的不利影响</w:t>
            </w:r>
            <w:r>
              <w:rPr>
                <w:rFonts w:hint="default" w:ascii="Times New Roman" w:hAnsi="Times New Roman" w:cs="Times New Roman"/>
                <w:snapToGrid w:val="0"/>
                <w:kern w:val="0"/>
                <w:sz w:val="24"/>
              </w:rPr>
              <w:t>。</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4、声环境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eastAsiaTheme="minorEastAsia"/>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厂界外周边50米范围存在声环境保护目标，因此委托辽宁鹏宇环境监测有限公司对区域声环境质量进行了监测，</w:t>
            </w:r>
            <w:r>
              <w:rPr>
                <w:rFonts w:hint="default" w:ascii="Times New Roman" w:hAnsi="Times New Roman" w:cs="Times New Roman"/>
                <w:snapToGrid w:val="0"/>
                <w:color w:val="auto"/>
                <w:kern w:val="0"/>
                <w:sz w:val="24"/>
                <w:lang w:val="en-US" w:eastAsia="zh-CN"/>
              </w:rPr>
              <w:t>并出具《木兰皇家农业综合示范区蒸汽供给项目环境质量现状监测》检测报告（字PY2302218-001号），</w:t>
            </w:r>
            <w:r>
              <w:rPr>
                <w:rFonts w:hint="default" w:ascii="Times New Roman" w:hAnsi="Times New Roman" w:cs="Times New Roman"/>
                <w:snapToGrid w:val="0"/>
                <w:kern w:val="0"/>
                <w:sz w:val="24"/>
                <w:lang w:val="en-US" w:eastAsia="zh-CN"/>
              </w:rPr>
              <w:t>监测结果</w:t>
            </w:r>
            <w:r>
              <w:rPr>
                <w:rFonts w:hint="default" w:ascii="Times New Roman" w:hAnsi="Times New Roman" w:cs="Times New Roman"/>
                <w:snapToGrid w:val="0"/>
                <w:kern w:val="0"/>
                <w:sz w:val="24"/>
              </w:rPr>
              <w:t>如下</w:t>
            </w:r>
            <w:r>
              <w:rPr>
                <w:rFonts w:hint="default" w:ascii="Times New Roman" w:hAnsi="Times New Roman" w:cs="Times New Roman"/>
                <w:snapToGrid w:val="0"/>
                <w:kern w:val="0"/>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①监测点位</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ZS1#——司家窝铺。</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②监测因子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等效连续A声级。</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③监测时间</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2023年2月8日，分别在昼夜两个时段测量，各监测点同步测量。</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④监测结果</w:t>
            </w:r>
          </w:p>
          <w:p>
            <w:pPr>
              <w:adjustRightInd w:val="0"/>
              <w:snapToGrid w:val="0"/>
              <w:spacing w:line="360" w:lineRule="auto"/>
              <w:ind w:firstLine="422" w:firstLineChars="200"/>
              <w:jc w:val="center"/>
              <w:rPr>
                <w:rFonts w:hint="default" w:ascii="Times New Roman" w:hAnsi="Times New Roman" w:cs="Times New Roman"/>
                <w:sz w:val="24"/>
              </w:rPr>
            </w:pPr>
            <w:r>
              <w:rPr>
                <w:rFonts w:hint="default" w:ascii="Times New Roman" w:hAnsi="Times New Roman" w:eastAsia="宋体" w:cs="Times New Roman"/>
                <w:b/>
                <w:bCs/>
                <w:color w:val="auto"/>
                <w:sz w:val="21"/>
                <w:szCs w:val="21"/>
                <w:lang w:val="en-US" w:eastAsia="zh-CN"/>
              </w:rPr>
              <w:t xml:space="preserve">表3-5   </w:t>
            </w:r>
            <w:r>
              <w:rPr>
                <w:rFonts w:hint="default" w:ascii="Times New Roman" w:hAnsi="Times New Roman" w:eastAsia="宋体" w:cs="Times New Roman"/>
                <w:b/>
                <w:bCs/>
                <w:color w:val="auto"/>
                <w:sz w:val="21"/>
                <w:szCs w:val="21"/>
              </w:rPr>
              <w:t>声环境质量现状监测结果</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64"/>
              <w:gridCol w:w="1316"/>
              <w:gridCol w:w="1361"/>
              <w:gridCol w:w="1896"/>
              <w:gridCol w:w="1534"/>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8" w:hRule="atLeast"/>
                <w:jc w:val="center"/>
              </w:trPr>
              <w:tc>
                <w:tcPr>
                  <w:tcW w:w="694"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检测点位</w:t>
                  </w:r>
                </w:p>
              </w:tc>
              <w:tc>
                <w:tcPr>
                  <w:tcW w:w="784"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检测时段</w:t>
                  </w:r>
                </w:p>
              </w:tc>
              <w:tc>
                <w:tcPr>
                  <w:tcW w:w="811"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检测时间</w:t>
                  </w:r>
                </w:p>
              </w:tc>
              <w:tc>
                <w:tcPr>
                  <w:tcW w:w="1130"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分析结果dB（A）</w:t>
                  </w:r>
                </w:p>
              </w:tc>
              <w:tc>
                <w:tcPr>
                  <w:tcW w:w="914"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执行标准dB（A）</w:t>
                  </w:r>
                </w:p>
              </w:tc>
              <w:tc>
                <w:tcPr>
                  <w:tcW w:w="664"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8" w:hRule="atLeast"/>
                <w:jc w:val="center"/>
              </w:trPr>
              <w:tc>
                <w:tcPr>
                  <w:tcW w:w="694" w:type="pct"/>
                  <w:vMerge w:val="restart"/>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司家窝铺村</w:t>
                  </w:r>
                </w:p>
              </w:tc>
              <w:tc>
                <w:tcPr>
                  <w:tcW w:w="784" w:type="pct"/>
                  <w:noWrap w:val="0"/>
                  <w:vAlign w:val="center"/>
                </w:tcPr>
                <w:p>
                  <w:pPr>
                    <w:adjustRightInd w:val="0"/>
                    <w:snapToGrid w:val="0"/>
                    <w:spacing w:line="320" w:lineRule="exact"/>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昼间</w:t>
                  </w:r>
                </w:p>
              </w:tc>
              <w:tc>
                <w:tcPr>
                  <w:tcW w:w="811" w:type="pct"/>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2023.2.8</w:t>
                  </w:r>
                </w:p>
              </w:tc>
              <w:tc>
                <w:tcPr>
                  <w:tcW w:w="1130" w:type="pct"/>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50.4</w:t>
                  </w:r>
                </w:p>
              </w:tc>
              <w:tc>
                <w:tcPr>
                  <w:tcW w:w="914"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664" w:type="pct"/>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8" w:hRule="atLeast"/>
                <w:jc w:val="center"/>
              </w:trPr>
              <w:tc>
                <w:tcPr>
                  <w:tcW w:w="694" w:type="pct"/>
                  <w:vMerge w:val="continue"/>
                  <w:noWrap w:val="0"/>
                  <w:vAlign w:val="center"/>
                </w:tcPr>
                <w:p>
                  <w:pPr>
                    <w:spacing w:line="320" w:lineRule="exact"/>
                    <w:jc w:val="center"/>
                    <w:rPr>
                      <w:rFonts w:hint="default" w:ascii="Times New Roman" w:hAnsi="Times New Roman" w:cs="Times New Roman"/>
                      <w:color w:val="auto"/>
                      <w:sz w:val="21"/>
                      <w:szCs w:val="21"/>
                      <w:lang w:eastAsia="zh-CN"/>
                    </w:rPr>
                  </w:pPr>
                </w:p>
              </w:tc>
              <w:tc>
                <w:tcPr>
                  <w:tcW w:w="784" w:type="pct"/>
                  <w:noWrap w:val="0"/>
                  <w:vAlign w:val="center"/>
                </w:tcPr>
                <w:p>
                  <w:pPr>
                    <w:adjustRightInd w:val="0"/>
                    <w:snapToGrid w:val="0"/>
                    <w:spacing w:line="320" w:lineRule="exact"/>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lang w:eastAsia="zh-CN"/>
                    </w:rPr>
                    <w:t>夜</w:t>
                  </w:r>
                  <w:r>
                    <w:rPr>
                      <w:rFonts w:hint="default" w:ascii="Times New Roman" w:hAnsi="Times New Roman" w:eastAsia="宋体" w:cs="Times New Roman"/>
                      <w:color w:val="auto"/>
                      <w:spacing w:val="-11"/>
                      <w:sz w:val="21"/>
                      <w:szCs w:val="21"/>
                    </w:rPr>
                    <w:t>间</w:t>
                  </w:r>
                </w:p>
              </w:tc>
              <w:tc>
                <w:tcPr>
                  <w:tcW w:w="811" w:type="pct"/>
                  <w:noWrap w:val="0"/>
                  <w:vAlign w:val="center"/>
                </w:tcPr>
                <w:p>
                  <w:pPr>
                    <w:adjustRightInd w:val="0"/>
                    <w:snapToGrid w:val="0"/>
                    <w:spacing w:line="320" w:lineRule="exact"/>
                    <w:jc w:val="center"/>
                    <w:rPr>
                      <w:rFonts w:hint="default" w:ascii="Times New Roman" w:hAnsi="Times New Roman" w:eastAsia="宋体" w:cs="Times New Roman"/>
                      <w:color w:val="auto"/>
                      <w:spacing w:val="-11"/>
                      <w:kern w:val="2"/>
                      <w:sz w:val="21"/>
                      <w:szCs w:val="21"/>
                      <w:lang w:val="en-US" w:eastAsia="zh-CN" w:bidi="ar-SA"/>
                    </w:rPr>
                  </w:pPr>
                  <w:r>
                    <w:rPr>
                      <w:rFonts w:hint="default" w:ascii="Times New Roman" w:hAnsi="Times New Roman" w:eastAsia="宋体" w:cs="Times New Roman"/>
                      <w:color w:val="auto"/>
                      <w:spacing w:val="-11"/>
                      <w:kern w:val="2"/>
                      <w:sz w:val="21"/>
                      <w:szCs w:val="21"/>
                      <w:lang w:val="en-US" w:eastAsia="zh-CN" w:bidi="ar-SA"/>
                    </w:rPr>
                    <w:t>2023.2.8</w:t>
                  </w:r>
                </w:p>
              </w:tc>
              <w:tc>
                <w:tcPr>
                  <w:tcW w:w="1130" w:type="pct"/>
                  <w:noWrap w:val="0"/>
                  <w:vAlign w:val="center"/>
                </w:tcPr>
                <w:p>
                  <w:pPr>
                    <w:adjustRightInd w:val="0"/>
                    <w:snapToGrid w:val="0"/>
                    <w:spacing w:line="320" w:lineRule="exact"/>
                    <w:jc w:val="center"/>
                    <w:rPr>
                      <w:rFonts w:hint="default" w:ascii="Times New Roman" w:hAnsi="Times New Roman" w:eastAsia="宋体" w:cs="Times New Roman"/>
                      <w:color w:val="auto"/>
                      <w:spacing w:val="-11"/>
                      <w:kern w:val="2"/>
                      <w:sz w:val="21"/>
                      <w:szCs w:val="21"/>
                      <w:lang w:val="en-US" w:eastAsia="zh-CN" w:bidi="ar-SA"/>
                    </w:rPr>
                  </w:pPr>
                  <w:r>
                    <w:rPr>
                      <w:rFonts w:hint="default" w:ascii="Times New Roman" w:hAnsi="Times New Roman" w:eastAsia="宋体" w:cs="Times New Roman"/>
                      <w:color w:val="auto"/>
                      <w:spacing w:val="-11"/>
                      <w:kern w:val="2"/>
                      <w:sz w:val="21"/>
                      <w:szCs w:val="21"/>
                      <w:lang w:val="en-US" w:eastAsia="zh-CN" w:bidi="ar-SA"/>
                    </w:rPr>
                    <w:t>38.8</w:t>
                  </w:r>
                </w:p>
              </w:tc>
              <w:tc>
                <w:tcPr>
                  <w:tcW w:w="914"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664" w:type="pct"/>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sz w:val="24"/>
              </w:rPr>
            </w:pPr>
            <w:r>
              <w:rPr>
                <w:rFonts w:hint="default" w:ascii="Times New Roman" w:hAnsi="Times New Roman" w:eastAsia="宋体" w:cs="Times New Roman"/>
                <w:snapToGrid w:val="0"/>
                <w:color w:val="auto"/>
                <w:kern w:val="0"/>
                <w:sz w:val="24"/>
                <w:szCs w:val="24"/>
                <w:lang w:val="en-US" w:eastAsia="zh-CN"/>
              </w:rPr>
              <w:t>由上表可知，司家窝铺村声环境质量现状满足《声环境质量标准》（GB3096-2008）2类区标准。</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5、土壤环境</w:t>
            </w:r>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lang w:eastAsia="zh-CN"/>
              </w:rPr>
              <w:t>为了解项目区土壤环境质量</w:t>
            </w:r>
            <w:r>
              <w:rPr>
                <w:rFonts w:hint="default" w:ascii="Times New Roman" w:hAnsi="Times New Roman" w:cs="Times New Roman"/>
                <w:snapToGrid w:val="0"/>
                <w:kern w:val="0"/>
                <w:sz w:val="24"/>
              </w:rPr>
              <w:t>，公司委托</w:t>
            </w:r>
            <w:r>
              <w:rPr>
                <w:rFonts w:hint="default" w:ascii="Times New Roman" w:hAnsi="Times New Roman" w:cs="Times New Roman"/>
                <w:snapToGrid w:val="0"/>
                <w:kern w:val="0"/>
                <w:sz w:val="24"/>
                <w:lang w:val="en-US" w:eastAsia="zh-CN"/>
              </w:rPr>
              <w:t>辽宁鹏宇环境监测有限公司</w:t>
            </w:r>
            <w:r>
              <w:rPr>
                <w:rFonts w:hint="default" w:ascii="Times New Roman" w:hAnsi="Times New Roman" w:cs="Times New Roman"/>
                <w:snapToGrid w:val="0"/>
                <w:kern w:val="0"/>
                <w:sz w:val="24"/>
              </w:rPr>
              <w:t>对项目区域土壤环境质量现状进行监测，</w:t>
            </w:r>
            <w:r>
              <w:rPr>
                <w:rFonts w:hint="default" w:ascii="Times New Roman" w:hAnsi="Times New Roman" w:cs="Times New Roman"/>
                <w:snapToGrid w:val="0"/>
                <w:kern w:val="0"/>
                <w:sz w:val="24"/>
                <w:lang w:val="en-US" w:eastAsia="zh-CN"/>
              </w:rPr>
              <w:t>并出具《木兰皇家农业综合示范区蒸汽供给项目环境质量现状监测》检测报告（字PY2302218-001号），监测结果</w:t>
            </w:r>
            <w:r>
              <w:rPr>
                <w:rFonts w:hint="default" w:ascii="Times New Roman" w:hAnsi="Times New Roman" w:cs="Times New Roman"/>
                <w:snapToGrid w:val="0"/>
                <w:kern w:val="0"/>
                <w:sz w:val="24"/>
              </w:rPr>
              <w:t>如下：</w:t>
            </w:r>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（1）监测点位</w:t>
            </w:r>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Tr</w:t>
            </w:r>
            <w:r>
              <w:rPr>
                <w:rFonts w:hint="default" w:ascii="Times New Roman" w:hAnsi="Times New Roman" w:cs="Times New Roman"/>
                <w:snapToGrid w:val="0"/>
                <w:kern w:val="0"/>
                <w:sz w:val="24"/>
                <w:lang w:val="en-US" w:eastAsia="zh-CN"/>
              </w:rPr>
              <w:t>1</w:t>
            </w:r>
            <w:r>
              <w:rPr>
                <w:rFonts w:hint="default" w:ascii="Times New Roman" w:hAnsi="Times New Roman" w:cs="Times New Roman"/>
                <w:snapToGrid w:val="0"/>
                <w:kern w:val="0"/>
                <w:sz w:val="24"/>
              </w:rPr>
              <w:t>#（</w:t>
            </w:r>
            <w:r>
              <w:rPr>
                <w:rFonts w:hint="default" w:ascii="Times New Roman" w:hAnsi="Times New Roman" w:cs="Times New Roman"/>
                <w:snapToGrid w:val="0"/>
                <w:kern w:val="0"/>
                <w:sz w:val="24"/>
                <w:lang w:eastAsia="zh-CN"/>
              </w:rPr>
              <w:t>表层</w:t>
            </w:r>
            <w:r>
              <w:rPr>
                <w:rFonts w:hint="default" w:ascii="Times New Roman" w:hAnsi="Times New Roman" w:cs="Times New Roman"/>
                <w:snapToGrid w:val="0"/>
                <w:kern w:val="0"/>
                <w:sz w:val="24"/>
              </w:rPr>
              <w:t>样）——</w:t>
            </w:r>
            <w:r>
              <w:rPr>
                <w:rFonts w:hint="default" w:ascii="Times New Roman" w:hAnsi="Times New Roman" w:cs="Times New Roman"/>
                <w:snapToGrid w:val="0"/>
                <w:kern w:val="0"/>
                <w:sz w:val="24"/>
                <w:lang w:val="en-US" w:eastAsia="zh-CN"/>
              </w:rPr>
              <w:t>司家窝铺村</w:t>
            </w:r>
            <w:r>
              <w:rPr>
                <w:rFonts w:hint="default" w:ascii="Times New Roman" w:hAnsi="Times New Roman" w:cs="Times New Roman"/>
                <w:snapToGrid w:val="0"/>
                <w:kern w:val="0"/>
                <w:sz w:val="24"/>
              </w:rPr>
              <w:t>。</w:t>
            </w:r>
          </w:p>
          <w:p>
            <w:pPr>
              <w:numPr>
                <w:ilvl w:val="0"/>
                <w:numId w:val="7"/>
              </w:num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监测因子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rPr>
              <w:t>pH、砷、镉、</w:t>
            </w:r>
            <w:r>
              <w:rPr>
                <w:rFonts w:hint="default" w:ascii="Times New Roman" w:hAnsi="Times New Roman" w:cs="Times New Roman"/>
                <w:snapToGrid w:val="0"/>
                <w:kern w:val="0"/>
                <w:sz w:val="24"/>
                <w:lang w:eastAsia="zh-CN"/>
              </w:rPr>
              <w:t>铬、</w:t>
            </w:r>
            <w:r>
              <w:rPr>
                <w:rFonts w:hint="default" w:ascii="Times New Roman" w:hAnsi="Times New Roman" w:cs="Times New Roman"/>
                <w:snapToGrid w:val="0"/>
                <w:kern w:val="0"/>
                <w:sz w:val="24"/>
              </w:rPr>
              <w:t>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r>
              <w:rPr>
                <w:rFonts w:hint="default" w:ascii="Times New Roman" w:hAnsi="Times New Roman" w:cs="Times New Roman"/>
                <w:snapToGrid w:val="0"/>
                <w:color w:val="auto"/>
                <w:kern w:val="0"/>
                <w:sz w:val="24"/>
              </w:rPr>
              <w:t>硝基苯、苯胺、2-氯酚、苯并[a]蒽、苯并[a]芘、苯并[b]荧蒽、苯并[k]荧蒽、䓛、二苯并[a,h]蒽、茚并[1,2,3-cd]芘、萘、</w:t>
            </w:r>
            <w:r>
              <w:rPr>
                <w:rFonts w:hint="default" w:ascii="Times New Roman" w:hAnsi="Times New Roman" w:cs="Times New Roman"/>
                <w:snapToGrid w:val="0"/>
                <w:kern w:val="0"/>
                <w:sz w:val="24"/>
              </w:rPr>
              <w:t>石油烃（C10-C40）</w:t>
            </w:r>
            <w:r>
              <w:rPr>
                <w:rFonts w:hint="default" w:ascii="Times New Roman" w:hAnsi="Times New Roman" w:cs="Times New Roman"/>
                <w:snapToGrid w:val="0"/>
                <w:kern w:val="0"/>
                <w:sz w:val="24"/>
                <w:lang w:eastAsia="zh-CN"/>
              </w:rPr>
              <w:t>、</w:t>
            </w:r>
            <w:r>
              <w:rPr>
                <w:rFonts w:hint="default" w:ascii="Times New Roman" w:hAnsi="Times New Roman" w:cs="Times New Roman"/>
                <w:snapToGrid w:val="0"/>
                <w:kern w:val="0"/>
                <w:sz w:val="24"/>
                <w:lang w:val="en-US" w:eastAsia="zh-CN"/>
              </w:rPr>
              <w:t>锌、钼、硒、铊、钡、银、锡、氟化物、</w:t>
            </w:r>
            <w:r>
              <w:rPr>
                <w:rFonts w:hint="default" w:ascii="Times New Roman" w:hAnsi="Times New Roman" w:cs="Times New Roman"/>
                <w:snapToGrid w:val="0"/>
                <w:color w:val="auto"/>
                <w:kern w:val="0"/>
                <w:sz w:val="24"/>
                <w:shd w:val="clear" w:color="auto" w:fill="auto"/>
                <w:lang w:val="en-US" w:eastAsia="zh-CN"/>
              </w:rPr>
              <w:t>氨氮</w:t>
            </w:r>
            <w:r>
              <w:rPr>
                <w:rFonts w:hint="default" w:ascii="Times New Roman" w:hAnsi="Times New Roman" w:cs="Times New Roman"/>
                <w:snapToGrid w:val="0"/>
                <w:kern w:val="0"/>
                <w:sz w:val="24"/>
                <w:lang w:val="en-US" w:eastAsia="zh-CN"/>
              </w:rPr>
              <w:t>。</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kern w:val="0"/>
                <w:sz w:val="24"/>
                <w:szCs w:val="24"/>
                <w:lang w:val="en-US" w:eastAsia="zh-CN" w:bidi="ar-SA"/>
              </w:rPr>
            </w:pPr>
            <w:r>
              <w:rPr>
                <w:rFonts w:hint="default" w:ascii="Times New Roman" w:hAnsi="Times New Roman" w:eastAsia="宋体" w:cs="Times New Roman"/>
                <w:snapToGrid w:val="0"/>
                <w:kern w:val="0"/>
                <w:sz w:val="24"/>
                <w:szCs w:val="24"/>
                <w:lang w:val="en-US" w:eastAsia="zh-CN" w:bidi="ar-SA"/>
              </w:rPr>
              <w:t>（3）监测时间和频次</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监测时间为2023年2月8日，监测1日，采样1次。</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kern w:val="0"/>
                <w:sz w:val="24"/>
                <w:szCs w:val="24"/>
                <w:lang w:val="en-US" w:eastAsia="zh-CN" w:bidi="ar-SA"/>
              </w:rPr>
            </w:pPr>
            <w:r>
              <w:rPr>
                <w:rFonts w:hint="default" w:ascii="Times New Roman" w:hAnsi="Times New Roman" w:eastAsia="宋体" w:cs="Times New Roman"/>
                <w:snapToGrid w:val="0"/>
                <w:kern w:val="0"/>
                <w:sz w:val="24"/>
                <w:szCs w:val="24"/>
                <w:lang w:val="en-US" w:eastAsia="zh-CN" w:bidi="ar-SA"/>
              </w:rPr>
              <w:t>（4）评价因子与评价标准</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kern w:val="0"/>
                <w:sz w:val="24"/>
                <w:szCs w:val="24"/>
                <w:lang w:val="en-US" w:eastAsia="zh-CN" w:bidi="ar-SA"/>
              </w:rPr>
            </w:pPr>
            <w:r>
              <w:rPr>
                <w:rFonts w:hint="default" w:ascii="Times New Roman" w:hAnsi="Times New Roman" w:eastAsia="宋体" w:cs="Times New Roman"/>
                <w:snapToGrid w:val="0"/>
                <w:kern w:val="0"/>
                <w:sz w:val="24"/>
                <w:szCs w:val="24"/>
                <w:lang w:val="en-US" w:eastAsia="zh-CN" w:bidi="ar-SA"/>
              </w:rPr>
              <w:t>本次评价因子同监测因子，评价标准采用《土壤环境质量 建设用地土壤污染风险管控标准（试行）》（GB 36600-2018）表1中第一类用地风险筛选值、《建设用地土壤污染风险筛选值》（DB13/T5216-2022）表1中第一类用地风险筛选值。</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kern w:val="0"/>
                <w:sz w:val="24"/>
                <w:szCs w:val="24"/>
                <w:lang w:val="en-US" w:eastAsia="zh-CN" w:bidi="ar-SA"/>
              </w:rPr>
            </w:pPr>
            <w:r>
              <w:rPr>
                <w:rFonts w:hint="default" w:ascii="Times New Roman" w:hAnsi="Times New Roman" w:eastAsia="宋体" w:cs="Times New Roman"/>
                <w:snapToGrid w:val="0"/>
                <w:kern w:val="0"/>
                <w:sz w:val="24"/>
                <w:szCs w:val="24"/>
                <w:lang w:val="en-US" w:eastAsia="zh-CN" w:bidi="ar-SA"/>
              </w:rPr>
              <w:t>（5）监测结果统计</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center"/>
              <w:textAlignment w:val="auto"/>
              <w:rPr>
                <w:rFonts w:hint="default" w:ascii="Times New Roman" w:hAnsi="Times New Roman" w:cs="Times New Roman"/>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 xml:space="preserve">3-6  </w:t>
            </w:r>
            <w:r>
              <w:rPr>
                <w:rFonts w:hint="default" w:ascii="Times New Roman" w:hAnsi="Times New Roman" w:cs="Times New Roman"/>
                <w:b/>
                <w:bCs/>
                <w:color w:val="auto"/>
              </w:rPr>
              <w:t>土壤现状评价结果一览表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1441"/>
              <w:gridCol w:w="1441"/>
              <w:gridCol w:w="1512"/>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85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标准值</w:t>
                  </w:r>
                </w:p>
              </w:tc>
              <w:tc>
                <w:tcPr>
                  <w:tcW w:w="85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c>
                <w:tcPr>
                  <w:tcW w:w="1983" w:type="pct"/>
                  <w:gridSpan w:val="2"/>
                  <w:tcBorders>
                    <w:top w:val="single" w:color="auto" w:sz="4" w:space="0"/>
                    <w:left w:val="single" w:color="auto" w:sz="4" w:space="0"/>
                    <w:right w:val="single" w:color="auto" w:sz="4" w:space="0"/>
                  </w:tcBorders>
                  <w:noWrap w:val="0"/>
                  <w:vAlign w:val="center"/>
                </w:tcPr>
                <w:p>
                  <w:pPr>
                    <w:keepNext w:val="0"/>
                    <w:keepLines w:val="0"/>
                    <w:pageBreakBefore w:val="0"/>
                    <w:widowControl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Tr1#（表层样）——项目占地范围外东南侧2302218TR001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vMerge w:val="continue"/>
                  <w:tcBorders>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p>
              </w:tc>
              <w:tc>
                <w:tcPr>
                  <w:tcW w:w="859" w:type="pct"/>
                  <w:vMerge w:val="continue"/>
                  <w:tcBorders>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859" w:type="pct"/>
                  <w:vMerge w:val="continue"/>
                  <w:tcBorders>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eastAsia="zh-CN"/>
                    </w:rPr>
                  </w:pP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监测值</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highlight w:val="none"/>
                      <w:vertAlign w:val="baseline"/>
                      <w:lang w:val="en-US" w:eastAsia="zh-CN"/>
                    </w:rPr>
                    <w:t>--</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砷</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4.62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镉</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0.17</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铬（六价）</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bCs/>
                      <w:color w:val="auto"/>
                      <w:sz w:val="21"/>
                      <w:szCs w:val="21"/>
                      <w:highlight w:val="none"/>
                      <w:lang w:val="en-US" w:eastAsia="zh-CN"/>
                    </w:rPr>
                    <w:t>＜0.5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铜</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22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铅</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27</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汞</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0.352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镍</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33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四氯化碳</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氯仿</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氯甲烷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1,1-二氯乙烷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1,2-二氯乙烷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1,1-二氯乙烯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＜1.0</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顺式-1,2-二氯乙烯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66000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反式-1,2-二氯乙烯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＜1.4</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二氯甲烷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94000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1,2-二氯丙烷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1,1,1,2-四氯乙烷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1,1,2,2-四氯乙烷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yellow"/>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四氯乙烯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1,1,1-三氯乙烷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701000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1,1,2-三氯乙烷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1,2,3-三氯丙烷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＜1.0</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＜1.9</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氯苯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1,2-二氯苯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560000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1,4-二氯苯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乙苯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1290000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甲苯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间二甲苯+对二甲苯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163000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邻二甲苯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222000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硝基苯</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＜0.09</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苯胺</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92</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＜0.09</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sz w:val="21"/>
                      <w:szCs w:val="21"/>
                      <w:highlight w:val="none"/>
                      <w:shd w:val="clear" w:color="auto" w:fill="auto"/>
                      <w:lang w:val="en-US" w:eastAsia="zh-CN"/>
                    </w:rPr>
                    <w:t>2-氯苯酚</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lang w:val="en-US" w:eastAsia="zh-CN" w:bidi="ar-SA"/>
                    </w:rPr>
                    <w:t>250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＜0.06</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sz w:val="21"/>
                      <w:szCs w:val="21"/>
                      <w:highlight w:val="none"/>
                      <w:shd w:val="clear" w:color="auto" w:fill="auto"/>
                      <w:lang w:val="en-US" w:eastAsia="zh-CN"/>
                    </w:rPr>
                    <w:t>苯并［a］蒽</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lang w:val="en-US" w:eastAsia="zh-CN" w:bidi="ar-SA"/>
                    </w:rPr>
                    <w:t>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苯并［a］芘</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苯并［b］荧蒽</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240" w:lineRule="auto"/>
                    <w:ind w:left="0" w:leftChars="0"/>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highlight w:val="none"/>
                      <w:lang w:val="en-US" w:eastAsia="zh-CN"/>
                    </w:rPr>
                    <w:t>＜0.2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苯并［k］荧蒽</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highlight w:val="none"/>
                      <w:lang w:val="en-US" w:eastAsia="zh-CN"/>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䓛</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490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二苯并［a,h］蒽</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茚并［1,2,3-cd］芘</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萘</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＜0.09</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石油烃（C</w:t>
                  </w:r>
                  <w:r>
                    <w:rPr>
                      <w:rFonts w:hint="default" w:ascii="Times New Roman" w:hAnsi="Times New Roman" w:eastAsia="宋体" w:cs="Times New Roman"/>
                      <w:sz w:val="21"/>
                      <w:szCs w:val="21"/>
                      <w:vertAlign w:val="subscript"/>
                      <w:lang w:val="en-US" w:eastAsia="zh-CN"/>
                    </w:rPr>
                    <w:t>10</w:t>
                  </w: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vertAlign w:val="subscript"/>
                      <w:lang w:val="en-US" w:eastAsia="zh-CN"/>
                    </w:rPr>
                    <w:t>40</w:t>
                  </w:r>
                  <w:r>
                    <w:rPr>
                      <w:rFonts w:hint="default" w:ascii="Times New Roman" w:hAnsi="Times New Roman" w:eastAsia="宋体" w:cs="Times New Roman"/>
                      <w:sz w:val="21"/>
                      <w:szCs w:val="21"/>
                      <w:lang w:val="en-US" w:eastAsia="zh-CN"/>
                    </w:rPr>
                    <w:t>）</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826</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锌</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10000</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76</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钼</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249</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3.0</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硒</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248</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3.70</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铊</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钡</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1871</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548</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银</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249</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锡</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10000</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氟化物</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1950</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氨氮</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960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30.5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0.0318</w:t>
                  </w:r>
                </w:p>
              </w:tc>
            </w:tr>
          </w:tbl>
          <w:p>
            <w:pPr>
              <w:pStyle w:val="3"/>
              <w:adjustRightInd w:val="0"/>
              <w:snapToGrid w:val="0"/>
              <w:spacing w:before="0" w:after="0" w:line="360" w:lineRule="auto"/>
              <w:ind w:firstLine="422" w:firstLineChars="200"/>
              <w:rPr>
                <w:rFonts w:hint="default" w:ascii="Times New Roman" w:hAnsi="Times New Roman" w:cs="Times New Roman"/>
                <w:b/>
                <w:bCs w:val="0"/>
                <w:kern w:val="2"/>
                <w:sz w:val="21"/>
                <w:szCs w:val="21"/>
                <w:lang w:val="en-US" w:eastAsia="zh-CN" w:bidi="ar-SA"/>
              </w:rPr>
            </w:pPr>
            <w:r>
              <w:rPr>
                <w:rFonts w:hint="default" w:ascii="Times New Roman" w:hAnsi="Times New Roman" w:cs="Times New Roman" w:eastAsiaTheme="minorEastAsia"/>
                <w:b/>
                <w:bCs w:val="0"/>
                <w:kern w:val="2"/>
                <w:sz w:val="21"/>
                <w:szCs w:val="21"/>
                <w:lang w:val="en-US" w:eastAsia="zh-CN" w:bidi="ar-SA"/>
              </w:rPr>
              <w:t>注：“&lt;+数值”代表小于检出限</w:t>
            </w:r>
            <w:r>
              <w:rPr>
                <w:rFonts w:hint="default" w:ascii="Times New Roman" w:hAnsi="Times New Roman" w:cs="Times New Roman"/>
                <w:b/>
                <w:bCs w:val="0"/>
                <w:kern w:val="2"/>
                <w:sz w:val="21"/>
                <w:szCs w:val="21"/>
                <w:lang w:val="en-US" w:eastAsia="zh-CN" w:bidi="ar-SA"/>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center"/>
              <w:textAlignment w:val="auto"/>
              <w:rPr>
                <w:rFonts w:hint="default" w:ascii="Times New Roman" w:hAnsi="Times New Roman"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表</w:t>
            </w:r>
            <w:r>
              <w:rPr>
                <w:rFonts w:hint="default" w:ascii="Times New Roman" w:hAnsi="Times New Roman" w:cs="Times New Roman"/>
                <w:b/>
                <w:bCs/>
                <w:color w:val="000000" w:themeColor="text1"/>
                <w:lang w:val="en-US" w:eastAsia="zh-CN"/>
                <w14:textFill>
                  <w14:solidFill>
                    <w14:schemeClr w14:val="tx1"/>
                  </w14:solidFill>
                </w14:textFill>
              </w:rPr>
              <w:t xml:space="preserve">3-7  </w:t>
            </w:r>
            <w:r>
              <w:rPr>
                <w:rFonts w:hint="default" w:ascii="Times New Roman" w:hAnsi="Times New Roman" w:cs="Times New Roman"/>
                <w:b/>
                <w:bCs/>
                <w:color w:val="000000" w:themeColor="text1"/>
                <w14:textFill>
                  <w14:solidFill>
                    <w14:schemeClr w14:val="tx1"/>
                  </w14:solidFill>
                </w14:textFill>
              </w:rPr>
              <w:t>土壤理化特性调查表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3050"/>
              <w:gridCol w:w="3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检测点位名称</w:t>
                  </w:r>
                </w:p>
              </w:tc>
              <w:tc>
                <w:tcPr>
                  <w:tcW w:w="227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Tr</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表层</w:t>
                  </w:r>
                  <w:r>
                    <w:rPr>
                      <w:rFonts w:hint="default" w:ascii="Times New Roman" w:hAnsi="Times New Roman" w:eastAsia="宋体" w:cs="Times New Roman"/>
                      <w:color w:val="000000" w:themeColor="text1"/>
                      <w:sz w:val="21"/>
                      <w:szCs w:val="21"/>
                      <w14:textFill>
                        <w14:solidFill>
                          <w14:schemeClr w14:val="tx1"/>
                        </w14:solidFill>
                      </w14:textFill>
                    </w:rPr>
                    <w:t>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lang w:eastAsia="zh-CN"/>
                      <w14:textFill>
                        <w14:solidFill>
                          <w14:schemeClr w14:val="tx1"/>
                        </w14:solidFill>
                      </w14:textFill>
                    </w:rPr>
                    <w:t>占地范围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外东南侧</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2302218TR001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层次（</w:t>
                  </w:r>
                  <w:r>
                    <w:rPr>
                      <w:rFonts w:hint="default" w:ascii="Times New Roman" w:hAnsi="Times New Roman" w:eastAsia="宋体" w:cs="Times New Roman"/>
                      <w:b w:val="0"/>
                      <w:bCs/>
                      <w:color w:val="000000"/>
                      <w:sz w:val="21"/>
                      <w:szCs w:val="21"/>
                      <w:highlight w:val="none"/>
                      <w:vertAlign w:val="baseline"/>
                      <w:lang w:val="en-US" w:eastAsia="zh-CN"/>
                    </w:rPr>
                    <w:t>m</w:t>
                  </w:r>
                  <w:r>
                    <w:rPr>
                      <w:rFonts w:hint="default" w:ascii="Times New Roman" w:hAnsi="Times New Roman" w:eastAsia="宋体" w:cs="Times New Roman"/>
                      <w:b w:val="0"/>
                      <w:bCs/>
                      <w:color w:val="000000"/>
                      <w:sz w:val="21"/>
                      <w:szCs w:val="21"/>
                      <w:highlight w:val="none"/>
                      <w:vertAlign w:val="baseline"/>
                      <w:lang w:eastAsia="zh-CN"/>
                    </w:rPr>
                    <w:t>）</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颜色</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黄棕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结构</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团粒结构体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质地</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轻壤土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机械组成（粒度）</w:t>
                  </w:r>
                </w:p>
              </w:tc>
              <w:tc>
                <w:tcPr>
                  <w:tcW w:w="1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sz w:val="21"/>
                      <w:szCs w:val="21"/>
                      <w:lang w:val="en-US" w:eastAsia="zh-CN"/>
                    </w:rPr>
                    <w:t>砂粒含量</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27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p>
              </w:tc>
              <w:tc>
                <w:tcPr>
                  <w:tcW w:w="1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sz w:val="21"/>
                      <w:szCs w:val="21"/>
                      <w:lang w:val="en-US" w:eastAsia="zh-CN"/>
                    </w:rPr>
                    <w:t>粘粒含量</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27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p>
              </w:tc>
              <w:tc>
                <w:tcPr>
                  <w:tcW w:w="1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sz w:val="21"/>
                      <w:szCs w:val="21"/>
                      <w:lang w:val="en-US" w:eastAsia="zh-CN"/>
                    </w:rPr>
                    <w:t>粉（砂）粒含量</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27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其他异物</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pH</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阳离子交换量（cmol</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/kg）</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氧化还原电位（mv）</w:t>
                  </w:r>
                </w:p>
              </w:tc>
              <w:tc>
                <w:tcPr>
                  <w:tcW w:w="2271" w:type="pct"/>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渗透率（cm/s）</w:t>
                  </w:r>
                </w:p>
              </w:tc>
              <w:tc>
                <w:tcPr>
                  <w:tcW w:w="2271" w:type="pct"/>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9.77×10</w:t>
                  </w:r>
                  <w:r>
                    <w:rPr>
                      <w:rFonts w:hint="default" w:ascii="Times New Roman" w:hAnsi="Times New Roman" w:eastAsia="宋体" w:cs="Times New Roman"/>
                      <w:b w:val="0"/>
                      <w:bCs/>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土壤容重（g/cm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271" w:type="pct"/>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28"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孔隙率（%）</w:t>
                  </w:r>
                </w:p>
              </w:tc>
              <w:tc>
                <w:tcPr>
                  <w:tcW w:w="2271" w:type="pct"/>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48</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通过对监测点位的土壤质量分析可知，pH、砷、镉、</w:t>
            </w:r>
            <w:r>
              <w:rPr>
                <w:rFonts w:hint="default" w:ascii="Times New Roman" w:hAnsi="Times New Roman" w:eastAsia="宋体" w:cs="Times New Roman"/>
                <w:sz w:val="24"/>
                <w:szCs w:val="24"/>
                <w:lang w:eastAsia="zh-CN"/>
              </w:rPr>
              <w:t>铬、</w:t>
            </w:r>
            <w:r>
              <w:rPr>
                <w:rFonts w:hint="default" w:ascii="Times New Roman" w:hAnsi="Times New Roman" w:eastAsia="宋体" w:cs="Times New Roman"/>
                <w:sz w:val="24"/>
                <w:szCs w:val="24"/>
              </w:rPr>
              <w:t>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石油烃（C</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vertAlign w:val="subscript"/>
              </w:rPr>
              <w:t>40</w:t>
            </w:r>
            <w:r>
              <w:rPr>
                <w:rFonts w:hint="default" w:ascii="Times New Roman" w:hAnsi="Times New Roman" w:eastAsia="宋体" w:cs="Times New Roman"/>
                <w:sz w:val="24"/>
                <w:szCs w:val="24"/>
              </w:rPr>
              <w:t>）满足《土壤环境质量 建设用地土壤污染风险管控标准（试行）》</w:t>
            </w:r>
            <w:r>
              <w:rPr>
                <w:rFonts w:hint="default" w:ascii="Times New Roman" w:hAnsi="Times New Roman" w:eastAsia="宋体" w:cs="Times New Roman"/>
                <w:sz w:val="24"/>
                <w:szCs w:val="24"/>
                <w:lang w:eastAsia="zh-CN"/>
              </w:rPr>
              <w:t>）（GB 36600-2018）表1中第一类用地风险筛选值的要求；</w:t>
            </w:r>
            <w:r>
              <w:rPr>
                <w:rFonts w:hint="default" w:ascii="Times New Roman" w:hAnsi="Times New Roman" w:eastAsia="宋体" w:cs="Times New Roman"/>
                <w:sz w:val="24"/>
                <w:szCs w:val="24"/>
                <w:lang w:val="en-US" w:eastAsia="zh-CN"/>
              </w:rPr>
              <w:t>锌、钼、硒、铊、钡、银、锡、氟化物、氨氮满足《建设用地土壤污染风险筛选值》（DB13/T5216-2022）表1中第一类用地风险筛选值要求</w:t>
            </w:r>
            <w:r>
              <w:rPr>
                <w:rFonts w:hint="default" w:ascii="Times New Roman" w:hAnsi="Times New Roman" w:eastAsia="宋体" w:cs="Times New Roman"/>
                <w:sz w:val="24"/>
                <w:szCs w:val="24"/>
              </w:rPr>
              <w:t>，项目区域土壤环境质量较好</w:t>
            </w:r>
            <w:r>
              <w:rPr>
                <w:rFonts w:hint="default" w:ascii="Times New Roman" w:hAnsi="Times New Roman" w:eastAsia="宋体" w:cs="Times New Roman"/>
                <w:sz w:val="24"/>
                <w:szCs w:val="24"/>
                <w:lang w:eastAsia="zh-CN"/>
              </w:rPr>
              <w:t>。</w:t>
            </w:r>
          </w:p>
          <w:p>
            <w:pPr>
              <w:adjustRightInd w:val="0"/>
              <w:snapToGrid w:val="0"/>
              <w:spacing w:line="360" w:lineRule="auto"/>
              <w:ind w:firstLine="482" w:firstLineChars="200"/>
              <w:rPr>
                <w:rFonts w:hint="default" w:ascii="Times New Roman" w:hAnsi="Times New Roman" w:cs="Times New Roman"/>
                <w:b/>
                <w:bCs/>
                <w:kern w:val="0"/>
                <w:sz w:val="24"/>
              </w:rPr>
            </w:pPr>
            <w:r>
              <w:rPr>
                <w:rFonts w:hint="default" w:ascii="Times New Roman" w:hAnsi="Times New Roman" w:cs="Times New Roman"/>
                <w:b/>
                <w:bCs/>
                <w:kern w:val="0"/>
                <w:sz w:val="24"/>
              </w:rPr>
              <w:t>6、生态环境</w:t>
            </w:r>
          </w:p>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sz w:val="24"/>
              </w:rPr>
              <w:t>本项目位于</w:t>
            </w:r>
            <w:r>
              <w:rPr>
                <w:rFonts w:hint="eastAsia" w:ascii="Times New Roman" w:hAnsi="Times New Roman" w:cs="Times New Roman"/>
                <w:sz w:val="24"/>
                <w:lang w:eastAsia="zh-CN"/>
              </w:rPr>
              <w:t>承德富龙现代农业发展有限公司</w:t>
            </w:r>
            <w:r>
              <w:rPr>
                <w:rFonts w:hint="default" w:ascii="Times New Roman" w:hAnsi="Times New Roman" w:cs="Times New Roman"/>
                <w:sz w:val="24"/>
              </w:rPr>
              <w:t>院内，项目周边不存在生态环境保护目标，</w:t>
            </w:r>
            <w:r>
              <w:rPr>
                <w:rFonts w:hint="default" w:ascii="Times New Roman" w:hAnsi="Times New Roman" w:cs="Times New Roman"/>
                <w:kern w:val="0"/>
                <w:sz w:val="24"/>
              </w:rPr>
              <w:t>不开展生态现状调查</w:t>
            </w:r>
            <w:r>
              <w:rPr>
                <w:rFonts w:hint="default" w:ascii="Times New Roman" w:hAnsi="Times New Roman" w:cs="Times New Roman"/>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8" w:hRule="atLeast"/>
          <w:jc w:val="center"/>
        </w:trPr>
        <w:tc>
          <w:tcPr>
            <w:tcW w:w="280" w:type="pct"/>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环境</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保护</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目标</w:t>
            </w:r>
          </w:p>
        </w:tc>
        <w:tc>
          <w:tcPr>
            <w:tcW w:w="4719" w:type="pct"/>
            <w:tcBorders>
              <w:top w:val="single" w:color="auto" w:sz="4" w:space="0"/>
              <w:left w:val="single" w:color="auto" w:sz="4" w:space="0"/>
              <w:bottom w:val="single" w:color="auto" w:sz="4" w:space="0"/>
              <w:right w:val="single" w:color="auto" w:sz="8" w:space="0"/>
            </w:tcBorders>
            <w:shd w:val="clear" w:color="auto" w:fill="auto"/>
            <w:vAlign w:val="center"/>
          </w:tcPr>
          <w:p>
            <w:pPr>
              <w:widowControl/>
              <w:adjustRightInd w:val="0"/>
              <w:snapToGrid w:val="0"/>
              <w:spacing w:before="156" w:beforeLines="5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项目周边500m范围内无自然保护区、风景名胜区、文化区</w:t>
            </w:r>
            <w:r>
              <w:rPr>
                <w:rFonts w:hint="default" w:ascii="Times New Roman" w:hAnsi="Times New Roman" w:cs="Times New Roman"/>
                <w:sz w:val="24"/>
                <w:lang w:eastAsia="zh-CN"/>
              </w:rPr>
              <w:t>，项目东侧</w:t>
            </w:r>
            <w:r>
              <w:rPr>
                <w:rFonts w:hint="default" w:ascii="Times New Roman" w:hAnsi="Times New Roman" w:cs="Times New Roman"/>
                <w:sz w:val="24"/>
                <w:lang w:val="en-US" w:eastAsia="zh-CN"/>
              </w:rPr>
              <w:t>18m为司家窝铺、西南侧410m为燕格柏沟门；</w:t>
            </w: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color w:val="000000" w:themeColor="text1"/>
                <w:sz w:val="24"/>
                <w:lang w:val="en-US" w:eastAsia="zh-CN"/>
                <w14:textFill>
                  <w14:solidFill>
                    <w14:schemeClr w14:val="tx1"/>
                  </w14:solidFill>
                </w14:textFill>
              </w:rPr>
              <w:t>厂界外</w:t>
            </w:r>
            <w:r>
              <w:rPr>
                <w:rFonts w:hint="default" w:ascii="Times New Roman" w:hAnsi="Times New Roman" w:cs="Times New Roman"/>
                <w:color w:val="000000" w:themeColor="text1"/>
                <w:sz w:val="24"/>
                <w14:textFill>
                  <w14:solidFill>
                    <w14:schemeClr w14:val="tx1"/>
                  </w14:solidFill>
                </w14:textFill>
              </w:rPr>
              <w:t>50m范围内</w:t>
            </w:r>
            <w:r>
              <w:rPr>
                <w:rFonts w:hint="default" w:ascii="Times New Roman" w:hAnsi="Times New Roman" w:cs="Times New Roman"/>
                <w:color w:val="000000" w:themeColor="text1"/>
                <w:sz w:val="24"/>
                <w:lang w:val="en-US" w:eastAsia="zh-CN"/>
                <w14:textFill>
                  <w14:solidFill>
                    <w14:schemeClr w14:val="tx1"/>
                  </w14:solidFill>
                </w14:textFill>
              </w:rPr>
              <w:t>有</w:t>
            </w:r>
            <w:r>
              <w:rPr>
                <w:rFonts w:hint="default" w:ascii="Times New Roman" w:hAnsi="Times New Roman" w:cs="Times New Roman"/>
                <w:color w:val="000000" w:themeColor="text1"/>
                <w:sz w:val="24"/>
                <w14:textFill>
                  <w14:solidFill>
                    <w14:schemeClr w14:val="tx1"/>
                  </w14:solidFill>
                </w14:textFill>
              </w:rPr>
              <w:t>声环境保护目标</w:t>
            </w:r>
            <w:r>
              <w:rPr>
                <w:rFonts w:hint="default" w:ascii="Times New Roman" w:hAnsi="Times New Roman" w:cs="Times New Roman"/>
                <w:color w:val="000000" w:themeColor="text1"/>
                <w:sz w:val="24"/>
                <w:lang w:eastAsia="zh-CN"/>
                <w14:textFill>
                  <w14:solidFill>
                    <w14:schemeClr w14:val="tx1"/>
                  </w14:solidFill>
                </w14:textFill>
              </w:rPr>
              <w:t>：项目东侧</w:t>
            </w:r>
            <w:r>
              <w:rPr>
                <w:rFonts w:hint="default" w:ascii="Times New Roman" w:hAnsi="Times New Roman" w:cs="Times New Roman"/>
                <w:color w:val="000000" w:themeColor="text1"/>
                <w:sz w:val="24"/>
                <w:lang w:val="en-US" w:eastAsia="zh-CN"/>
                <w14:textFill>
                  <w14:solidFill>
                    <w14:schemeClr w14:val="tx1"/>
                  </w14:solidFill>
                </w14:textFill>
              </w:rPr>
              <w:t>18m为司家窝铺</w:t>
            </w:r>
            <w:r>
              <w:rPr>
                <w:rFonts w:hint="default" w:ascii="Times New Roman" w:hAnsi="Times New Roman" w:cs="Times New Roman"/>
                <w:sz w:val="24"/>
              </w:rPr>
              <w:t>；项目厂界外500m范围内无地下水集中式饮用水水源和热水、矿泉水、温泉等特殊地下水资源；项目周边生态环境不涉及自然保护区、世界文化和自然遗产地等特殊生态敏感区，也不涉及风景名胜区、森林公园、地质公园、重要湿地、原始天然森林、珍稀濒危野生动植物天然集中分布区、重要水生生物的自然产卵场及索饵场、越冬场和洄游通道、天然渔场等重要生态敏感区。</w:t>
            </w:r>
          </w:p>
          <w:p>
            <w:pPr>
              <w:adjustRightInd w:val="0"/>
              <w:snapToGrid w:val="0"/>
              <w:spacing w:line="360" w:lineRule="auto"/>
              <w:jc w:val="center"/>
              <w:rPr>
                <w:rFonts w:hint="default" w:ascii="Times New Roman" w:hAnsi="Times New Roman" w:cs="Times New Roman"/>
                <w:b/>
                <w:color w:val="FF0000"/>
                <w:szCs w:val="20"/>
              </w:rPr>
            </w:pPr>
            <w:r>
              <w:rPr>
                <w:rFonts w:hint="default" w:ascii="Times New Roman" w:hAnsi="Times New Roman" w:cs="Times New Roman"/>
                <w:b/>
                <w:szCs w:val="20"/>
              </w:rPr>
              <w:t>表3-</w:t>
            </w:r>
            <w:r>
              <w:rPr>
                <w:rFonts w:hint="default" w:ascii="Times New Roman" w:hAnsi="Times New Roman" w:cs="Times New Roman"/>
                <w:b/>
                <w:szCs w:val="20"/>
                <w:lang w:val="en-US" w:eastAsia="zh-CN"/>
              </w:rPr>
              <w:t>8</w:t>
            </w:r>
            <w:r>
              <w:rPr>
                <w:rFonts w:hint="default" w:ascii="Times New Roman" w:hAnsi="Times New Roman" w:cs="Times New Roman"/>
                <w:b/>
                <w:szCs w:val="20"/>
              </w:rPr>
              <w:t xml:space="preserve">  大气环境保护目标</w:t>
            </w:r>
          </w:p>
          <w:tbl>
            <w:tblPr>
              <w:tblStyle w:val="24"/>
              <w:tblpPr w:leftFromText="180" w:rightFromText="180"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228"/>
              <w:gridCol w:w="803"/>
              <w:gridCol w:w="746"/>
              <w:gridCol w:w="1067"/>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48" w:type="pct"/>
                  <w:vAlign w:val="center"/>
                </w:tcPr>
                <w:p>
                  <w:pPr>
                    <w:topLinePunct/>
                    <w:jc w:val="center"/>
                    <w:textAlignment w:val="center"/>
                    <w:rPr>
                      <w:rFonts w:hint="default" w:ascii="Times New Roman" w:hAnsi="Times New Roman" w:cs="Times New Roman"/>
                      <w:b/>
                      <w:snapToGrid w:val="0"/>
                      <w:color w:val="000000"/>
                      <w:kern w:val="0"/>
                      <w:szCs w:val="21"/>
                    </w:rPr>
                  </w:pPr>
                  <w:r>
                    <w:rPr>
                      <w:rFonts w:hint="default" w:ascii="Times New Roman" w:hAnsi="Times New Roman" w:cs="Times New Roman"/>
                      <w:b/>
                      <w:snapToGrid w:val="0"/>
                      <w:color w:val="000000"/>
                      <w:kern w:val="0"/>
                      <w:szCs w:val="21"/>
                    </w:rPr>
                    <w:t>环境要素</w:t>
                  </w:r>
                </w:p>
              </w:tc>
              <w:tc>
                <w:tcPr>
                  <w:tcW w:w="732" w:type="pct"/>
                  <w:vAlign w:val="center"/>
                </w:tcPr>
                <w:p>
                  <w:pPr>
                    <w:topLinePunct/>
                    <w:jc w:val="center"/>
                    <w:textAlignment w:val="center"/>
                    <w:rPr>
                      <w:rFonts w:hint="default" w:ascii="Times New Roman" w:hAnsi="Times New Roman" w:cs="Times New Roman"/>
                      <w:b/>
                      <w:snapToGrid w:val="0"/>
                      <w:color w:val="000000"/>
                      <w:kern w:val="0"/>
                      <w:szCs w:val="21"/>
                    </w:rPr>
                  </w:pPr>
                  <w:r>
                    <w:rPr>
                      <w:rFonts w:hint="default" w:ascii="Times New Roman" w:hAnsi="Times New Roman" w:cs="Times New Roman"/>
                      <w:b/>
                      <w:snapToGrid w:val="0"/>
                      <w:color w:val="000000"/>
                      <w:kern w:val="0"/>
                      <w:szCs w:val="21"/>
                    </w:rPr>
                    <w:t>保护目标</w:t>
                  </w:r>
                </w:p>
              </w:tc>
              <w:tc>
                <w:tcPr>
                  <w:tcW w:w="479" w:type="pct"/>
                  <w:vAlign w:val="center"/>
                </w:tcPr>
                <w:p>
                  <w:pPr>
                    <w:topLinePunct/>
                    <w:jc w:val="center"/>
                    <w:textAlignment w:val="center"/>
                    <w:rPr>
                      <w:rFonts w:hint="default" w:ascii="Times New Roman" w:hAnsi="Times New Roman" w:cs="Times New Roman"/>
                      <w:b/>
                      <w:snapToGrid w:val="0"/>
                      <w:color w:val="000000"/>
                      <w:kern w:val="0"/>
                      <w:szCs w:val="21"/>
                    </w:rPr>
                  </w:pPr>
                  <w:r>
                    <w:rPr>
                      <w:rFonts w:hint="default" w:ascii="Times New Roman" w:hAnsi="Times New Roman" w:cs="Times New Roman"/>
                      <w:b/>
                      <w:snapToGrid w:val="0"/>
                      <w:color w:val="000000"/>
                      <w:kern w:val="0"/>
                      <w:szCs w:val="21"/>
                    </w:rPr>
                    <w:t>功能</w:t>
                  </w:r>
                </w:p>
              </w:tc>
              <w:tc>
                <w:tcPr>
                  <w:tcW w:w="445" w:type="pct"/>
                  <w:vAlign w:val="center"/>
                </w:tcPr>
                <w:p>
                  <w:pPr>
                    <w:topLinePunct/>
                    <w:jc w:val="center"/>
                    <w:textAlignment w:val="center"/>
                    <w:rPr>
                      <w:rFonts w:hint="default" w:ascii="Times New Roman" w:hAnsi="Times New Roman" w:cs="Times New Roman"/>
                      <w:b/>
                      <w:snapToGrid w:val="0"/>
                      <w:color w:val="000000"/>
                      <w:kern w:val="0"/>
                      <w:szCs w:val="21"/>
                    </w:rPr>
                  </w:pPr>
                  <w:r>
                    <w:rPr>
                      <w:rFonts w:hint="default" w:ascii="Times New Roman" w:hAnsi="Times New Roman" w:cs="Times New Roman"/>
                      <w:b/>
                      <w:snapToGrid w:val="0"/>
                      <w:color w:val="000000"/>
                      <w:kern w:val="0"/>
                      <w:szCs w:val="21"/>
                    </w:rPr>
                    <w:t>方向</w:t>
                  </w:r>
                </w:p>
              </w:tc>
              <w:tc>
                <w:tcPr>
                  <w:tcW w:w="636" w:type="pct"/>
                  <w:vAlign w:val="center"/>
                </w:tcPr>
                <w:p>
                  <w:pPr>
                    <w:topLinePunct/>
                    <w:jc w:val="center"/>
                    <w:textAlignment w:val="center"/>
                    <w:rPr>
                      <w:rFonts w:hint="default" w:ascii="Times New Roman" w:hAnsi="Times New Roman" w:eastAsia="宋体" w:cs="Times New Roman"/>
                      <w:b/>
                      <w:snapToGrid w:val="0"/>
                      <w:color w:val="000000"/>
                      <w:kern w:val="0"/>
                      <w:szCs w:val="21"/>
                    </w:rPr>
                  </w:pPr>
                  <w:r>
                    <w:rPr>
                      <w:rFonts w:hint="default" w:ascii="Times New Roman" w:hAnsi="Times New Roman" w:cs="Times New Roman"/>
                      <w:b/>
                      <w:snapToGrid w:val="0"/>
                      <w:color w:val="000000"/>
                      <w:kern w:val="0"/>
                      <w:szCs w:val="21"/>
                    </w:rPr>
                    <w:t>距离（m）</w:t>
                  </w:r>
                </w:p>
              </w:tc>
              <w:tc>
                <w:tcPr>
                  <w:tcW w:w="2058" w:type="pct"/>
                  <w:vAlign w:val="center"/>
                </w:tcPr>
                <w:p>
                  <w:pPr>
                    <w:topLinePunct/>
                    <w:jc w:val="center"/>
                    <w:textAlignment w:val="center"/>
                    <w:rPr>
                      <w:rFonts w:hint="default" w:ascii="Times New Roman" w:hAnsi="Times New Roman" w:cs="Times New Roman"/>
                      <w:b/>
                      <w:snapToGrid w:val="0"/>
                      <w:color w:val="000000"/>
                      <w:kern w:val="0"/>
                      <w:szCs w:val="21"/>
                    </w:rPr>
                  </w:pPr>
                  <w:r>
                    <w:rPr>
                      <w:rFonts w:hint="default" w:ascii="Times New Roman" w:hAnsi="Times New Roman" w:cs="Times New Roman"/>
                      <w:b/>
                      <w:snapToGrid w:val="0"/>
                      <w:color w:val="000000"/>
                      <w:kern w:val="0"/>
                      <w:szCs w:val="21"/>
                    </w:rPr>
                    <w:t>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648" w:type="pct"/>
                  <w:vMerge w:val="restart"/>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大气环境</w:t>
                  </w:r>
                </w:p>
              </w:tc>
              <w:tc>
                <w:tcPr>
                  <w:tcW w:w="732" w:type="pct"/>
                  <w:vAlign w:val="center"/>
                </w:tcPr>
                <w:p>
                  <w:pPr>
                    <w:bidi w:val="0"/>
                    <w:jc w:val="center"/>
                    <w:rPr>
                      <w:rFonts w:hint="default" w:ascii="Times New Roman" w:hAnsi="Times New Roman" w:cs="Times New Roman"/>
                    </w:rPr>
                  </w:pPr>
                  <w:r>
                    <w:rPr>
                      <w:rFonts w:hint="default" w:ascii="Times New Roman" w:hAnsi="Times New Roman" w:cs="Times New Roman"/>
                      <w:lang w:val="en-US" w:eastAsia="zh-CN"/>
                    </w:rPr>
                    <w:t>司家窝铺</w:t>
                  </w:r>
                </w:p>
              </w:tc>
              <w:tc>
                <w:tcPr>
                  <w:tcW w:w="479"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napToGrid w:val="0"/>
                      <w:color w:val="000000"/>
                      <w:kern w:val="0"/>
                      <w:sz w:val="21"/>
                      <w:szCs w:val="21"/>
                    </w:rPr>
                    <w:t>居住</w:t>
                  </w:r>
                </w:p>
              </w:tc>
              <w:tc>
                <w:tcPr>
                  <w:tcW w:w="445"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w:t>
                  </w:r>
                </w:p>
              </w:tc>
              <w:tc>
                <w:tcPr>
                  <w:tcW w:w="636"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18</w:t>
                  </w:r>
                </w:p>
              </w:tc>
              <w:tc>
                <w:tcPr>
                  <w:tcW w:w="2058" w:type="pct"/>
                  <w:vMerge w:val="restart"/>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《大气环境质量标准》(GB3095-2012)二级标准</w:t>
                  </w:r>
                  <w:r>
                    <w:rPr>
                      <w:rFonts w:hint="default" w:ascii="Times New Roman" w:hAnsi="Times New Roman" w:eastAsia="宋体" w:cs="Times New Roman"/>
                      <w:sz w:val="21"/>
                      <w:szCs w:val="21"/>
                      <w:lang w:val="en-US" w:eastAsia="zh-CN"/>
                    </w:rPr>
                    <w:t>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648" w:type="pct"/>
                  <w:vMerge w:val="continue"/>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napToGrid w:val="0"/>
                      <w:color w:val="000000"/>
                      <w:kern w:val="0"/>
                      <w:sz w:val="21"/>
                      <w:szCs w:val="21"/>
                    </w:rPr>
                  </w:pPr>
                </w:p>
              </w:tc>
              <w:tc>
                <w:tcPr>
                  <w:tcW w:w="732" w:type="pct"/>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燕格柏沟门</w:t>
                  </w:r>
                </w:p>
              </w:tc>
              <w:tc>
                <w:tcPr>
                  <w:tcW w:w="479"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居住</w:t>
                  </w:r>
                </w:p>
              </w:tc>
              <w:tc>
                <w:tcPr>
                  <w:tcW w:w="445"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西南</w:t>
                  </w:r>
                </w:p>
              </w:tc>
              <w:tc>
                <w:tcPr>
                  <w:tcW w:w="636"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410</w:t>
                  </w:r>
                </w:p>
              </w:tc>
              <w:tc>
                <w:tcPr>
                  <w:tcW w:w="2058" w:type="pct"/>
                  <w:vMerge w:val="continue"/>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648" w:type="pct"/>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lang w:val="en-US" w:eastAsia="zh-CN"/>
                    </w:rPr>
                    <w:t>声环境</w:t>
                  </w:r>
                </w:p>
              </w:tc>
              <w:tc>
                <w:tcPr>
                  <w:tcW w:w="732" w:type="pct"/>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司家窝铺</w:t>
                  </w:r>
                </w:p>
              </w:tc>
              <w:tc>
                <w:tcPr>
                  <w:tcW w:w="479"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rPr>
                    <w:t>居住</w:t>
                  </w:r>
                </w:p>
              </w:tc>
              <w:tc>
                <w:tcPr>
                  <w:tcW w:w="445"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东</w:t>
                  </w:r>
                </w:p>
              </w:tc>
              <w:tc>
                <w:tcPr>
                  <w:tcW w:w="636"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18</w:t>
                  </w:r>
                </w:p>
              </w:tc>
              <w:tc>
                <w:tcPr>
                  <w:tcW w:w="2058" w:type="pct"/>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声环境执行《声环境质量标准》（GB3096-2008）2类区标准</w:t>
                  </w:r>
                </w:p>
              </w:tc>
            </w:tr>
          </w:tbl>
          <w:p>
            <w:pPr>
              <w:widowControl/>
              <w:adjustRightInd w:val="0"/>
              <w:snapToGrid w:val="0"/>
              <w:spacing w:line="360" w:lineRule="auto"/>
              <w:rPr>
                <w:rFonts w:hint="default" w:ascii="Times New Roman" w:hAnsi="Times New Roman" w:cs="Times New Roman"/>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09" w:hRule="atLeast"/>
          <w:jc w:val="center"/>
        </w:trPr>
        <w:tc>
          <w:tcPr>
            <w:tcW w:w="280" w:type="pct"/>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污染</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物排</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放控</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制标</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准</w:t>
            </w:r>
          </w:p>
        </w:tc>
        <w:tc>
          <w:tcPr>
            <w:tcW w:w="4719" w:type="pct"/>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numPr>
                <w:ilvl w:val="0"/>
                <w:numId w:val="8"/>
              </w:numPr>
              <w:kinsoku/>
              <w:wordWrap/>
              <w:overflowPunct/>
              <w:topLinePunct w:val="0"/>
              <w:autoSpaceDE/>
              <w:autoSpaceDN/>
              <w:bidi w:val="0"/>
              <w:adjustRightInd w:val="0"/>
              <w:snapToGrid w:val="0"/>
              <w:spacing w:before="157" w:beforeLines="50" w:line="360" w:lineRule="auto"/>
              <w:ind w:firstLine="482" w:firstLineChars="200"/>
              <w:textAlignment w:val="auto"/>
              <w:outlineLvl w:val="0"/>
              <w:rPr>
                <w:rFonts w:hint="default" w:ascii="Times New Roman" w:hAnsi="Times New Roman" w:cs="Times New Roman"/>
                <w:b/>
                <w:sz w:val="24"/>
              </w:rPr>
            </w:pPr>
            <w:r>
              <w:rPr>
                <w:rFonts w:hint="default" w:ascii="Times New Roman" w:hAnsi="Times New Roman" w:cs="Times New Roman"/>
                <w:b/>
                <w:sz w:val="24"/>
              </w:rPr>
              <w:t>大气污染物排放标准</w:t>
            </w:r>
          </w:p>
          <w:p>
            <w:pPr>
              <w:adjustRightInd w:val="0"/>
              <w:snapToGrid w:val="0"/>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kern w:val="0"/>
                <w:sz w:val="24"/>
              </w:rPr>
              <w:t>施工期</w:t>
            </w:r>
            <w:r>
              <w:rPr>
                <w:rFonts w:hint="default" w:ascii="Times New Roman" w:hAnsi="Times New Roman" w:cs="Times New Roman"/>
                <w:sz w:val="24"/>
              </w:rPr>
              <w:t>大气污染物中PM</w:t>
            </w:r>
            <w:r>
              <w:rPr>
                <w:rFonts w:hint="default" w:ascii="Times New Roman" w:hAnsi="Times New Roman" w:cs="Times New Roman"/>
                <w:sz w:val="24"/>
                <w:vertAlign w:val="subscript"/>
              </w:rPr>
              <w:t>10</w:t>
            </w:r>
            <w:r>
              <w:rPr>
                <w:rFonts w:hint="default" w:ascii="Times New Roman" w:hAnsi="Times New Roman" w:cs="Times New Roman"/>
                <w:sz w:val="24"/>
              </w:rPr>
              <w:t>执行《施工场地扬尘排放标准》(DB13/2934-2019)表1中的扬尘排放浓度限值</w:t>
            </w:r>
            <w:r>
              <w:rPr>
                <w:rFonts w:hint="default" w:ascii="Times New Roman" w:hAnsi="Times New Roman" w:cs="Times New Roman"/>
                <w:kern w:val="0"/>
                <w:sz w:val="24"/>
              </w:rPr>
              <w:t>；</w:t>
            </w:r>
            <w:r>
              <w:rPr>
                <w:rFonts w:hint="default" w:ascii="Times New Roman" w:hAnsi="Times New Roman" w:cs="Times New Roman"/>
                <w:color w:val="auto"/>
                <w:kern w:val="0"/>
                <w:sz w:val="24"/>
              </w:rPr>
              <w:t>运营期</w:t>
            </w:r>
            <w:r>
              <w:rPr>
                <w:rFonts w:hint="default" w:ascii="Times New Roman" w:hAnsi="Times New Roman" w:cs="Times New Roman"/>
                <w:color w:val="auto"/>
                <w:kern w:val="0"/>
                <w:sz w:val="24"/>
                <w:lang w:val="en-US" w:eastAsia="zh-CN"/>
              </w:rPr>
              <w:t>40t/h循环流化床燃煤锅炉排放的</w:t>
            </w:r>
            <w:r>
              <w:rPr>
                <w:rFonts w:hint="default" w:ascii="Times New Roman" w:hAnsi="Times New Roman" w:eastAsia="宋体" w:cs="Times New Roman"/>
                <w:color w:val="auto"/>
                <w:kern w:val="0"/>
                <w:sz w:val="24"/>
              </w:rPr>
              <w:t>废气中</w:t>
            </w:r>
            <w:r>
              <w:rPr>
                <w:rFonts w:hint="default" w:ascii="Times New Roman" w:hAnsi="Times New Roman" w:cs="Times New Roman" w:eastAsiaTheme="minorEastAsia"/>
                <w:color w:val="auto"/>
                <w:kern w:val="0"/>
                <w:sz w:val="24"/>
                <w:szCs w:val="20"/>
              </w:rPr>
              <w:t>颗粒物、</w:t>
            </w:r>
            <w:r>
              <w:rPr>
                <w:rFonts w:hint="default" w:ascii="Times New Roman" w:hAnsi="Times New Roman" w:cs="Times New Roman" w:eastAsiaTheme="minorEastAsia"/>
                <w:color w:val="auto"/>
                <w:kern w:val="0"/>
                <w:sz w:val="24"/>
                <w:szCs w:val="20"/>
                <w:lang w:val="en-US" w:eastAsia="zh-CN"/>
              </w:rPr>
              <w:t>汞及其化合物（以Hg计）</w:t>
            </w:r>
            <w:r>
              <w:rPr>
                <w:rFonts w:hint="default" w:ascii="Times New Roman" w:hAnsi="Times New Roman" w:cs="Times New Roman" w:eastAsiaTheme="minorEastAsia"/>
                <w:color w:val="auto"/>
                <w:kern w:val="0"/>
                <w:sz w:val="24"/>
                <w:szCs w:val="20"/>
                <w:lang w:eastAsia="zh-CN"/>
              </w:rPr>
              <w:t>、</w:t>
            </w:r>
            <w:r>
              <w:rPr>
                <w:rFonts w:hint="default" w:ascii="Times New Roman" w:hAnsi="Times New Roman" w:cs="Times New Roman" w:eastAsiaTheme="minorEastAsia"/>
                <w:color w:val="auto"/>
                <w:kern w:val="0"/>
                <w:sz w:val="24"/>
                <w:szCs w:val="20"/>
              </w:rPr>
              <w:t>SO</w:t>
            </w:r>
            <w:r>
              <w:rPr>
                <w:rFonts w:hint="default" w:ascii="Times New Roman" w:hAnsi="Times New Roman" w:cs="Times New Roman" w:eastAsiaTheme="minorEastAsia"/>
                <w:color w:val="auto"/>
                <w:kern w:val="0"/>
                <w:sz w:val="24"/>
                <w:szCs w:val="20"/>
                <w:vertAlign w:val="subscript"/>
              </w:rPr>
              <w:t>2</w:t>
            </w:r>
            <w:r>
              <w:rPr>
                <w:rFonts w:hint="default" w:ascii="Times New Roman" w:hAnsi="Times New Roman" w:cs="Times New Roman" w:eastAsiaTheme="minorEastAsia"/>
                <w:color w:val="auto"/>
                <w:kern w:val="0"/>
                <w:sz w:val="24"/>
                <w:szCs w:val="20"/>
              </w:rPr>
              <w:t>、NO</w:t>
            </w:r>
            <w:r>
              <w:rPr>
                <w:rFonts w:hint="default" w:ascii="Times New Roman" w:hAnsi="Times New Roman" w:cs="Times New Roman" w:eastAsiaTheme="minorEastAsia"/>
                <w:color w:val="auto"/>
                <w:kern w:val="0"/>
                <w:sz w:val="24"/>
                <w:szCs w:val="20"/>
                <w:vertAlign w:val="subscript"/>
              </w:rPr>
              <w:t>X</w:t>
            </w:r>
            <w:r>
              <w:rPr>
                <w:rFonts w:hint="default" w:ascii="Times New Roman" w:hAnsi="Times New Roman" w:eastAsia="宋体" w:cs="Times New Roman"/>
                <w:color w:val="auto"/>
                <w:kern w:val="0"/>
                <w:sz w:val="24"/>
              </w:rPr>
              <w:t>执行</w:t>
            </w:r>
            <w:r>
              <w:rPr>
                <w:rFonts w:hint="default" w:ascii="Times New Roman" w:hAnsi="Times New Roman" w:eastAsia="宋体" w:cs="Times New Roman"/>
                <w:color w:val="auto"/>
                <w:kern w:val="0"/>
                <w:sz w:val="24"/>
                <w:lang w:val="en-US" w:eastAsia="zh-CN"/>
              </w:rPr>
              <w:t>《锅炉大气污染物排放标准》（DB 13/ 5161—2020）中表1大气污染物排放限值的要求；</w:t>
            </w:r>
            <w:r>
              <w:rPr>
                <w:rFonts w:hint="default" w:ascii="Times New Roman" w:hAnsi="Times New Roman" w:eastAsia="宋体" w:cs="Times New Roman"/>
                <w:kern w:val="0"/>
                <w:sz w:val="24"/>
                <w:lang w:val="en-US" w:eastAsia="zh-CN"/>
              </w:rPr>
              <w:t>40t/h循环流化床燃煤锅炉锅炉制煤系统上料、破碎废气中的颗粒物</w:t>
            </w:r>
            <w:r>
              <w:rPr>
                <w:rFonts w:hint="default" w:ascii="Times New Roman" w:hAnsi="Times New Roman" w:eastAsia="宋体" w:cs="Times New Roman"/>
                <w:kern w:val="0"/>
                <w:sz w:val="24"/>
              </w:rPr>
              <w:t>执行《大气污染物综合排放标准》（GB16297-1996）表2</w:t>
            </w:r>
            <w:r>
              <w:rPr>
                <w:rFonts w:hint="default" w:ascii="Times New Roman" w:hAnsi="Times New Roman" w:eastAsia="宋体" w:cs="Times New Roman"/>
                <w:kern w:val="0"/>
                <w:sz w:val="24"/>
                <w:lang w:val="en-US" w:eastAsia="zh-CN"/>
              </w:rPr>
              <w:t>中相关限值</w:t>
            </w:r>
            <w:r>
              <w:rPr>
                <w:rFonts w:hint="default" w:ascii="Times New Roman" w:hAnsi="Times New Roman" w:eastAsia="宋体" w:cs="Times New Roman"/>
                <w:kern w:val="0"/>
                <w:sz w:val="24"/>
              </w:rPr>
              <w:t>的要求</w:t>
            </w:r>
            <w:r>
              <w:rPr>
                <w:rFonts w:hint="default" w:ascii="Times New Roman" w:hAnsi="Times New Roman" w:eastAsia="宋体" w:cs="Times New Roman"/>
                <w:kern w:val="0"/>
                <w:sz w:val="24"/>
                <w:lang w:eastAsia="zh-CN"/>
              </w:rPr>
              <w:t>；</w:t>
            </w:r>
            <w:r>
              <w:rPr>
                <w:rFonts w:hint="default" w:ascii="Times New Roman" w:hAnsi="Times New Roman" w:eastAsia="宋体" w:cs="Times New Roman"/>
                <w:color w:val="auto"/>
                <w:kern w:val="0"/>
                <w:sz w:val="24"/>
                <w:lang w:val="en-US" w:eastAsia="zh-CN"/>
              </w:rPr>
              <w:t>20t/h生物质锅炉废气中颗粒物、SO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、NO</w:t>
            </w:r>
            <w:r>
              <w:rPr>
                <w:rFonts w:hint="default" w:ascii="Times New Roman" w:hAnsi="Times New Roman" w:eastAsia="宋体" w:cs="Times New Roman"/>
                <w:color w:val="auto"/>
                <w:kern w:val="0"/>
                <w:sz w:val="24"/>
                <w:vertAlign w:val="subscript"/>
                <w:lang w:val="en-US" w:eastAsia="zh-CN"/>
              </w:rPr>
              <w:t>X</w:t>
            </w:r>
            <w:r>
              <w:rPr>
                <w:rFonts w:hint="default" w:ascii="Times New Roman" w:hAnsi="Times New Roman" w:eastAsia="宋体" w:cs="Times New Roman"/>
                <w:color w:val="auto"/>
                <w:kern w:val="0"/>
                <w:sz w:val="24"/>
                <w:lang w:eastAsia="zh-CN"/>
              </w:rPr>
              <w:t>执行《锅炉大气污染物排放标准》(DB13/5161—2020)中表1大气污染物排放</w:t>
            </w:r>
            <w:r>
              <w:rPr>
                <w:rFonts w:hint="default" w:ascii="Times New Roman" w:hAnsi="Times New Roman" w:eastAsia="宋体" w:cs="Times New Roman"/>
                <w:color w:val="auto"/>
                <w:kern w:val="0"/>
                <w:sz w:val="24"/>
                <w:lang w:val="en-US" w:eastAsia="zh-CN"/>
              </w:rPr>
              <w:t>相关</w:t>
            </w:r>
            <w:r>
              <w:rPr>
                <w:rFonts w:hint="default" w:ascii="Times New Roman" w:hAnsi="Times New Roman" w:eastAsia="宋体" w:cs="Times New Roman"/>
                <w:color w:val="auto"/>
                <w:kern w:val="0"/>
                <w:sz w:val="24"/>
                <w:lang w:eastAsia="zh-CN"/>
              </w:rPr>
              <w:t>限值</w:t>
            </w:r>
            <w:r>
              <w:rPr>
                <w:rFonts w:hint="default" w:ascii="Times New Roman" w:hAnsi="Times New Roman" w:eastAsia="宋体" w:cs="Times New Roman"/>
                <w:color w:val="auto"/>
                <w:kern w:val="0"/>
                <w:sz w:val="24"/>
                <w:lang w:val="en-US" w:eastAsia="zh-CN"/>
              </w:rPr>
              <w:t>要求</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灰仓粉尘有组织排放执行《大气污染物综合排放标准》 （GB16297-1996）表2中相关限值的要求；</w:t>
            </w:r>
            <w:r>
              <w:rPr>
                <w:rFonts w:hint="default" w:ascii="Times New Roman" w:hAnsi="Times New Roman" w:eastAsia="宋体" w:cs="Times New Roman"/>
                <w:color w:val="auto"/>
                <w:kern w:val="0"/>
                <w:sz w:val="24"/>
                <w:lang w:eastAsia="zh-CN"/>
              </w:rPr>
              <w:t>破碎楼</w:t>
            </w:r>
            <w:r>
              <w:rPr>
                <w:rFonts w:hint="default" w:ascii="Times New Roman" w:hAnsi="Times New Roman" w:eastAsia="宋体" w:cs="Times New Roman"/>
                <w:kern w:val="0"/>
                <w:sz w:val="24"/>
                <w:lang w:val="en-US" w:eastAsia="zh-CN"/>
              </w:rPr>
              <w:t>制煤系统破碎废气、煤棚、渣库产生的无组织颗粒物执行《大气污染物综合排放标准》（GB16297-1996）表2中无组织排放监控限值</w:t>
            </w:r>
            <w:r>
              <w:rPr>
                <w:rFonts w:hint="default" w:ascii="Times New Roman" w:hAnsi="Times New Roman" w:eastAsia="宋体" w:cs="Times New Roman"/>
                <w:kern w:val="0"/>
                <w:sz w:val="24"/>
              </w:rPr>
              <w:t>。</w:t>
            </w:r>
            <w:r>
              <w:rPr>
                <w:rFonts w:hint="default" w:ascii="Times New Roman" w:hAnsi="Times New Roman" w:cs="Times New Roman"/>
                <w:sz w:val="24"/>
              </w:rPr>
              <w:t>具体标准限值详见下表：</w:t>
            </w:r>
          </w:p>
          <w:p>
            <w:pPr>
              <w:widowControl/>
              <w:adjustRightInd w:val="0"/>
              <w:snapToGrid w:val="0"/>
              <w:spacing w:line="360" w:lineRule="auto"/>
              <w:jc w:val="center"/>
              <w:rPr>
                <w:rFonts w:hint="default" w:ascii="Times New Roman" w:hAnsi="Times New Roman" w:cs="Times New Roman"/>
                <w:b/>
                <w:kern w:val="44"/>
                <w:szCs w:val="21"/>
              </w:rPr>
            </w:pPr>
            <w:r>
              <w:rPr>
                <w:rFonts w:hint="default" w:ascii="Times New Roman" w:hAnsi="Times New Roman" w:cs="Times New Roman"/>
                <w:b/>
                <w:kern w:val="44"/>
                <w:szCs w:val="21"/>
              </w:rPr>
              <w:t>表3-</w:t>
            </w:r>
            <w:r>
              <w:rPr>
                <w:rFonts w:hint="default" w:ascii="Times New Roman" w:hAnsi="Times New Roman" w:cs="Times New Roman"/>
                <w:b/>
                <w:kern w:val="44"/>
                <w:szCs w:val="21"/>
                <w:lang w:val="en-US" w:eastAsia="zh-CN"/>
              </w:rPr>
              <w:t>9</w:t>
            </w:r>
            <w:r>
              <w:rPr>
                <w:rFonts w:hint="default" w:ascii="Times New Roman" w:hAnsi="Times New Roman" w:cs="Times New Roman"/>
                <w:b/>
                <w:kern w:val="44"/>
                <w:szCs w:val="21"/>
              </w:rPr>
              <w:t xml:space="preserve">  大气污染物排放标准</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968"/>
              <w:gridCol w:w="1176"/>
              <w:gridCol w:w="802"/>
              <w:gridCol w:w="980"/>
              <w:gridCol w:w="1030"/>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4" w:type="pct"/>
                  <w:vAlign w:val="center"/>
                </w:tcPr>
                <w:p>
                  <w:pPr>
                    <w:topLinePunct/>
                    <w:adjustRightInd w:val="0"/>
                    <w:spacing w:line="0" w:lineRule="atLeast"/>
                    <w:jc w:val="center"/>
                    <w:textAlignment w:val="center"/>
                    <w:rPr>
                      <w:rFonts w:hint="default" w:ascii="Times New Roman" w:hAnsi="Times New Roman" w:eastAsia="宋体" w:cs="Times New Roman"/>
                      <w:b/>
                      <w:szCs w:val="21"/>
                    </w:rPr>
                  </w:pPr>
                  <w:r>
                    <w:rPr>
                      <w:rFonts w:hint="default" w:ascii="Times New Roman" w:hAnsi="Times New Roman" w:eastAsia="宋体" w:cs="Times New Roman"/>
                      <w:b/>
                      <w:szCs w:val="21"/>
                    </w:rPr>
                    <w:t>污染源类别</w:t>
                  </w:r>
                </w:p>
              </w:tc>
              <w:tc>
                <w:tcPr>
                  <w:tcW w:w="1173" w:type="pct"/>
                  <w:vAlign w:val="center"/>
                </w:tcPr>
                <w:p>
                  <w:pPr>
                    <w:wordWrap w:val="0"/>
                    <w:topLinePunct/>
                    <w:adjustRightInd w:val="0"/>
                    <w:spacing w:line="0" w:lineRule="atLeast"/>
                    <w:jc w:val="center"/>
                    <w:textAlignment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标准名称</w:t>
                  </w:r>
                </w:p>
              </w:tc>
              <w:tc>
                <w:tcPr>
                  <w:tcW w:w="701" w:type="pct"/>
                  <w:vAlign w:val="center"/>
                </w:tcPr>
                <w:p>
                  <w:pPr>
                    <w:wordWrap w:val="0"/>
                    <w:topLinePunct/>
                    <w:adjustRightInd w:val="0"/>
                    <w:spacing w:line="0" w:lineRule="atLeast"/>
                    <w:jc w:val="center"/>
                    <w:textAlignment w:val="center"/>
                    <w:rPr>
                      <w:rFonts w:hint="default" w:ascii="Times New Roman" w:hAnsi="Times New Roman" w:eastAsia="宋体" w:cs="Times New Roman"/>
                      <w:b/>
                      <w:szCs w:val="21"/>
                      <w:lang w:eastAsia="zh-CN"/>
                    </w:rPr>
                  </w:pPr>
                  <w:r>
                    <w:rPr>
                      <w:rFonts w:hint="default" w:ascii="Times New Roman" w:hAnsi="Times New Roman" w:eastAsia="宋体" w:cs="Times New Roman"/>
                      <w:b/>
                      <w:szCs w:val="21"/>
                      <w:lang w:eastAsia="zh-CN"/>
                    </w:rPr>
                    <w:t>排放类型</w:t>
                  </w:r>
                </w:p>
              </w:tc>
              <w:tc>
                <w:tcPr>
                  <w:tcW w:w="478" w:type="pct"/>
                  <w:vAlign w:val="center"/>
                </w:tcPr>
                <w:p>
                  <w:pPr>
                    <w:wordWrap w:val="0"/>
                    <w:topLinePunct/>
                    <w:adjustRightInd w:val="0"/>
                    <w:spacing w:line="0" w:lineRule="atLeast"/>
                    <w:jc w:val="center"/>
                    <w:textAlignment w:val="center"/>
                    <w:rPr>
                      <w:rFonts w:hint="default" w:ascii="Times New Roman" w:hAnsi="Times New Roman" w:eastAsia="宋体" w:cs="Times New Roman"/>
                      <w:b/>
                      <w:szCs w:val="21"/>
                    </w:rPr>
                  </w:pPr>
                  <w:r>
                    <w:rPr>
                      <w:rFonts w:hint="default" w:ascii="Times New Roman" w:hAnsi="Times New Roman" w:eastAsia="宋体" w:cs="Times New Roman"/>
                      <w:b/>
                      <w:szCs w:val="21"/>
                    </w:rPr>
                    <w:t>污染物</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b/>
                      <w:szCs w:val="21"/>
                    </w:rPr>
                  </w:pPr>
                  <w:r>
                    <w:rPr>
                      <w:rFonts w:hint="default" w:ascii="Times New Roman" w:hAnsi="Times New Roman" w:eastAsia="宋体" w:cs="Times New Roman"/>
                      <w:b/>
                      <w:szCs w:val="21"/>
                    </w:rPr>
                    <w:t>浓度限值</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b/>
                      <w:szCs w:val="21"/>
                    </w:rPr>
                  </w:pPr>
                  <w:r>
                    <w:rPr>
                      <w:rFonts w:hint="default" w:ascii="Times New Roman" w:hAnsi="Times New Roman" w:eastAsia="宋体" w:cs="Times New Roman"/>
                      <w:b/>
                      <w:szCs w:val="21"/>
                    </w:rPr>
                    <w:t>单位</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b/>
                      <w:szCs w:val="21"/>
                      <w:lang w:eastAsia="zh-CN"/>
                    </w:rPr>
                  </w:pPr>
                  <w:r>
                    <w:rPr>
                      <w:rFonts w:hint="default" w:ascii="Times New Roman" w:hAnsi="Times New Roman" w:eastAsia="宋体" w:cs="Times New Roman"/>
                      <w:b/>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64"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173"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cs="Times New Roman"/>
                      <w:szCs w:val="21"/>
                    </w:rPr>
                    <w:t>《施工场地扬尘排放标准》(DB13/2934-2019)</w:t>
                  </w:r>
                </w:p>
              </w:tc>
              <w:tc>
                <w:tcPr>
                  <w:tcW w:w="701" w:type="pct"/>
                  <w:vMerge w:val="restart"/>
                  <w:vAlign w:val="center"/>
                </w:tcPr>
                <w:p>
                  <w:pPr>
                    <w:topLinePunct/>
                    <w:adjustRightInd w:val="0"/>
                    <w:spacing w:line="0" w:lineRule="atLeast"/>
                    <w:jc w:val="center"/>
                    <w:textAlignment w:val="center"/>
                    <w:rPr>
                      <w:rFonts w:hint="default" w:ascii="Times New Roman" w:hAnsi="Times New Roman" w:cs="Times New Roman"/>
                      <w:szCs w:val="21"/>
                    </w:rPr>
                  </w:pPr>
                  <w:r>
                    <w:rPr>
                      <w:rFonts w:hint="default" w:ascii="Times New Roman" w:hAnsi="Times New Roman" w:cs="Times New Roman"/>
                      <w:szCs w:val="21"/>
                    </w:rPr>
                    <w:t>无组织排放</w:t>
                  </w:r>
                </w:p>
              </w:tc>
              <w:tc>
                <w:tcPr>
                  <w:tcW w:w="478"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10</w:t>
                  </w:r>
                  <w:r>
                    <w:rPr>
                      <w:rFonts w:hint="default" w:ascii="Times New Roman" w:hAnsi="Times New Roman" w:cs="Times New Roman"/>
                      <w:b/>
                      <w:bCs/>
                      <w:szCs w:val="21"/>
                    </w:rPr>
                    <w:t>*</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cs="Times New Roman"/>
                      <w:szCs w:val="21"/>
                    </w:rPr>
                    <w:t>80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cs="Times New Roman"/>
                      <w:szCs w:val="21"/>
                    </w:rPr>
                    <w:t>μg/m³</w:t>
                  </w:r>
                </w:p>
              </w:tc>
              <w:tc>
                <w:tcPr>
                  <w:tcW w:w="883" w:type="pct"/>
                  <w:vAlign w:val="center"/>
                </w:tcPr>
                <w:p>
                  <w:pPr>
                    <w:topLinePunct/>
                    <w:adjustRightInd w:val="0"/>
                    <w:spacing w:line="0" w:lineRule="atLeast"/>
                    <w:jc w:val="center"/>
                    <w:textAlignment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continue"/>
                  <w:vAlign w:val="center"/>
                </w:tcPr>
                <w:p>
                  <w:pPr>
                    <w:topLinePunct/>
                    <w:adjustRightInd w:val="0"/>
                    <w:spacing w:line="0" w:lineRule="atLeast"/>
                    <w:jc w:val="center"/>
                    <w:textAlignment w:val="center"/>
                    <w:rPr>
                      <w:rFonts w:hint="default" w:ascii="Times New Roman" w:hAnsi="Times New Roman" w:cs="Times New Roman"/>
                      <w:szCs w:val="21"/>
                    </w:rPr>
                  </w:pPr>
                </w:p>
              </w:tc>
              <w:tc>
                <w:tcPr>
                  <w:tcW w:w="701" w:type="pct"/>
                  <w:vMerge w:val="continue"/>
                  <w:vAlign w:val="center"/>
                </w:tcPr>
                <w:p>
                  <w:pPr>
                    <w:topLinePunct/>
                    <w:adjustRightInd w:val="0"/>
                    <w:spacing w:line="0" w:lineRule="atLeast"/>
                    <w:jc w:val="center"/>
                    <w:textAlignment w:val="center"/>
                    <w:rPr>
                      <w:rFonts w:hint="default" w:ascii="Times New Roman" w:hAnsi="Times New Roman" w:cs="Times New Roman"/>
                      <w:szCs w:val="21"/>
                    </w:rPr>
                  </w:pPr>
                </w:p>
              </w:tc>
              <w:tc>
                <w:tcPr>
                  <w:tcW w:w="478" w:type="pct"/>
                  <w:vMerge w:val="continue"/>
                  <w:vAlign w:val="center"/>
                </w:tcPr>
                <w:p>
                  <w:pPr>
                    <w:topLinePunct/>
                    <w:adjustRightInd w:val="0"/>
                    <w:spacing w:line="0" w:lineRule="atLeast"/>
                    <w:jc w:val="center"/>
                    <w:textAlignment w:val="center"/>
                    <w:rPr>
                      <w:rFonts w:hint="default" w:ascii="Times New Roman" w:hAnsi="Times New Roman" w:cs="Times New Roman"/>
                      <w:szCs w:val="21"/>
                    </w:rPr>
                  </w:pPr>
                </w:p>
              </w:tc>
              <w:tc>
                <w:tcPr>
                  <w:tcW w:w="584" w:type="pct"/>
                  <w:vAlign w:val="center"/>
                </w:tcPr>
                <w:p>
                  <w:pPr>
                    <w:topLinePunct/>
                    <w:adjustRightInd w:val="0"/>
                    <w:spacing w:line="0" w:lineRule="atLeast"/>
                    <w:jc w:val="center"/>
                    <w:textAlignment w:val="center"/>
                    <w:rPr>
                      <w:rFonts w:hint="default" w:ascii="Times New Roman" w:hAnsi="Times New Roman" w:cs="Times New Roman"/>
                      <w:szCs w:val="21"/>
                    </w:rPr>
                  </w:pPr>
                  <w:r>
                    <w:rPr>
                      <w:rFonts w:hint="default" w:ascii="Times New Roman" w:hAnsi="Times New Roman" w:cs="Times New Roman"/>
                      <w:szCs w:val="21"/>
                    </w:rPr>
                    <w:t>≤2</w:t>
                  </w:r>
                </w:p>
              </w:tc>
              <w:tc>
                <w:tcPr>
                  <w:tcW w:w="614" w:type="pct"/>
                  <w:vAlign w:val="center"/>
                </w:tcPr>
                <w:p>
                  <w:pPr>
                    <w:topLinePunct/>
                    <w:adjustRightInd w:val="0"/>
                    <w:spacing w:line="0" w:lineRule="atLeast"/>
                    <w:jc w:val="center"/>
                    <w:textAlignment w:val="center"/>
                    <w:rPr>
                      <w:rFonts w:hint="default" w:ascii="Times New Roman" w:hAnsi="Times New Roman" w:cs="Times New Roman"/>
                      <w:szCs w:val="21"/>
                    </w:rPr>
                  </w:pPr>
                  <w:r>
                    <w:rPr>
                      <w:rFonts w:hint="default" w:ascii="Times New Roman" w:hAnsi="Times New Roman" w:cs="Times New Roman"/>
                      <w:szCs w:val="21"/>
                    </w:rPr>
                    <w:t>次/天</w:t>
                  </w:r>
                </w:p>
              </w:tc>
              <w:tc>
                <w:tcPr>
                  <w:tcW w:w="883" w:type="pct"/>
                  <w:vAlign w:val="center"/>
                </w:tcPr>
                <w:p>
                  <w:pPr>
                    <w:topLinePunct/>
                    <w:adjustRightInd w:val="0"/>
                    <w:spacing w:line="0" w:lineRule="atLeast"/>
                    <w:jc w:val="center"/>
                    <w:textAlignment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《锅炉大气污染物排放标准》（DB 13/ 5161—2020）中表1大气污染物排放限值的要求</w:t>
                  </w:r>
                </w:p>
              </w:tc>
              <w:tc>
                <w:tcPr>
                  <w:tcW w:w="701" w:type="pct"/>
                  <w:vMerge w:val="restart"/>
                  <w:vAlign w:val="center"/>
                </w:tcPr>
                <w:p>
                  <w:pPr>
                    <w:topLinePunct/>
                    <w:adjustRightInd w:val="0"/>
                    <w:spacing w:line="260" w:lineRule="exac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有组织排放</w:t>
                  </w: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颗粒物</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SO</w:t>
                  </w:r>
                  <w:r>
                    <w:rPr>
                      <w:rFonts w:hint="default" w:ascii="Times New Roman" w:hAnsi="Times New Roman" w:eastAsia="宋体" w:cs="Times New Roman"/>
                      <w:kern w:val="0"/>
                      <w:szCs w:val="21"/>
                      <w:vertAlign w:val="subscript"/>
                    </w:rPr>
                    <w:t>2</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35</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NO</w:t>
                  </w:r>
                  <w:r>
                    <w:rPr>
                      <w:rFonts w:hint="default" w:ascii="Times New Roman" w:hAnsi="Times New Roman" w:eastAsia="宋体" w:cs="Times New Roman"/>
                      <w:kern w:val="0"/>
                      <w:szCs w:val="21"/>
                      <w:vertAlign w:val="subscript"/>
                    </w:rPr>
                    <w:t>x</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本项目为循环流化床锅炉，不属于层燃炉或抛煤机炉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 xml:space="preserve">汞及其化合物（以Hg计） </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0.03</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烟气黑度</w:t>
                  </w:r>
                </w:p>
              </w:tc>
              <w:tc>
                <w:tcPr>
                  <w:tcW w:w="1198" w:type="pct"/>
                  <w:gridSpan w:val="2"/>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b w:val="0"/>
                      <w:bCs/>
                      <w:sz w:val="21"/>
                      <w:szCs w:val="21"/>
                      <w:vertAlign w:val="baseline"/>
                      <w:lang w:val="en-US" w:eastAsia="zh-CN"/>
                    </w:rPr>
                    <w:t>≤1</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《大气污染物综合排放标准》（GB16297-1996）</w:t>
                  </w:r>
                </w:p>
              </w:tc>
              <w:tc>
                <w:tcPr>
                  <w:tcW w:w="701"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eastAsia="zh-CN"/>
                    </w:rPr>
                    <w:t>有组织排放</w:t>
                  </w: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颗粒物</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120</w:t>
                  </w:r>
                </w:p>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1.75</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vertAlign w:val="superscript"/>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kg/h</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排气筒高度未高出周围</w:t>
                  </w:r>
                  <w:r>
                    <w:rPr>
                      <w:rFonts w:hint="default" w:ascii="Times New Roman" w:hAnsi="Times New Roman" w:eastAsia="宋体" w:cs="Times New Roman"/>
                      <w:szCs w:val="21"/>
                      <w:lang w:val="en-US" w:eastAsia="zh-CN"/>
                    </w:rPr>
                    <w:t>200m半径范围的建筑物5m以上，按照其高度对应的列表排放速率标准值严格50%执行，因此速率为1.75kg/h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《锅炉大气污染物排放标准》(DB13/5161—2020)中表1大气污染物排放</w:t>
                  </w:r>
                  <w:r>
                    <w:rPr>
                      <w:rFonts w:hint="default" w:ascii="Times New Roman" w:hAnsi="Times New Roman" w:eastAsia="宋体" w:cs="Times New Roman"/>
                      <w:szCs w:val="21"/>
                      <w:lang w:val="en-US" w:eastAsia="zh-CN"/>
                    </w:rPr>
                    <w:t>相关</w:t>
                  </w:r>
                  <w:r>
                    <w:rPr>
                      <w:rFonts w:hint="default" w:ascii="Times New Roman" w:hAnsi="Times New Roman" w:eastAsia="宋体" w:cs="Times New Roman"/>
                      <w:szCs w:val="21"/>
                      <w:lang w:eastAsia="zh-CN"/>
                    </w:rPr>
                    <w:t>限值</w:t>
                  </w:r>
                  <w:r>
                    <w:rPr>
                      <w:rFonts w:hint="default" w:ascii="Times New Roman" w:hAnsi="Times New Roman" w:eastAsia="宋体" w:cs="Times New Roman"/>
                      <w:szCs w:val="21"/>
                      <w:lang w:val="en-US" w:eastAsia="zh-CN"/>
                    </w:rPr>
                    <w:t>要求</w:t>
                  </w:r>
                </w:p>
              </w:tc>
              <w:tc>
                <w:tcPr>
                  <w:tcW w:w="701" w:type="pct"/>
                  <w:vMerge w:val="restart"/>
                  <w:vAlign w:val="center"/>
                </w:tcPr>
                <w:p>
                  <w:pPr>
                    <w:topLinePunct/>
                    <w:adjustRightInd w:val="0"/>
                    <w:spacing w:line="260" w:lineRule="exact"/>
                    <w:jc w:val="center"/>
                    <w:textAlignment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eastAsia="zh-CN"/>
                    </w:rPr>
                    <w:t>有组织排放</w:t>
                  </w: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颗粒物</w:t>
                  </w:r>
                </w:p>
              </w:tc>
              <w:tc>
                <w:tcPr>
                  <w:tcW w:w="584" w:type="pct"/>
                  <w:vAlign w:val="center"/>
                </w:tcPr>
                <w:p>
                  <w:pPr>
                    <w:topLinePunct/>
                    <w:adjustRightIn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生物质锅炉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64"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1173"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rPr>
                    <w:t>SO</w:t>
                  </w:r>
                  <w:r>
                    <w:rPr>
                      <w:rFonts w:hint="default" w:ascii="Times New Roman" w:hAnsi="Times New Roman" w:eastAsia="宋体" w:cs="Times New Roman"/>
                      <w:kern w:val="0"/>
                      <w:szCs w:val="21"/>
                      <w:vertAlign w:val="subscript"/>
                    </w:rPr>
                    <w:t>2</w:t>
                  </w:r>
                </w:p>
              </w:tc>
              <w:tc>
                <w:tcPr>
                  <w:tcW w:w="584" w:type="pct"/>
                  <w:vAlign w:val="center"/>
                </w:tcPr>
                <w:p>
                  <w:pPr>
                    <w:topLinePunct/>
                    <w:adjustRightIn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64"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1173"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rPr>
                    <w:t>NO</w:t>
                  </w:r>
                  <w:r>
                    <w:rPr>
                      <w:rFonts w:hint="default" w:ascii="Times New Roman" w:hAnsi="Times New Roman" w:eastAsia="宋体" w:cs="Times New Roman"/>
                      <w:kern w:val="0"/>
                      <w:szCs w:val="21"/>
                      <w:vertAlign w:val="subscript"/>
                    </w:rPr>
                    <w:t>x</w:t>
                  </w:r>
                </w:p>
              </w:tc>
              <w:tc>
                <w:tcPr>
                  <w:tcW w:w="584" w:type="pct"/>
                  <w:vAlign w:val="center"/>
                </w:tcPr>
                <w:p>
                  <w:pPr>
                    <w:topLinePunct/>
                    <w:adjustRightIn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64"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1173"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烟气黑度</w:t>
                  </w:r>
                </w:p>
              </w:tc>
              <w:tc>
                <w:tcPr>
                  <w:tcW w:w="1198" w:type="pct"/>
                  <w:gridSpan w:val="2"/>
                  <w:vAlign w:val="center"/>
                </w:tcPr>
                <w:p>
                  <w:pPr>
                    <w:topLinePunct/>
                    <w:adjustRightInd w:val="0"/>
                    <w:spacing w:line="0" w:lineRule="atLeas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 w:val="21"/>
                      <w:szCs w:val="21"/>
                      <w:vertAlign w:val="baseline"/>
                      <w:lang w:val="en-US" w:eastAsia="zh-CN"/>
                    </w:rPr>
                    <w:t>≤1</w:t>
                  </w:r>
                </w:p>
              </w:tc>
              <w:tc>
                <w:tcPr>
                  <w:tcW w:w="883"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《大气污染物综合排放标准》（GB16297-1996）</w:t>
                  </w:r>
                </w:p>
              </w:tc>
              <w:tc>
                <w:tcPr>
                  <w:tcW w:w="701"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无组织排放</w:t>
                  </w: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eastAsia="zh-CN"/>
                    </w:rPr>
                    <w:t>无组织粉尘</w:t>
                  </w:r>
                </w:p>
              </w:tc>
              <w:tc>
                <w:tcPr>
                  <w:tcW w:w="58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kern w:val="2"/>
                      <w:sz w:val="21"/>
                      <w:szCs w:val="21"/>
                      <w:lang w:val="en-US" w:eastAsia="zh-CN" w:bidi="ar-SA"/>
                    </w:rPr>
                  </w:pPr>
                  <w:r>
                    <w:rPr>
                      <w:rFonts w:hint="default" w:ascii="Times New Roman" w:hAnsi="Times New Roman" w:cs="Times New Roman"/>
                      <w:b w:val="0"/>
                      <w:bCs/>
                      <w:color w:val="auto"/>
                      <w:spacing w:val="-2"/>
                      <w:sz w:val="21"/>
                      <w:szCs w:val="21"/>
                      <w:lang w:val="en-US" w:eastAsia="zh-CN"/>
                    </w:rPr>
                    <w:t>1.0</w:t>
                  </w:r>
                </w:p>
              </w:tc>
              <w:tc>
                <w:tcPr>
                  <w:tcW w:w="6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r>
          </w:tbl>
          <w:p>
            <w:pPr>
              <w:adjustRightInd w:val="0"/>
              <w:snapToGrid w:val="0"/>
              <w:ind w:firstLine="402" w:firstLineChars="200"/>
              <w:jc w:val="left"/>
              <w:rPr>
                <w:rFonts w:hint="default" w:ascii="Times New Roman" w:hAnsi="Times New Roman" w:cs="Times New Roman"/>
                <w:sz w:val="24"/>
              </w:rPr>
            </w:pPr>
            <w:r>
              <w:rPr>
                <w:rFonts w:hint="default" w:ascii="Times New Roman" w:hAnsi="Times New Roman" w:cs="Times New Roman"/>
                <w:b/>
                <w:kern w:val="44"/>
                <w:sz w:val="20"/>
                <w:szCs w:val="21"/>
              </w:rPr>
              <w:t>备注：PM</w:t>
            </w:r>
            <w:r>
              <w:rPr>
                <w:rFonts w:hint="default" w:ascii="Times New Roman" w:hAnsi="Times New Roman" w:cs="Times New Roman"/>
                <w:b/>
                <w:kern w:val="44"/>
                <w:sz w:val="20"/>
                <w:szCs w:val="21"/>
                <w:vertAlign w:val="subscript"/>
              </w:rPr>
              <w:t>10</w:t>
            </w:r>
            <w:r>
              <w:rPr>
                <w:rFonts w:hint="default" w:ascii="Times New Roman" w:hAnsi="Times New Roman" w:cs="Times New Roman"/>
                <w:b/>
                <w:kern w:val="44"/>
                <w:sz w:val="20"/>
                <w:szCs w:val="21"/>
              </w:rPr>
              <w:t>排放</w:t>
            </w:r>
            <w:r>
              <w:rPr>
                <w:rFonts w:hint="default" w:ascii="Times New Roman" w:hAnsi="Times New Roman" w:cs="Times New Roman"/>
                <w:b/>
                <w:szCs w:val="21"/>
              </w:rPr>
              <w:t>标准为</w:t>
            </w:r>
            <w:r>
              <w:rPr>
                <w:rFonts w:hint="default" w:ascii="Times New Roman" w:hAnsi="Times New Roman" w:cs="Times New Roman"/>
                <w:b/>
                <w:kern w:val="44"/>
                <w:sz w:val="20"/>
                <w:szCs w:val="21"/>
              </w:rPr>
              <w:t>监测点浓度限值，指监测点PM</w:t>
            </w:r>
            <w:r>
              <w:rPr>
                <w:rFonts w:hint="default" w:ascii="Times New Roman" w:hAnsi="Times New Roman" w:cs="Times New Roman"/>
                <w:b/>
                <w:kern w:val="44"/>
                <w:sz w:val="20"/>
                <w:szCs w:val="21"/>
                <w:vertAlign w:val="subscript"/>
              </w:rPr>
              <w:t>10</w:t>
            </w:r>
            <w:r>
              <w:rPr>
                <w:rFonts w:hint="default" w:ascii="Times New Roman" w:hAnsi="Times New Roman" w:cs="Times New Roman"/>
                <w:b/>
                <w:kern w:val="44"/>
                <w:sz w:val="20"/>
                <w:szCs w:val="21"/>
              </w:rPr>
              <w:t>小时平均浓度实测值与同时段所属县（市、区）PM</w:t>
            </w:r>
            <w:r>
              <w:rPr>
                <w:rFonts w:hint="default" w:ascii="Times New Roman" w:hAnsi="Times New Roman" w:cs="Times New Roman"/>
                <w:b/>
                <w:kern w:val="44"/>
                <w:sz w:val="20"/>
                <w:szCs w:val="21"/>
                <w:vertAlign w:val="subscript"/>
              </w:rPr>
              <w:t>10</w:t>
            </w:r>
            <w:r>
              <w:rPr>
                <w:rFonts w:hint="default" w:ascii="Times New Roman" w:hAnsi="Times New Roman" w:cs="Times New Roman"/>
                <w:b/>
                <w:kern w:val="44"/>
                <w:sz w:val="20"/>
                <w:szCs w:val="21"/>
              </w:rPr>
              <w:t>小时平均浓度的差值。当县（市、区）PM</w:t>
            </w:r>
            <w:r>
              <w:rPr>
                <w:rFonts w:hint="default" w:ascii="Times New Roman" w:hAnsi="Times New Roman" w:cs="Times New Roman"/>
                <w:b/>
                <w:kern w:val="44"/>
                <w:sz w:val="20"/>
                <w:szCs w:val="21"/>
                <w:vertAlign w:val="subscript"/>
              </w:rPr>
              <w:t>10</w:t>
            </w:r>
            <w:r>
              <w:rPr>
                <w:rFonts w:hint="default" w:ascii="Times New Roman" w:hAnsi="Times New Roman" w:cs="Times New Roman"/>
                <w:b/>
                <w:kern w:val="44"/>
                <w:sz w:val="20"/>
                <w:szCs w:val="21"/>
              </w:rPr>
              <w:t>小时平均浓度值大于150μg/m³时，以150μg/m³计。</w:t>
            </w:r>
          </w:p>
          <w:p>
            <w:pPr>
              <w:numPr>
                <w:ilvl w:val="0"/>
                <w:numId w:val="0"/>
              </w:numPr>
              <w:adjustRightInd w:val="0"/>
              <w:snapToGrid w:val="0"/>
              <w:spacing w:before="156" w:beforeLines="50" w:line="360" w:lineRule="auto"/>
              <w:ind w:leftChars="200"/>
              <w:outlineLvl w:val="0"/>
              <w:rPr>
                <w:rFonts w:hint="default" w:ascii="Times New Roman" w:hAnsi="Times New Roman" w:cs="Times New Roman"/>
              </w:rPr>
            </w:pPr>
            <w:r>
              <w:rPr>
                <w:rFonts w:hint="default" w:ascii="Times New Roman" w:hAnsi="Times New Roman" w:cs="Times New Roman"/>
                <w:b/>
                <w:sz w:val="24"/>
                <w:lang w:val="en-US" w:eastAsia="zh-CN"/>
              </w:rPr>
              <w:t>2、</w:t>
            </w:r>
            <w:r>
              <w:rPr>
                <w:rFonts w:hint="default" w:ascii="Times New Roman" w:hAnsi="Times New Roman" w:cs="Times New Roman"/>
                <w:b/>
                <w:sz w:val="24"/>
              </w:rPr>
              <w:t>噪声排放标准</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sz w:val="24"/>
              </w:rPr>
              <w:t>施工噪声执行《建筑施工场界环境噪声排放标准》（GB12523-2011）标准，</w:t>
            </w:r>
            <w:r>
              <w:rPr>
                <w:rFonts w:hint="default" w:ascii="Times New Roman" w:hAnsi="Times New Roman" w:cs="Times New Roman"/>
                <w:color w:val="000000"/>
                <w:sz w:val="24"/>
              </w:rPr>
              <w:t>运营期</w:t>
            </w:r>
            <w:r>
              <w:rPr>
                <w:rFonts w:hint="default" w:ascii="Times New Roman" w:hAnsi="Times New Roman" w:cs="Times New Roman"/>
                <w:color w:val="000000"/>
                <w:sz w:val="24"/>
                <w:lang w:val="en-US" w:eastAsia="zh-CN"/>
              </w:rPr>
              <w:t>厂界噪声执行《工业企业厂界环境噪声排放标准》（GB12348-2008）2类标准</w:t>
            </w:r>
            <w:r>
              <w:rPr>
                <w:rFonts w:hint="default" w:ascii="Times New Roman" w:hAnsi="Times New Roman" w:cs="Times New Roman"/>
                <w:color w:val="000000"/>
                <w:sz w:val="24"/>
              </w:rPr>
              <w:t>。具体标准限值详见下表：</w:t>
            </w:r>
          </w:p>
          <w:p>
            <w:pPr>
              <w:adjustRightInd w:val="0"/>
              <w:snapToGrid w:val="0"/>
              <w:spacing w:line="360" w:lineRule="auto"/>
              <w:jc w:val="center"/>
              <w:rPr>
                <w:rFonts w:hint="default" w:ascii="Times New Roman" w:hAnsi="Times New Roman" w:cs="Times New Roman"/>
                <w:b/>
                <w:szCs w:val="21"/>
                <w:vertAlign w:val="baseline"/>
              </w:rPr>
            </w:pPr>
            <w:r>
              <w:rPr>
                <w:rFonts w:hint="default" w:ascii="Times New Roman" w:hAnsi="Times New Roman" w:cs="Times New Roman"/>
                <w:b/>
                <w:szCs w:val="21"/>
              </w:rPr>
              <w:t>表3-</w:t>
            </w:r>
            <w:r>
              <w:rPr>
                <w:rFonts w:hint="default" w:ascii="Times New Roman" w:hAnsi="Times New Roman" w:cs="Times New Roman"/>
                <w:b/>
                <w:szCs w:val="21"/>
                <w:lang w:val="en-US" w:eastAsia="zh-CN"/>
              </w:rPr>
              <w:t>10</w:t>
            </w:r>
            <w:r>
              <w:rPr>
                <w:rFonts w:hint="default" w:ascii="Times New Roman" w:hAnsi="Times New Roman" w:cs="Times New Roman"/>
                <w:b/>
                <w:szCs w:val="21"/>
              </w:rPr>
              <w:t xml:space="preserve">  噪声排放标准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3690"/>
              <w:gridCol w:w="1800"/>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rPr>
                  </w:pPr>
                  <w:r>
                    <w:rPr>
                      <w:rFonts w:hint="default" w:ascii="Times New Roman" w:hAnsi="Times New Roman" w:eastAsia="宋体" w:cs="Times New Roman"/>
                      <w:b/>
                      <w:bCs w:val="0"/>
                      <w:sz w:val="21"/>
                      <w:szCs w:val="21"/>
                      <w:vertAlign w:val="baseline"/>
                    </w:rPr>
                    <w:t>污染源类别</w:t>
                  </w:r>
                </w:p>
              </w:tc>
              <w:tc>
                <w:tcPr>
                  <w:tcW w:w="3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rPr>
                  </w:pPr>
                  <w:r>
                    <w:rPr>
                      <w:rFonts w:hint="default" w:ascii="Times New Roman" w:hAnsi="Times New Roman" w:eastAsia="宋体" w:cs="Times New Roman"/>
                      <w:b/>
                      <w:bCs w:val="0"/>
                      <w:sz w:val="21"/>
                      <w:szCs w:val="21"/>
                      <w:vertAlign w:val="baseline"/>
                    </w:rPr>
                    <w:t>标准名称</w:t>
                  </w:r>
                </w:p>
              </w:tc>
              <w:tc>
                <w:tcPr>
                  <w:tcW w:w="18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rPr>
                  </w:pPr>
                  <w:r>
                    <w:rPr>
                      <w:rFonts w:hint="default" w:ascii="Times New Roman" w:hAnsi="Times New Roman" w:eastAsia="宋体" w:cs="Times New Roman"/>
                      <w:b/>
                      <w:bCs w:val="0"/>
                      <w:sz w:val="21"/>
                      <w:szCs w:val="21"/>
                      <w:vertAlign w:val="baseline"/>
                    </w:rPr>
                    <w:t>污染物</w:t>
                  </w:r>
                </w:p>
              </w:tc>
              <w:tc>
                <w:tcPr>
                  <w:tcW w:w="17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rPr>
                  </w:pPr>
                  <w:r>
                    <w:rPr>
                      <w:rFonts w:hint="default" w:ascii="Times New Roman" w:hAnsi="Times New Roman" w:eastAsia="宋体" w:cs="Times New Roman"/>
                      <w:b/>
                      <w:bCs w:val="0"/>
                      <w:sz w:val="21"/>
                      <w:szCs w:val="21"/>
                      <w:vertAlign w:val="baseline"/>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噪声</w:t>
                  </w:r>
                </w:p>
              </w:tc>
              <w:tc>
                <w:tcPr>
                  <w:tcW w:w="3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《建筑施工场界环境噪声排放标准》（GB12523-2011）标准</w:t>
                  </w:r>
                </w:p>
              </w:tc>
              <w:tc>
                <w:tcPr>
                  <w:tcW w:w="18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rPr>
                    <w:t>等效连续A声级</w:t>
                  </w:r>
                </w:p>
              </w:tc>
              <w:tc>
                <w:tcPr>
                  <w:tcW w:w="17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昼间≤70dB(A)</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夜间≤55dB(A)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p>
              </w:tc>
              <w:tc>
                <w:tcPr>
                  <w:tcW w:w="3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《工业企业厂界环境噪声排放标准》(GB12348-2008)2类标准</w:t>
                  </w:r>
                </w:p>
              </w:tc>
              <w:tc>
                <w:tcPr>
                  <w:tcW w:w="18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等效连续A声级</w:t>
                  </w:r>
                </w:p>
              </w:tc>
              <w:tc>
                <w:tcPr>
                  <w:tcW w:w="17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昼间≤60dB(A)</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夜间≤50dB(A)</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157" w:beforeLines="50" w:beforeAutospacing="0" w:after="0" w:afterAutospacing="0" w:line="360" w:lineRule="auto"/>
              <w:ind w:leftChars="200" w:right="0" w:rightChars="0"/>
              <w:textAlignment w:val="auto"/>
              <w:outlineLvl w:val="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lang w:eastAsia="zh-CN"/>
              </w:rPr>
              <w:t>废水排放</w:t>
            </w:r>
            <w:r>
              <w:rPr>
                <w:rFonts w:hint="default" w:ascii="Times New Roman" w:hAnsi="Times New Roman" w:cs="Times New Roman"/>
                <w:b/>
                <w:color w:val="auto"/>
                <w:sz w:val="24"/>
                <w:szCs w:val="24"/>
                <w:highlight w:val="none"/>
              </w:rPr>
              <w:t>标准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Autospacing="0" w:after="0" w:afterAutospacing="0" w:line="360" w:lineRule="auto"/>
              <w:ind w:right="0" w:rightChars="0" w:firstLine="480" w:firstLineChars="200"/>
              <w:textAlignment w:val="auto"/>
              <w:outlineLvl w:val="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锅炉定期排水执行《城市污水再生利用—城市杂用水水质》（GB/T18920-2020）中道路清扫水质标准。</w:t>
            </w:r>
          </w:p>
          <w:p>
            <w:pPr>
              <w:adjustRightInd w:val="0"/>
              <w:snapToGrid w:val="0"/>
              <w:spacing w:line="360" w:lineRule="auto"/>
              <w:jc w:val="center"/>
              <w:rPr>
                <w:rFonts w:hint="default" w:ascii="Times New Roman" w:hAnsi="Times New Roman" w:cs="Times New Roman"/>
                <w:b/>
                <w:szCs w:val="21"/>
              </w:rPr>
            </w:pPr>
            <w:r>
              <w:rPr>
                <w:rFonts w:hint="default" w:ascii="Times New Roman" w:hAnsi="Times New Roman" w:cs="Times New Roman"/>
                <w:b/>
                <w:szCs w:val="21"/>
              </w:rPr>
              <w:t>表3-</w:t>
            </w:r>
            <w:r>
              <w:rPr>
                <w:rFonts w:hint="default" w:ascii="Times New Roman" w:hAnsi="Times New Roman" w:cs="Times New Roman"/>
                <w:b/>
                <w:szCs w:val="21"/>
                <w:lang w:val="en-US" w:eastAsia="zh-CN"/>
              </w:rPr>
              <w:t>11</w:t>
            </w:r>
            <w:r>
              <w:rPr>
                <w:rFonts w:hint="default" w:ascii="Times New Roman" w:hAnsi="Times New Roman" w:cs="Times New Roman"/>
                <w:b/>
                <w:szCs w:val="21"/>
              </w:rPr>
              <w:t xml:space="preserve">  </w:t>
            </w:r>
            <w:r>
              <w:rPr>
                <w:rFonts w:hint="default" w:ascii="Times New Roman" w:hAnsi="Times New Roman" w:cs="Times New Roman"/>
                <w:b/>
                <w:szCs w:val="21"/>
                <w:lang w:val="en-US" w:eastAsia="zh-CN"/>
              </w:rPr>
              <w:t>城市杂用水水质标准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6"/>
              <w:gridCol w:w="2079"/>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lang w:eastAsia="zh-CN"/>
                    </w:rPr>
                  </w:pPr>
                  <w:r>
                    <w:rPr>
                      <w:rFonts w:hint="default" w:ascii="Times New Roman" w:hAnsi="Times New Roman" w:eastAsia="宋体" w:cs="Times New Roman"/>
                      <w:b/>
                      <w:bCs w:val="0"/>
                      <w:sz w:val="21"/>
                      <w:szCs w:val="21"/>
                      <w:vertAlign w:val="baseline"/>
                      <w:lang w:eastAsia="zh-CN"/>
                    </w:rPr>
                    <w:t>污染物</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lang w:eastAsia="zh-CN"/>
                    </w:rPr>
                  </w:pPr>
                  <w:r>
                    <w:rPr>
                      <w:rFonts w:hint="default" w:ascii="Times New Roman" w:hAnsi="Times New Roman" w:eastAsia="宋体" w:cs="Times New Roman"/>
                      <w:b/>
                      <w:bCs w:val="0"/>
                      <w:sz w:val="21"/>
                      <w:szCs w:val="21"/>
                      <w:vertAlign w:val="baseline"/>
                      <w:lang w:eastAsia="zh-CN"/>
                    </w:rPr>
                    <w:t>单位</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rPr>
                  </w:pPr>
                  <w:r>
                    <w:rPr>
                      <w:rFonts w:hint="default" w:ascii="Times New Roman" w:hAnsi="Times New Roman" w:eastAsia="宋体" w:cs="Times New Roman"/>
                      <w:b/>
                      <w:bCs w:val="0"/>
                      <w:sz w:val="21"/>
                      <w:szCs w:val="21"/>
                      <w:vertAlign w:val="baseline"/>
                      <w:lang w:val="en-US" w:eastAsia="zh-CN"/>
                    </w:rPr>
                    <w:t>城市绿化、道路清扫、消防、建筑施工标准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pH</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无量纲</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色度</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铂钴色度单位</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嗅</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浊度</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NTU</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rPr>
                  </w:pPr>
                  <w:r>
                    <w:rPr>
                      <w:rFonts w:hint="default" w:ascii="Times New Roman" w:hAnsi="Times New Roman" w:eastAsia="宋体" w:cs="Times New Roman"/>
                      <w:b w:val="0"/>
                      <w:bCs/>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BOD</w:t>
                  </w:r>
                  <w:r>
                    <w:rPr>
                      <w:rFonts w:hint="default" w:ascii="Times New Roman" w:hAnsi="Times New Roman" w:eastAsia="宋体" w:cs="Times New Roman"/>
                      <w:b w:val="0"/>
                      <w:bCs/>
                      <w:sz w:val="21"/>
                      <w:szCs w:val="21"/>
                      <w:vertAlign w:val="subscript"/>
                      <w:lang w:val="en-US" w:eastAsia="zh-CN"/>
                    </w:rPr>
                    <w:t>5</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氨氮</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rPr>
                  </w:pPr>
                  <w:r>
                    <w:rPr>
                      <w:rFonts w:hint="default" w:ascii="Times New Roman" w:hAnsi="Times New Roman" w:eastAsia="宋体" w:cs="Times New Roman"/>
                      <w:b w:val="0"/>
                      <w:bCs/>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阴离子表面活性剂</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rPr>
                  </w:pPr>
                  <w:r>
                    <w:rPr>
                      <w:rFonts w:hint="default" w:ascii="Times New Roman" w:hAnsi="Times New Roman" w:eastAsia="宋体" w:cs="Times New Roman"/>
                      <w:b w:val="0"/>
                      <w:bCs/>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溶解性总固体</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1000（2000）</w:t>
                  </w:r>
                  <w:r>
                    <w:rPr>
                      <w:rFonts w:hint="default" w:ascii="Times New Roman" w:hAnsi="Times New Roman" w:eastAsia="宋体" w:cs="Times New Roman"/>
                      <w:b w:val="0"/>
                      <w:bCs/>
                      <w:sz w:val="21"/>
                      <w:szCs w:val="21"/>
                      <w:vertAlign w:val="superscript"/>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溶解氧</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eastAsia="zh-CN"/>
                    </w:rPr>
                    <w:t>≥</w:t>
                  </w:r>
                  <w:r>
                    <w:rPr>
                      <w:rFonts w:hint="default" w:ascii="Times New Roman" w:hAnsi="Times New Roman" w:eastAsia="宋体" w:cs="Times New Roman"/>
                      <w:b w:val="0"/>
                      <w:bCs/>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总氯</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rPr>
                  </w:pPr>
                  <w:r>
                    <w:rPr>
                      <w:rFonts w:hint="default" w:ascii="Times New Roman" w:hAnsi="Times New Roman" w:eastAsia="宋体" w:cs="Times New Roman"/>
                      <w:b w:val="0"/>
                      <w:bCs/>
                      <w:sz w:val="21"/>
                      <w:szCs w:val="21"/>
                      <w:vertAlign w:val="baseline"/>
                      <w:lang w:eastAsia="zh-CN"/>
                    </w:rPr>
                    <w:t>≥</w:t>
                  </w:r>
                  <w:r>
                    <w:rPr>
                      <w:rFonts w:hint="default" w:ascii="Times New Roman" w:hAnsi="Times New Roman" w:eastAsia="宋体" w:cs="Times New Roman"/>
                      <w:b w:val="0"/>
                      <w:bCs/>
                      <w:sz w:val="21"/>
                      <w:szCs w:val="21"/>
                      <w:vertAlign w:val="baseline"/>
                      <w:lang w:val="en-US" w:eastAsia="zh-CN"/>
                    </w:rPr>
                    <w:t>1.0（出厂），0.2</w:t>
                  </w:r>
                  <w:r>
                    <w:rPr>
                      <w:rFonts w:hint="default" w:ascii="Times New Roman" w:hAnsi="Times New Roman" w:eastAsia="宋体" w:cs="Times New Roman"/>
                      <w:b w:val="0"/>
                      <w:bCs/>
                      <w:sz w:val="21"/>
                      <w:szCs w:val="21"/>
                      <w:vertAlign w:val="superscript"/>
                      <w:lang w:val="en-US" w:eastAsia="zh-CN"/>
                    </w:rPr>
                    <w:t>b</w:t>
                  </w:r>
                  <w:r>
                    <w:rPr>
                      <w:rFonts w:hint="default" w:ascii="Times New Roman" w:hAnsi="Times New Roman" w:eastAsia="宋体" w:cs="Times New Roman"/>
                      <w:b w:val="0"/>
                      <w:bCs/>
                      <w:sz w:val="21"/>
                      <w:szCs w:val="21"/>
                      <w:vertAlign w:val="baseline"/>
                      <w:lang w:val="en-US" w:eastAsia="zh-CN"/>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superscript"/>
                      <w:lang w:val="en-US" w:eastAsia="zh-CN"/>
                    </w:rPr>
                    <w:t>a</w:t>
                  </w:r>
                  <w:r>
                    <w:rPr>
                      <w:rFonts w:hint="default" w:ascii="Times New Roman" w:hAnsi="Times New Roman" w:eastAsia="宋体" w:cs="Times New Roman"/>
                      <w:b w:val="0"/>
                      <w:bCs/>
                      <w:sz w:val="21"/>
                      <w:szCs w:val="21"/>
                      <w:vertAlign w:val="baseline"/>
                      <w:lang w:val="en-US" w:eastAsia="zh-CN"/>
                    </w:rPr>
                    <w:t>括号内指标值为沿海及本地水源中溶解性固体含量较高的区域的指标；</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superscript"/>
                      <w:lang w:val="en-US" w:eastAsia="zh-CN"/>
                    </w:rPr>
                    <w:t>b</w:t>
                  </w:r>
                  <w:r>
                    <w:rPr>
                      <w:rFonts w:hint="default" w:ascii="Times New Roman" w:hAnsi="Times New Roman" w:eastAsia="宋体" w:cs="Times New Roman"/>
                      <w:b w:val="0"/>
                      <w:bCs/>
                      <w:sz w:val="21"/>
                      <w:szCs w:val="21"/>
                      <w:vertAlign w:val="baseline"/>
                      <w:lang w:val="en-US" w:eastAsia="zh-CN"/>
                    </w:rPr>
                    <w:t>用于城市绿化时，不应超过2.5mg/L。</w:t>
                  </w:r>
                </w:p>
              </w:tc>
            </w:tr>
          </w:tbl>
          <w:p>
            <w:pPr>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360" w:lineRule="auto"/>
              <w:ind w:right="0" w:firstLine="482" w:firstLineChars="200"/>
              <w:textAlignment w:val="auto"/>
              <w:outlineLvl w:val="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、固体废物控制标准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一般工业固体废物执行《一般工业固体废物贮存和填埋污染控制标准》（GB18599-20</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）的相关规定。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kern w:val="0"/>
                <w:sz w:val="24"/>
                <w:lang w:val="en-US" w:eastAsia="zh-CN"/>
              </w:rPr>
            </w:pPr>
            <w:r>
              <w:rPr>
                <w:rFonts w:hint="default" w:ascii="Times New Roman" w:hAnsi="Times New Roman" w:cs="Times New Roman"/>
                <w:color w:val="auto"/>
                <w:sz w:val="24"/>
              </w:rPr>
              <w:t>危险废物执行《危险废物贮存污染控制标准》（GB18597-20</w:t>
            </w:r>
            <w:r>
              <w:rPr>
                <w:rFonts w:hint="default" w:ascii="Times New Roman" w:hAnsi="Times New Roman" w:cs="Times New Roman"/>
                <w:color w:val="auto"/>
                <w:sz w:val="24"/>
                <w:lang w:val="en-US" w:eastAsia="zh-CN"/>
              </w:rPr>
              <w:t>23</w:t>
            </w:r>
            <w:r>
              <w:rPr>
                <w:rFonts w:hint="default" w:ascii="Times New Roman" w:hAnsi="Times New Roman" w:cs="Times New Roman"/>
                <w:color w:val="auto"/>
                <w:sz w:val="24"/>
              </w:rPr>
              <w:t>）标准</w:t>
            </w:r>
            <w:r>
              <w:rPr>
                <w:rFonts w:hint="default" w:ascii="Times New Roman" w:hAnsi="Times New Roman" w:cs="Times New Roman"/>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8" w:space="0"/>
              <w:bottom w:val="single" w:color="auto" w:sz="8"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总量</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控制</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指标</w:t>
            </w:r>
          </w:p>
        </w:tc>
        <w:tc>
          <w:tcPr>
            <w:tcW w:w="4719" w:type="pct"/>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napToGrid w:val="0"/>
              <w:spacing w:line="360" w:lineRule="auto"/>
              <w:ind w:firstLine="480" w:firstLineChars="200"/>
              <w:contextualSpacing/>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根据国家主要污染物总量控制指标要求，结合工程特征及污染物排放特点，确定总量控制的污染物为二氧化硫、氮氧化物。</w:t>
            </w:r>
          </w:p>
          <w:p>
            <w:pPr>
              <w:adjustRightInd w:val="0"/>
              <w:snapToGrid w:val="0"/>
              <w:spacing w:line="360" w:lineRule="auto"/>
              <w:ind w:firstLine="482" w:firstLineChars="200"/>
              <w:contextualSpacing/>
              <w:jc w:val="lef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1、二氧化硫、氮氧化物排放量核算</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（1）标准浓度法</w:t>
            </w:r>
          </w:p>
          <w:p>
            <w:pPr>
              <w:pStyle w:val="18"/>
              <w:keepNext w:val="0"/>
              <w:keepLines w:val="0"/>
              <w:pageBreakBefore w:val="0"/>
              <w:widowControl w:val="0"/>
              <w:kinsoku/>
              <w:wordWrap/>
              <w:overflowPunct/>
              <w:topLinePunct w:val="0"/>
              <w:autoSpaceDE/>
              <w:autoSpaceDN/>
              <w:bidi w:val="0"/>
              <w:adjustRightInd/>
              <w:snapToGrid/>
              <w:spacing w:after="0" w:line="360" w:lineRule="auto"/>
              <w:ind w:firstLine="480" w:firstLineChars="200"/>
              <w:contextualSpacing/>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①烟气量核算</w:t>
            </w:r>
          </w:p>
          <w:p>
            <w:pPr>
              <w:pStyle w:val="18"/>
              <w:keepNext w:val="0"/>
              <w:keepLines w:val="0"/>
              <w:pageBreakBefore w:val="0"/>
              <w:widowControl w:val="0"/>
              <w:kinsoku/>
              <w:wordWrap/>
              <w:overflowPunct/>
              <w:topLinePunct w:val="0"/>
              <w:autoSpaceDE/>
              <w:autoSpaceDN/>
              <w:bidi w:val="0"/>
              <w:adjustRightInd/>
              <w:snapToGrid/>
              <w:spacing w:after="0" w:line="360" w:lineRule="auto"/>
              <w:ind w:firstLine="480" w:firstLineChars="200"/>
              <w:contextualSpacing/>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锅炉烟气量核算根据《污染源源强核算技术指南 锅炉》（HJ991-2018），结合《排污许可证申请与核发技术规范 锅炉》（HJ953-2018）中关于</w:t>
            </w:r>
            <w:r>
              <w:rPr>
                <w:rFonts w:hint="default" w:ascii="Times New Roman" w:hAnsi="Times New Roman" w:cs="Times New Roman"/>
                <w:color w:val="000000" w:themeColor="text1"/>
                <w:sz w:val="24"/>
                <w:lang w:val="en-US" w:eastAsia="zh-CN"/>
                <w14:textFill>
                  <w14:solidFill>
                    <w14:schemeClr w14:val="tx1"/>
                  </w14:solidFill>
                </w14:textFill>
              </w:rPr>
              <w:t>燃煤</w:t>
            </w:r>
            <w:r>
              <w:rPr>
                <w:rFonts w:hint="default" w:ascii="Times New Roman" w:hAnsi="Times New Roman" w:cs="Times New Roman"/>
                <w:color w:val="000000" w:themeColor="text1"/>
                <w:sz w:val="24"/>
                <w14:textFill>
                  <w14:solidFill>
                    <w14:schemeClr w14:val="tx1"/>
                  </w14:solidFill>
                </w14:textFill>
              </w:rPr>
              <w:t>锅炉相关内容的规定，详见下文</w:t>
            </w:r>
            <w:r>
              <w:rPr>
                <w:rFonts w:hint="default" w:ascii="Times New Roman" w:hAnsi="Times New Roman" w:cs="Times New Roman"/>
                <w:color w:val="000000" w:themeColor="text1"/>
                <w:sz w:val="24"/>
                <w:lang w:eastAsia="zh-CN"/>
                <w14:textFill>
                  <w14:solidFill>
                    <w14:schemeClr w14:val="tx1"/>
                  </w14:solidFill>
                </w14:textFill>
              </w:rPr>
              <w:t>燃煤</w:t>
            </w:r>
            <w:r>
              <w:rPr>
                <w:rFonts w:hint="default" w:ascii="Times New Roman" w:hAnsi="Times New Roman" w:cs="Times New Roman"/>
                <w:color w:val="000000" w:themeColor="text1"/>
                <w:sz w:val="24"/>
                <w14:textFill>
                  <w14:solidFill>
                    <w14:schemeClr w14:val="tx1"/>
                  </w14:solidFill>
                </w14:textFill>
              </w:rPr>
              <w:t>锅炉废气源强核算过程。</w:t>
            </w:r>
          </w:p>
          <w:p>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根据燃煤化验单，收到基低位发热量为13.437MJ/kg，燃料干燥无灰基挥发分为44.12%，</w:t>
            </w:r>
            <w:r>
              <w:rPr>
                <w:rFonts w:hint="default" w:ascii="Times New Roman" w:hAnsi="Times New Roman" w:cs="Times New Roman"/>
                <w:color w:val="000000" w:themeColor="text1"/>
                <w:sz w:val="24"/>
                <w14:textFill>
                  <w14:solidFill>
                    <w14:schemeClr w14:val="tx1"/>
                  </w14:solidFill>
                </w14:textFill>
              </w:rPr>
              <w:t>采用经验公式法估算基准烟气量，基准烟气量取值表如下：</w:t>
            </w:r>
          </w:p>
          <w:p>
            <w:pPr>
              <w:adjustRightInd w:val="0"/>
              <w:snapToGrid w:val="0"/>
              <w:spacing w:line="360" w:lineRule="auto"/>
              <w:jc w:val="center"/>
              <w:rPr>
                <w:rFonts w:hint="default" w:ascii="Times New Roman" w:hAnsi="Times New Roman" w:cs="Times New Roman"/>
                <w:b/>
                <w:color w:val="000000" w:themeColor="text1"/>
                <w:szCs w:val="21"/>
                <w:lang w:val="en-US"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表3-12 基准烟气量取值表</w:t>
            </w:r>
          </w:p>
          <w:p>
            <w:pPr>
              <w:numPr>
                <w:ilvl w:val="0"/>
                <w:numId w:val="0"/>
              </w:numPr>
              <w:tabs>
                <w:tab w:val="left" w:pos="420"/>
              </w:tabs>
              <w:ind w:leftChars="0"/>
              <w:jc w:val="both"/>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344795" cy="1007110"/>
                  <wp:effectExtent l="0" t="0" r="8255" b="25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5344795" cy="1007110"/>
                          </a:xfrm>
                          <a:prstGeom prst="rect">
                            <a:avLst/>
                          </a:prstGeom>
                          <a:noFill/>
                          <a:ln>
                            <a:noFill/>
                          </a:ln>
                        </pic:spPr>
                      </pic:pic>
                    </a:graphicData>
                  </a:graphic>
                </wp:inline>
              </w:drawing>
            </w:r>
          </w:p>
          <w:p>
            <w:pPr>
              <w:pStyle w:val="18"/>
              <w:snapToGrid w:val="0"/>
              <w:spacing w:line="360" w:lineRule="auto"/>
              <w:ind w:firstLine="480" w:firstLineChars="200"/>
              <w:contextualSpacing/>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基准燃气量=0.411*13.437+0.918=6.44Nm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/kg，项目燃煤量为9680t/a，</w:t>
            </w:r>
            <w:r>
              <w:rPr>
                <w:rFonts w:hint="default" w:ascii="Times New Roman" w:hAnsi="Times New Roman" w:cs="Times New Roman"/>
                <w:color w:val="000000" w:themeColor="text1"/>
                <w:sz w:val="24"/>
                <w14:textFill>
                  <w14:solidFill>
                    <w14:schemeClr w14:val="tx1"/>
                  </w14:solidFill>
                </w14:textFill>
              </w:rPr>
              <w:t>计算可得年产生烟气量为62345075.76Nm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锅炉年工作2400小时，则烟气量为</w:t>
            </w:r>
            <w:r>
              <w:rPr>
                <w:rFonts w:hint="default" w:ascii="Times New Roman" w:hAnsi="Times New Roman" w:cs="Times New Roman"/>
                <w:color w:val="000000" w:themeColor="text1"/>
                <w:sz w:val="24"/>
                <w14:textFill>
                  <w14:solidFill>
                    <w14:schemeClr w14:val="tx1"/>
                  </w14:solidFill>
                </w14:textFill>
              </w:rPr>
              <w:t>即</w:t>
            </w:r>
            <w:r>
              <w:rPr>
                <w:rFonts w:hint="default" w:ascii="Times New Roman" w:hAnsi="Times New Roman" w:cs="Times New Roman"/>
                <w:color w:val="000000" w:themeColor="text1"/>
                <w:sz w:val="24"/>
                <w:lang w:val="en-US" w:eastAsia="zh-CN"/>
                <w14:textFill>
                  <w14:solidFill>
                    <w14:schemeClr w14:val="tx1"/>
                  </w14:solidFill>
                </w14:textFill>
              </w:rPr>
              <w:t>25977</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/h。</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②二氧化硫、氮氧化物排放量核算</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计算二氧化硫、氮氧化物采用标准浓度法时，</w:t>
            </w:r>
            <w:r>
              <w:rPr>
                <w:rFonts w:hint="default" w:ascii="Times New Roman" w:hAnsi="Times New Roman" w:cs="Times New Roman"/>
                <w:color w:val="000000" w:themeColor="text1"/>
                <w:sz w:val="24"/>
                <w:lang w:eastAsia="zh-CN"/>
                <w14:textFill>
                  <w14:solidFill>
                    <w14:schemeClr w14:val="tx1"/>
                  </w14:solidFill>
                </w14:textFill>
              </w:rPr>
              <w:t>燃煤</w:t>
            </w:r>
            <w:r>
              <w:rPr>
                <w:rFonts w:hint="default" w:ascii="Times New Roman" w:hAnsi="Times New Roman" w:cs="Times New Roman"/>
                <w:color w:val="000000" w:themeColor="text1"/>
                <w:sz w:val="24"/>
                <w14:textFill>
                  <w14:solidFill>
                    <w14:schemeClr w14:val="tx1"/>
                  </w14:solidFill>
                </w14:textFill>
              </w:rPr>
              <w:t>锅炉大气污染物的排放浓度满足《锅炉大气污染物排放标准》（DB13/5161-2020）表1燃</w:t>
            </w:r>
            <w:r>
              <w:rPr>
                <w:rFonts w:hint="default" w:ascii="Times New Roman" w:hAnsi="Times New Roman" w:cs="Times New Roman"/>
                <w:color w:val="000000" w:themeColor="text1"/>
                <w:sz w:val="24"/>
                <w:lang w:eastAsia="zh-CN"/>
                <w14:textFill>
                  <w14:solidFill>
                    <w14:schemeClr w14:val="tx1"/>
                  </w14:solidFill>
                </w14:textFill>
              </w:rPr>
              <w:t>燃煤</w:t>
            </w:r>
            <w:r>
              <w:rPr>
                <w:rFonts w:hint="default" w:ascii="Times New Roman" w:hAnsi="Times New Roman" w:cs="Times New Roman"/>
                <w:color w:val="000000" w:themeColor="text1"/>
                <w:sz w:val="24"/>
                <w14:textFill>
                  <w14:solidFill>
                    <w14:schemeClr w14:val="tx1"/>
                  </w14:solidFill>
                </w14:textFill>
              </w:rPr>
              <w:t>锅炉排放限值，二氧化硫排放限值为</w:t>
            </w:r>
            <w:r>
              <w:rPr>
                <w:rFonts w:hint="default" w:ascii="Times New Roman" w:hAnsi="Times New Roman" w:cs="Times New Roman"/>
                <w:color w:val="000000" w:themeColor="text1"/>
                <w:sz w:val="24"/>
                <w:lang w:val="en-US" w:eastAsia="zh-CN"/>
                <w14:textFill>
                  <w14:solidFill>
                    <w14:schemeClr w14:val="tx1"/>
                  </w14:solidFill>
                </w14:textFill>
              </w:rPr>
              <w:t>35</w:t>
            </w:r>
            <w:r>
              <w:rPr>
                <w:rFonts w:hint="default" w:ascii="Times New Roman" w:hAnsi="Times New Roman" w:cs="Times New Roman"/>
                <w:color w:val="000000" w:themeColor="text1"/>
                <w:sz w:val="24"/>
                <w14:textFill>
                  <w14:solidFill>
                    <w14:schemeClr w14:val="tx1"/>
                  </w14:solidFill>
                </w14:textFill>
              </w:rPr>
              <w:t>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，氮氧化物排放限值为50mg/m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采用标准浓度法计算，则二氧化硫的排放浓度为</w:t>
            </w:r>
            <w:r>
              <w:rPr>
                <w:rFonts w:hint="default" w:ascii="Times New Roman" w:hAnsi="Times New Roman" w:cs="Times New Roman"/>
                <w:color w:val="000000" w:themeColor="text1"/>
                <w:sz w:val="24"/>
                <w:lang w:val="en-US" w:eastAsia="zh-CN"/>
                <w14:textFill>
                  <w14:solidFill>
                    <w14:schemeClr w14:val="tx1"/>
                  </w14:solidFill>
                </w14:textFill>
              </w:rPr>
              <w:t>35</w:t>
            </w:r>
            <w:r>
              <w:rPr>
                <w:rFonts w:hint="default" w:ascii="Times New Roman" w:hAnsi="Times New Roman" w:cs="Times New Roman"/>
                <w:color w:val="000000" w:themeColor="text1"/>
                <w:sz w:val="24"/>
                <w14:textFill>
                  <w14:solidFill>
                    <w14:schemeClr w14:val="tx1"/>
                  </w14:solidFill>
                </w14:textFill>
              </w:rPr>
              <w:t>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，氮氧化物排放浓度为50mg/m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。由计算可得，二氧化硫排放量为</w:t>
            </w:r>
            <w:r>
              <w:rPr>
                <w:rFonts w:hint="default" w:ascii="Times New Roman" w:hAnsi="Times New Roman" w:cs="Times New Roman"/>
                <w:color w:val="000000" w:themeColor="text1"/>
                <w:sz w:val="24"/>
                <w:lang w:val="en-US" w:eastAsia="zh-CN"/>
                <w14:textFill>
                  <w14:solidFill>
                    <w14:schemeClr w14:val="tx1"/>
                  </w14:solidFill>
                </w14:textFill>
              </w:rPr>
              <w:t>2.18</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t/a，氮氧化物排放量为</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117</w:t>
            </w:r>
            <w:r>
              <w:rPr>
                <w:rFonts w:hint="default" w:ascii="Times New Roman" w:hAnsi="Times New Roman" w:cs="Times New Roman"/>
                <w:color w:val="000000" w:themeColor="text1"/>
                <w:sz w:val="24"/>
                <w14:textFill>
                  <w14:solidFill>
                    <w14:schemeClr w14:val="tx1"/>
                  </w14:solidFill>
                </w14:textFill>
              </w:rPr>
              <w:t>t/a。</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污染物排放量计算过程公示如下：</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大气污染物总量指标=工业废气量（Nm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/a）×排放浓度（mg/m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）×10</w:t>
            </w:r>
            <w:r>
              <w:rPr>
                <w:rFonts w:hint="default" w:ascii="Times New Roman" w:hAnsi="Times New Roman" w:cs="Times New Roman"/>
                <w:color w:val="000000" w:themeColor="text1"/>
                <w:sz w:val="24"/>
                <w:vertAlign w:val="superscript"/>
                <w14:textFill>
                  <w14:solidFill>
                    <w14:schemeClr w14:val="tx1"/>
                  </w14:solidFill>
                </w14:textFill>
              </w:rPr>
              <w:t>-9</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二氧化硫总量指标=62345075.76×3</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×10</w:t>
            </w:r>
            <w:r>
              <w:rPr>
                <w:rFonts w:hint="default" w:ascii="Times New Roman" w:hAnsi="Times New Roman" w:cs="Times New Roman"/>
                <w:color w:val="000000" w:themeColor="text1"/>
                <w:sz w:val="24"/>
                <w:vertAlign w:val="superscript"/>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2.182</w:t>
            </w:r>
            <w:r>
              <w:rPr>
                <w:rFonts w:hint="default" w:ascii="Times New Roman" w:hAnsi="Times New Roman" w:cs="Times New Roman"/>
                <w:color w:val="000000" w:themeColor="text1"/>
                <w:sz w:val="24"/>
                <w14:textFill>
                  <w14:solidFill>
                    <w14:schemeClr w14:val="tx1"/>
                  </w14:solidFill>
                </w14:textFill>
              </w:rPr>
              <w:t>t/a；</w:t>
            </w:r>
          </w:p>
          <w:p>
            <w:pPr>
              <w:pStyle w:val="18"/>
              <w:snapToGrid w:val="0"/>
              <w:spacing w:line="360" w:lineRule="auto"/>
              <w:ind w:firstLine="480" w:firstLineChars="200"/>
              <w:contextualSpacing/>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氮氧化物总量指标=62345075.76×50×10</w:t>
            </w:r>
            <w:r>
              <w:rPr>
                <w:rFonts w:hint="default" w:ascii="Times New Roman" w:hAnsi="Times New Roman" w:cs="Times New Roman"/>
                <w:color w:val="000000" w:themeColor="text1"/>
                <w:sz w:val="24"/>
                <w:vertAlign w:val="superscript"/>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3.117</w:t>
            </w:r>
            <w:r>
              <w:rPr>
                <w:rFonts w:hint="default" w:ascii="Times New Roman" w:hAnsi="Times New Roman" w:cs="Times New Roman"/>
                <w:color w:val="000000" w:themeColor="text1"/>
                <w:sz w:val="24"/>
                <w14:textFill>
                  <w14:solidFill>
                    <w14:schemeClr w14:val="tx1"/>
                  </w14:solidFill>
                </w14:textFill>
              </w:rPr>
              <w:t>t/a。</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）结论</w:t>
            </w:r>
          </w:p>
          <w:p>
            <w:pPr>
              <w:pStyle w:val="18"/>
              <w:snapToGrid w:val="0"/>
              <w:spacing w:line="360" w:lineRule="auto"/>
              <w:ind w:firstLine="480" w:firstLineChars="200"/>
              <w:contextualSpacing/>
              <w:rPr>
                <w:rFonts w:hint="eastAsia"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项目</w:t>
            </w:r>
            <w:r>
              <w:rPr>
                <w:rFonts w:hint="eastAsia" w:ascii="Times New Roman" w:hAnsi="Times New Roman"/>
                <w:color w:val="000000" w:themeColor="text1"/>
                <w:sz w:val="24"/>
                <w:lang w:eastAsia="zh-CN"/>
                <w14:textFill>
                  <w14:solidFill>
                    <w14:schemeClr w14:val="tx1"/>
                  </w14:solidFill>
                </w14:textFill>
              </w:rPr>
              <w:t>燃煤</w:t>
            </w:r>
            <w:r>
              <w:rPr>
                <w:rFonts w:hint="eastAsia" w:ascii="Times New Roman" w:hAnsi="Times New Roman"/>
                <w:color w:val="000000" w:themeColor="text1"/>
                <w:sz w:val="24"/>
                <w14:textFill>
                  <w14:solidFill>
                    <w14:schemeClr w14:val="tx1"/>
                  </w14:solidFill>
                </w14:textFill>
              </w:rPr>
              <w:t>锅炉排放的二氧化硫和氮氧化物采用标准浓度法计算，根据计算可知，二氧化硫、氮氧化物排放量</w:t>
            </w:r>
            <w:r>
              <w:rPr>
                <w:rFonts w:hint="eastAsia" w:ascii="Times New Roman" w:hAnsi="Times New Roman"/>
                <w:color w:val="000000" w:themeColor="text1"/>
                <w:sz w:val="24"/>
                <w:lang w:val="en-US" w:eastAsia="zh-CN"/>
                <w14:textFill>
                  <w14:solidFill>
                    <w14:schemeClr w14:val="tx1"/>
                  </w14:solidFill>
                </w14:textFill>
              </w:rPr>
              <w:t>分别</w:t>
            </w:r>
            <w:r>
              <w:rPr>
                <w:rFonts w:hint="eastAsia" w:ascii="Times New Roman" w:hAnsi="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2.18</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t/a、</w:t>
            </w:r>
            <w:r>
              <w:rPr>
                <w:rFonts w:hint="default" w:ascii="Times New Roman" w:hAnsi="Times New Roman" w:cs="Times New Roman"/>
                <w:color w:val="000000" w:themeColor="text1"/>
                <w:sz w:val="24"/>
                <w:lang w:val="en-US" w:eastAsia="zh-CN"/>
                <w14:textFill>
                  <w14:solidFill>
                    <w14:schemeClr w14:val="tx1"/>
                  </w14:solidFill>
                </w14:textFill>
              </w:rPr>
              <w:t>3.1</w:t>
            </w:r>
            <w:r>
              <w:rPr>
                <w:rFonts w:hint="eastAsia" w:ascii="Times New Roman" w:hAnsi="Times New Roman" w:cs="Times New Roman"/>
                <w:color w:val="000000" w:themeColor="text1"/>
                <w:sz w:val="24"/>
                <w:lang w:val="en-US" w:eastAsia="zh-CN"/>
                <w14:textFill>
                  <w14:solidFill>
                    <w14:schemeClr w14:val="tx1"/>
                  </w14:solidFill>
                </w14:textFill>
              </w:rPr>
              <w:t>17</w:t>
            </w:r>
            <w:r>
              <w:rPr>
                <w:rFonts w:hint="default" w:ascii="Times New Roman" w:hAnsi="Times New Roman" w:cs="Times New Roman"/>
                <w:color w:val="000000" w:themeColor="text1"/>
                <w:sz w:val="24"/>
                <w14:textFill>
                  <w14:solidFill>
                    <w14:schemeClr w14:val="tx1"/>
                  </w14:solidFill>
                </w14:textFill>
              </w:rPr>
              <w:t>t/a</w:t>
            </w:r>
            <w:r>
              <w:rPr>
                <w:rFonts w:hint="eastAsia" w:ascii="Times New Roman" w:hAnsi="Times New Roman"/>
                <w:color w:val="000000" w:themeColor="text1"/>
                <w:sz w:val="24"/>
                <w14:textFill>
                  <w14:solidFill>
                    <w14:schemeClr w14:val="tx1"/>
                  </w14:solidFill>
                </w14:textFill>
              </w:rPr>
              <w:t>。</w:t>
            </w:r>
          </w:p>
          <w:p>
            <w:pPr>
              <w:pStyle w:val="18"/>
              <w:snapToGrid w:val="0"/>
              <w:spacing w:line="240" w:lineRule="auto"/>
              <w:ind w:firstLine="482" w:firstLineChars="200"/>
              <w:contextualSpacing/>
              <w:rPr>
                <w:rFonts w:hint="eastAsia"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lang w:val="en-US" w:eastAsia="zh-CN"/>
                <w14:textFill>
                  <w14:solidFill>
                    <w14:schemeClr w14:val="tx1"/>
                  </w14:solidFill>
                </w14:textFill>
              </w:rPr>
              <w:t>2</w:t>
            </w:r>
            <w:r>
              <w:rPr>
                <w:rFonts w:hint="eastAsia" w:ascii="Times New Roman" w:hAnsi="Times New Roman"/>
                <w:b/>
                <w:color w:val="000000" w:themeColor="text1"/>
                <w:sz w:val="24"/>
                <w14:textFill>
                  <w14:solidFill>
                    <w14:schemeClr w14:val="tx1"/>
                  </w14:solidFill>
                </w14:textFill>
              </w:rPr>
              <w:t>、</w:t>
            </w:r>
            <w:r>
              <w:rPr>
                <w:rFonts w:hint="eastAsia" w:ascii="Times New Roman" w:hAnsi="Times New Roman"/>
                <w:b/>
                <w:color w:val="000000" w:themeColor="text1"/>
                <w:sz w:val="24"/>
                <w:lang w:val="en-US" w:eastAsia="zh-CN"/>
                <w14:textFill>
                  <w14:solidFill>
                    <w14:schemeClr w14:val="tx1"/>
                  </w14:solidFill>
                </w14:textFill>
              </w:rPr>
              <w:t>原环评</w:t>
            </w:r>
            <w:r>
              <w:rPr>
                <w:rFonts w:hint="eastAsia" w:ascii="Times New Roman" w:hAnsi="Times New Roman"/>
                <w:b/>
                <w:color w:val="000000" w:themeColor="text1"/>
                <w:sz w:val="24"/>
                <w14:textFill>
                  <w14:solidFill>
                    <w14:schemeClr w14:val="tx1"/>
                  </w14:solidFill>
                </w14:textFill>
              </w:rPr>
              <w:t>排放总量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根据《</w:t>
            </w:r>
            <w:r>
              <w:rPr>
                <w:rFonts w:hint="default" w:ascii="Times New Roman" w:hAnsi="Times New Roman" w:eastAsia="宋体" w:cs="Times New Roman"/>
                <w:bCs/>
                <w:color w:val="000000" w:themeColor="text1"/>
                <w:sz w:val="24"/>
                <w:lang w:eastAsia="zh-CN"/>
                <w14:textFill>
                  <w14:solidFill>
                    <w14:schemeClr w14:val="tx1"/>
                  </w14:solidFill>
                </w14:textFill>
              </w:rPr>
              <w:t>木兰皇家农业综合示范园区集中供热承德富龙现代农业发展有限公司锅炉升级改造项目</w:t>
            </w:r>
            <w:r>
              <w:rPr>
                <w:rFonts w:hint="eastAsia" w:ascii="Times New Roman" w:hAnsi="Times New Roman" w:eastAsia="宋体" w:cs="Times New Roman"/>
                <w:bCs/>
                <w:color w:val="000000" w:themeColor="text1"/>
                <w:sz w:val="24"/>
                <w:lang w:val="en-US" w:eastAsia="zh-CN"/>
                <w14:textFill>
                  <w14:solidFill>
                    <w14:schemeClr w14:val="tx1"/>
                  </w14:solidFill>
                </w14:textFill>
              </w:rPr>
              <w:t>环境影响报告表</w:t>
            </w:r>
            <w:r>
              <w:rPr>
                <w:rFonts w:hint="default" w:ascii="Times New Roman" w:hAnsi="Times New Roman" w:eastAsia="宋体"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及《</w:t>
            </w:r>
            <w:r>
              <w:rPr>
                <w:rFonts w:hint="default" w:ascii="Times New Roman" w:hAnsi="Times New Roman" w:eastAsia="宋体" w:cs="Times New Roman"/>
                <w:bCs/>
                <w:color w:val="000000" w:themeColor="text1"/>
                <w:sz w:val="24"/>
                <w:lang w:eastAsia="zh-CN"/>
                <w14:textFill>
                  <w14:solidFill>
                    <w14:schemeClr w14:val="tx1"/>
                  </w14:solidFill>
                </w14:textFill>
              </w:rPr>
              <w:t>木兰皇家农业综合示范园区集中供热承德富龙现代农业发展有限公司锅炉升级改造项目</w:t>
            </w:r>
            <w:r>
              <w:rPr>
                <w:rFonts w:hint="eastAsia" w:ascii="Times New Roman" w:hAnsi="Times New Roman" w:eastAsia="宋体" w:cs="Times New Roman"/>
                <w:bCs/>
                <w:color w:val="000000" w:themeColor="text1"/>
                <w:sz w:val="24"/>
                <w:lang w:eastAsia="zh-CN"/>
                <w14:textFill>
                  <w14:solidFill>
                    <w14:schemeClr w14:val="tx1"/>
                  </w14:solidFill>
                </w14:textFill>
              </w:rPr>
              <w:t>竣工环境保护验收报告</w:t>
            </w:r>
            <w:r>
              <w:rPr>
                <w:rFonts w:hint="eastAsia" w:ascii="Times New Roman" w:hAnsi="Times New Roman" w:eastAsia="宋体" w:cs="Times New Roman"/>
                <w:bCs/>
                <w:color w:val="000000" w:themeColor="text1"/>
                <w:sz w:val="24"/>
                <w:lang w:val="en-US" w:eastAsia="zh-CN"/>
                <w14:textFill>
                  <w14:solidFill>
                    <w14:schemeClr w14:val="tx1"/>
                  </w14:solidFill>
                </w14:textFill>
              </w:rPr>
              <w:t>》，原有</w:t>
            </w:r>
            <w:r>
              <w:rPr>
                <w:rFonts w:hint="default" w:ascii="Times New Roman" w:hAnsi="Times New Roman" w:eastAsia="宋体" w:cs="Times New Roman"/>
                <w:bCs/>
                <w:color w:val="000000" w:themeColor="text1"/>
                <w:sz w:val="24"/>
                <w:vertAlign w:val="baseline"/>
                <w:lang w:val="en-US" w:eastAsia="zh-CN"/>
                <w14:textFill>
                  <w14:solidFill>
                    <w14:schemeClr w14:val="tx1"/>
                  </w14:solidFill>
                </w14:textFill>
              </w:rPr>
              <w:t>污染物排放量为二氧化硫1.</w:t>
            </w:r>
            <w:r>
              <w:rPr>
                <w:rFonts w:hint="eastAsia" w:ascii="Times New Roman" w:hAnsi="Times New Roman" w:eastAsia="宋体" w:cs="Times New Roman"/>
                <w:bCs/>
                <w:color w:val="000000" w:themeColor="text1"/>
                <w:sz w:val="24"/>
                <w:vertAlign w:val="baseline"/>
                <w:lang w:val="en-US" w:eastAsia="zh-CN"/>
                <w14:textFill>
                  <w14:solidFill>
                    <w14:schemeClr w14:val="tx1"/>
                  </w14:solidFill>
                </w14:textFill>
              </w:rPr>
              <w:t>618</w:t>
            </w:r>
            <w:r>
              <w:rPr>
                <w:rFonts w:hint="default" w:ascii="Times New Roman" w:hAnsi="Times New Roman" w:eastAsia="宋体" w:cs="Times New Roman"/>
                <w:bCs/>
                <w:color w:val="000000" w:themeColor="text1"/>
                <w:sz w:val="24"/>
                <w:vertAlign w:val="baseline"/>
                <w:lang w:val="en-US" w:eastAsia="zh-CN"/>
                <w14:textFill>
                  <w14:solidFill>
                    <w14:schemeClr w14:val="tx1"/>
                  </w14:solidFill>
                </w14:textFill>
              </w:rPr>
              <w:t>t/a、氮氧化物</w:t>
            </w:r>
            <w:r>
              <w:rPr>
                <w:rFonts w:hint="eastAsia" w:ascii="Times New Roman" w:hAnsi="Times New Roman" w:eastAsia="宋体" w:cs="Times New Roman"/>
                <w:bCs/>
                <w:color w:val="000000" w:themeColor="text1"/>
                <w:sz w:val="24"/>
                <w:vertAlign w:val="baseline"/>
                <w:lang w:val="en-US" w:eastAsia="zh-CN"/>
                <w14:textFill>
                  <w14:solidFill>
                    <w14:schemeClr w14:val="tx1"/>
                  </w14:solidFill>
                </w14:textFill>
              </w:rPr>
              <w:t>4.300</w:t>
            </w:r>
            <w:r>
              <w:rPr>
                <w:rFonts w:hint="default" w:ascii="Times New Roman" w:hAnsi="Times New Roman" w:eastAsia="宋体" w:cs="Times New Roman"/>
                <w:bCs/>
                <w:color w:val="000000" w:themeColor="text1"/>
                <w:sz w:val="24"/>
                <w:vertAlign w:val="baseline"/>
                <w:lang w:val="en-US" w:eastAsia="zh-CN"/>
                <w14:textFill>
                  <w14:solidFill>
                    <w14:schemeClr w14:val="tx1"/>
                  </w14:solidFill>
                </w14:textFill>
              </w:rPr>
              <w:t>t/a</w:t>
            </w:r>
            <w:r>
              <w:rPr>
                <w:rFonts w:hint="eastAsia" w:ascii="Times New Roman" w:hAnsi="Times New Roman" w:eastAsia="宋体" w:cs="Times New Roman"/>
                <w:bCs/>
                <w:color w:val="000000" w:themeColor="text1"/>
                <w:sz w:val="24"/>
                <w:vertAlign w:val="baseline"/>
                <w:lang w:val="en-US" w:eastAsia="zh-CN"/>
                <w14:textFill>
                  <w14:solidFill>
                    <w14:schemeClr w14:val="tx1"/>
                  </w14:solidFill>
                </w14:textFill>
              </w:rPr>
              <w:t>。</w:t>
            </w:r>
          </w:p>
          <w:p>
            <w:pPr>
              <w:pStyle w:val="18"/>
              <w:numPr>
                <w:ilvl w:val="0"/>
                <w:numId w:val="0"/>
              </w:numPr>
              <w:snapToGrid w:val="0"/>
              <w:spacing w:line="240" w:lineRule="auto"/>
              <w:ind w:firstLine="482" w:firstLineChars="200"/>
              <w:contextualSpacing/>
              <w:rPr>
                <w:rFonts w:hint="eastAsia"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lang w:val="en-US" w:eastAsia="zh-CN"/>
                <w14:textFill>
                  <w14:solidFill>
                    <w14:schemeClr w14:val="tx1"/>
                  </w14:solidFill>
                </w14:textFill>
              </w:rPr>
              <w:t>3、</w:t>
            </w:r>
            <w:r>
              <w:rPr>
                <w:rFonts w:hint="eastAsia" w:ascii="Times New Roman" w:hAnsi="Times New Roman"/>
                <w:b/>
                <w:color w:val="000000" w:themeColor="text1"/>
                <w:sz w:val="24"/>
                <w14:textFill>
                  <w14:solidFill>
                    <w14:schemeClr w14:val="tx1"/>
                  </w14:solidFill>
                </w14:textFill>
              </w:rPr>
              <w:t>本项目实施后排放总量</w:t>
            </w:r>
          </w:p>
          <w:p>
            <w:pPr>
              <w:topLinePunct/>
              <w:spacing w:line="360" w:lineRule="auto"/>
              <w:jc w:val="center"/>
              <w:textAlignment w:val="center"/>
              <w:rPr>
                <w:rFonts w:hint="eastAsia" w:ascii="Times New Roman" w:hAnsi="Times New Roman"/>
                <w:b/>
                <w:color w:val="000000" w:themeColor="text1"/>
                <w:sz w:val="24"/>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表</w:t>
            </w:r>
            <w:r>
              <w:rPr>
                <w:rFonts w:hint="eastAsia" w:ascii="Times New Roman" w:hAnsi="Times New Roman"/>
                <w:b/>
                <w:bCs/>
                <w:color w:val="000000" w:themeColor="text1"/>
                <w:sz w:val="21"/>
                <w:szCs w:val="21"/>
                <w:lang w:val="en-US" w:eastAsia="zh-CN"/>
                <w14:textFill>
                  <w14:solidFill>
                    <w14:schemeClr w14:val="tx1"/>
                  </w14:solidFill>
                </w14:textFill>
              </w:rPr>
              <w:t>3-13</w:t>
            </w:r>
            <w:r>
              <w:rPr>
                <w:rFonts w:ascii="Times New Roman" w:hAnsi="Times New Roman"/>
                <w:b/>
                <w:bCs/>
                <w:color w:val="000000" w:themeColor="text1"/>
                <w:sz w:val="21"/>
                <w:szCs w:val="21"/>
                <w14:textFill>
                  <w14:solidFill>
                    <w14:schemeClr w14:val="tx1"/>
                  </w14:solidFill>
                </w14:textFill>
              </w:rPr>
              <w:t xml:space="preserve"> </w:t>
            </w:r>
            <w:r>
              <w:rPr>
                <w:rFonts w:hint="eastAsia" w:ascii="Times New Roman" w:hAnsi="Times New Roman"/>
                <w:b/>
                <w:bCs/>
                <w:color w:val="000000" w:themeColor="text1"/>
                <w:sz w:val="21"/>
                <w:szCs w:val="21"/>
                <w:lang w:eastAsia="zh-CN"/>
                <w14:textFill>
                  <w14:solidFill>
                    <w14:schemeClr w14:val="tx1"/>
                  </w14:solidFill>
                </w14:textFill>
              </w:rPr>
              <w:t>工程改建前后大气</w:t>
            </w:r>
            <w:r>
              <w:rPr>
                <w:rFonts w:ascii="Times New Roman" w:hAnsi="Times New Roman"/>
                <w:b/>
                <w:bCs/>
                <w:color w:val="000000" w:themeColor="text1"/>
                <w:sz w:val="21"/>
                <w:szCs w:val="21"/>
                <w14:textFill>
                  <w14:solidFill>
                    <w14:schemeClr w14:val="tx1"/>
                  </w14:solidFill>
                </w14:textFill>
              </w:rPr>
              <w:t>污染物排放“三本账”</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873"/>
              <w:gridCol w:w="717"/>
              <w:gridCol w:w="1160"/>
              <w:gridCol w:w="1186"/>
              <w:gridCol w:w="1131"/>
              <w:gridCol w:w="1322"/>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8" w:type="pct"/>
                  <w:gridSpan w:val="2"/>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427"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单位</w:t>
                  </w:r>
                </w:p>
              </w:tc>
              <w:tc>
                <w:tcPr>
                  <w:tcW w:w="691"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现有工程排放量</w:t>
                  </w:r>
                </w:p>
              </w:tc>
              <w:tc>
                <w:tcPr>
                  <w:tcW w:w="707"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改建</w:t>
                  </w:r>
                  <w:r>
                    <w:rPr>
                      <w:rFonts w:hint="default" w:ascii="Times New Roman" w:hAnsi="Times New Roman" w:eastAsia="宋体" w:cs="Times New Roman"/>
                      <w:b/>
                      <w:bCs/>
                      <w:color w:val="000000" w:themeColor="text1"/>
                      <w:sz w:val="21"/>
                      <w:szCs w:val="21"/>
                      <w14:textFill>
                        <w14:solidFill>
                          <w14:schemeClr w14:val="tx1"/>
                        </w14:solidFill>
                      </w14:textFill>
                    </w:rPr>
                    <w:t>工程</w:t>
                  </w:r>
                </w:p>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w:t>
                  </w:r>
                </w:p>
              </w:tc>
              <w:tc>
                <w:tcPr>
                  <w:tcW w:w="674"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以新带老</w:t>
                  </w:r>
                </w:p>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削减量</w:t>
                  </w:r>
                </w:p>
              </w:tc>
              <w:tc>
                <w:tcPr>
                  <w:tcW w:w="788"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改建</w:t>
                  </w:r>
                  <w:r>
                    <w:rPr>
                      <w:rFonts w:hint="default" w:ascii="Times New Roman" w:hAnsi="Times New Roman" w:eastAsia="宋体" w:cs="Times New Roman"/>
                      <w:b/>
                      <w:bCs/>
                      <w:color w:val="000000" w:themeColor="text1"/>
                      <w:sz w:val="21"/>
                      <w:szCs w:val="21"/>
                      <w14:textFill>
                        <w14:solidFill>
                          <w14:schemeClr w14:val="tx1"/>
                        </w14:solidFill>
                      </w14:textFill>
                    </w:rPr>
                    <w:t>完成后总排放量</w:t>
                  </w:r>
                </w:p>
              </w:tc>
              <w:tc>
                <w:tcPr>
                  <w:tcW w:w="740"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48"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废气</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42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t/a</w:t>
                  </w:r>
                </w:p>
              </w:tc>
              <w:tc>
                <w:tcPr>
                  <w:tcW w:w="130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1.618</w:t>
                  </w:r>
                </w:p>
              </w:tc>
              <w:tc>
                <w:tcPr>
                  <w:tcW w:w="13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2.18</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w:p>
              </w:tc>
              <w:tc>
                <w:tcPr>
                  <w:tcW w:w="127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1.618</w:t>
                  </w:r>
                </w:p>
              </w:tc>
              <w:tc>
                <w:tcPr>
                  <w:tcW w:w="148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2.18</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w:p>
              </w:tc>
              <w:tc>
                <w:tcPr>
                  <w:tcW w:w="139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+0.56</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NOx</w:t>
                  </w:r>
                </w:p>
              </w:tc>
              <w:tc>
                <w:tcPr>
                  <w:tcW w:w="42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t/a</w:t>
                  </w:r>
                </w:p>
              </w:tc>
              <w:tc>
                <w:tcPr>
                  <w:tcW w:w="130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4.3</w:t>
                  </w:r>
                  <w:r>
                    <w:rPr>
                      <w:rFonts w:hint="eastAsia" w:ascii="Times New Roman" w:hAnsi="Times New Roman" w:cs="Times New Roman"/>
                      <w:bCs/>
                      <w:color w:val="000000" w:themeColor="text1"/>
                      <w:sz w:val="21"/>
                      <w:szCs w:val="21"/>
                      <w:lang w:val="en-US" w:eastAsia="zh-CN"/>
                      <w14:textFill>
                        <w14:solidFill>
                          <w14:schemeClr w14:val="tx1"/>
                        </w14:solidFill>
                      </w14:textFill>
                    </w:rPr>
                    <w:t>00</w:t>
                  </w:r>
                </w:p>
              </w:tc>
              <w:tc>
                <w:tcPr>
                  <w:tcW w:w="13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17</w:t>
                  </w:r>
                </w:p>
              </w:tc>
              <w:tc>
                <w:tcPr>
                  <w:tcW w:w="127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4.3</w:t>
                  </w:r>
                  <w:r>
                    <w:rPr>
                      <w:rFonts w:hint="eastAsia" w:ascii="Times New Roman" w:hAnsi="Times New Roman" w:cs="Times New Roman"/>
                      <w:bCs/>
                      <w:color w:val="000000" w:themeColor="text1"/>
                      <w:sz w:val="21"/>
                      <w:szCs w:val="21"/>
                      <w:lang w:val="en-US" w:eastAsia="zh-CN"/>
                      <w14:textFill>
                        <w14:solidFill>
                          <w14:schemeClr w14:val="tx1"/>
                        </w14:solidFill>
                      </w14:textFill>
                    </w:rPr>
                    <w:t>00</w:t>
                  </w:r>
                </w:p>
              </w:tc>
              <w:tc>
                <w:tcPr>
                  <w:tcW w:w="148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17</w:t>
                  </w:r>
                </w:p>
              </w:tc>
              <w:tc>
                <w:tcPr>
                  <w:tcW w:w="139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83</w:t>
                  </w:r>
                </w:p>
              </w:tc>
            </w:tr>
          </w:tbl>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r>
              <w:rPr>
                <w:rFonts w:hint="eastAsia" w:ascii="Times New Roman" w:hAnsi="Times New Roman"/>
                <w:b/>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 xml:space="preserve"> 本项目特征污染因子总量控制指标新增量为：二氧化硫0.564t/a，氮氧化物削减量为</w:t>
            </w:r>
            <w:r>
              <w:rPr>
                <w:rFonts w:hint="default" w:ascii="Times New Roman" w:hAnsi="Times New Roman" w:eastAsia="宋体" w:cs="Times New Roman"/>
                <w:bCs/>
                <w:color w:val="000000" w:themeColor="text1"/>
                <w:kern w:val="2"/>
                <w:sz w:val="24"/>
                <w:szCs w:val="22"/>
                <w:lang w:val="en-US" w:eastAsia="zh-CN" w:bidi="ar-SA"/>
                <w14:textFill>
                  <w14:solidFill>
                    <w14:schemeClr w14:val="tx1"/>
                  </w14:solidFill>
                </w14:textFill>
              </w:rPr>
              <w:t>1.1</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83t/a。项目建设完成后全厂二氧化硫、氮氧化物排放控制总量分别为2.182t/a、3.117t/a。</w:t>
            </w: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default" w:ascii="Times New Roman" w:hAnsi="Times New Roman" w:eastAsia="宋体" w:cs="Times New Roman"/>
                <w:bCs/>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FF0000"/>
                <w:sz w:val="24"/>
                <w:lang w:val="en-US" w:eastAsia="zh-CN"/>
              </w:rPr>
            </w:pPr>
          </w:p>
          <w:p>
            <w:pPr>
              <w:pStyle w:val="18"/>
              <w:numPr>
                <w:ilvl w:val="0"/>
                <w:numId w:val="0"/>
              </w:numPr>
              <w:snapToGrid w:val="0"/>
              <w:spacing w:line="360" w:lineRule="auto"/>
              <w:contextualSpacing/>
              <w:rPr>
                <w:rFonts w:hint="default" w:ascii="Times New Roman" w:hAnsi="Times New Roman" w:cs="Times New Roman" w:eastAsiaTheme="minorEastAsia"/>
                <w:b/>
                <w:color w:val="auto"/>
                <w:sz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rPr>
            </w:pPr>
          </w:p>
        </w:tc>
      </w:tr>
    </w:tbl>
    <w:p>
      <w:pPr>
        <w:pStyle w:val="19"/>
        <w:spacing w:beforeAutospacing="0" w:afterAutospacing="0" w:line="360" w:lineRule="auto"/>
        <w:jc w:val="center"/>
        <w:outlineLvl w:val="0"/>
        <w:rPr>
          <w:rFonts w:hint="default" w:ascii="黑体" w:eastAsia="黑体" w:cs="黑体"/>
          <w:sz w:val="30"/>
          <w:szCs w:val="30"/>
        </w:rPr>
      </w:pPr>
      <w:r>
        <w:rPr>
          <w:rFonts w:ascii="黑体" w:eastAsia="黑体"/>
          <w:snapToGrid w:val="0"/>
          <w:sz w:val="36"/>
          <w:szCs w:val="36"/>
          <w:lang w:bidi="ar"/>
        </w:rPr>
        <w:br w:type="page"/>
      </w:r>
      <w:r>
        <w:rPr>
          <w:rFonts w:ascii="黑体" w:eastAsia="黑体" w:cs="黑体"/>
          <w:snapToGrid w:val="0"/>
          <w:sz w:val="30"/>
          <w:szCs w:val="30"/>
        </w:rPr>
        <w:t>四、主要环境影响和保护措施</w:t>
      </w:r>
    </w:p>
    <w:tbl>
      <w:tblPr>
        <w:tblStyle w:val="24"/>
        <w:tblW w:w="90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8"/>
        <w:gridCol w:w="87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 w:type="dxa"/>
            <w:tcBorders>
              <w:top w:val="single" w:color="auto" w:sz="8" w:space="0"/>
              <w:left w:val="single" w:color="auto" w:sz="8" w:space="0"/>
              <w:right w:val="single" w:color="auto" w:sz="4" w:space="0"/>
            </w:tcBorders>
            <w:shd w:val="clear" w:color="auto" w:fill="auto"/>
            <w:tcMar>
              <w:left w:w="28" w:type="dxa"/>
              <w:right w:w="28" w:type="dxa"/>
            </w:tcMar>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运营</w:t>
            </w:r>
          </w:p>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期环</w:t>
            </w:r>
          </w:p>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境影</w:t>
            </w:r>
          </w:p>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响和</w:t>
            </w:r>
          </w:p>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保护</w:t>
            </w:r>
          </w:p>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措施</w:t>
            </w:r>
          </w:p>
        </w:tc>
        <w:tc>
          <w:tcPr>
            <w:tcW w:w="8776" w:type="dxa"/>
            <w:tcBorders>
              <w:top w:val="single" w:color="auto" w:sz="8" w:space="0"/>
              <w:left w:val="single" w:color="auto" w:sz="4" w:space="0"/>
              <w:bottom w:val="single" w:color="auto" w:sz="4" w:space="0"/>
              <w:right w:val="single" w:color="auto" w:sz="8" w:space="0"/>
            </w:tcBorders>
            <w:shd w:val="clear" w:color="auto" w:fill="auto"/>
            <w:vAlign w:val="center"/>
          </w:tcPr>
          <w:p>
            <w:pPr>
              <w:pStyle w:val="17"/>
              <w:widowControl w:val="0"/>
              <w:adjustRightInd w:val="0"/>
              <w:snapToGrid w:val="0"/>
              <w:spacing w:line="360" w:lineRule="auto"/>
              <w:ind w:left="0" w:leftChars="0"/>
              <w:rPr>
                <w:rFonts w:hint="default" w:ascii="Times New Roman" w:hAnsi="Times New Roman" w:eastAsia="宋体" w:cs="Times New Roman"/>
                <w:b/>
                <w:kern w:val="2"/>
                <w:lang w:eastAsia="zh-CN"/>
              </w:rPr>
            </w:pPr>
            <w:r>
              <w:rPr>
                <w:rFonts w:hint="default" w:ascii="Times New Roman" w:hAnsi="Times New Roman" w:eastAsia="宋体" w:cs="Times New Roman"/>
                <w:b/>
                <w:kern w:val="2"/>
              </w:rPr>
              <w:t>施工期环境保护措施</w:t>
            </w:r>
            <w:r>
              <w:rPr>
                <w:rFonts w:hint="default" w:ascii="Times New Roman" w:hAnsi="Times New Roman" w:eastAsia="宋体" w:cs="Times New Roman"/>
                <w:b/>
                <w:kern w:val="2"/>
                <w:lang w:eastAsia="zh-CN"/>
              </w:rPr>
              <w:t>：</w:t>
            </w:r>
          </w:p>
          <w:p>
            <w:pPr>
              <w:pStyle w:val="17"/>
              <w:widowControl w:val="0"/>
              <w:snapToGrid w:val="0"/>
              <w:spacing w:line="360" w:lineRule="auto"/>
              <w:ind w:left="479" w:leftChars="228"/>
              <w:rPr>
                <w:rFonts w:hint="default" w:ascii="Times New Roman" w:hAnsi="Times New Roman" w:eastAsia="宋体" w:cs="Times New Roman"/>
                <w:b/>
                <w:kern w:val="2"/>
                <w:lang w:eastAsia="zh-CN"/>
              </w:rPr>
            </w:pPr>
            <w:r>
              <w:rPr>
                <w:rFonts w:hint="default" w:ascii="Times New Roman" w:hAnsi="Times New Roman" w:eastAsia="宋体" w:cs="Times New Roman"/>
                <w:b/>
                <w:kern w:val="2"/>
                <w:lang w:eastAsia="zh-CN"/>
              </w:rPr>
              <w:t>1、施工扬尘</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lang w:eastAsia="zh-CN"/>
              </w:rPr>
              <w:t>施工期大气污染物主要为</w:t>
            </w:r>
            <w:r>
              <w:rPr>
                <w:rFonts w:hint="default" w:ascii="Times New Roman" w:hAnsi="Times New Roman" w:eastAsia="宋体" w:cs="Times New Roman"/>
                <w:sz w:val="24"/>
                <w:szCs w:val="24"/>
                <w:lang w:val="en-US" w:eastAsia="zh-CN"/>
              </w:rPr>
              <w:t>工程</w:t>
            </w:r>
            <w:r>
              <w:rPr>
                <w:rFonts w:hint="default" w:ascii="Times New Roman" w:hAnsi="Times New Roman" w:eastAsia="宋体" w:cs="Times New Roman"/>
                <w:sz w:val="24"/>
                <w:szCs w:val="24"/>
                <w:lang w:eastAsia="zh-CN"/>
              </w:rPr>
              <w:t>建设产生的扬尘，包括</w:t>
            </w:r>
            <w:r>
              <w:rPr>
                <w:rFonts w:hint="default" w:ascii="Times New Roman" w:hAnsi="Times New Roman" w:eastAsia="宋体" w:cs="Times New Roman"/>
                <w:sz w:val="24"/>
                <w:szCs w:val="24"/>
                <w:lang w:val="en-US" w:eastAsia="zh-CN"/>
              </w:rPr>
              <w:t>新建破碎楼；锅炉房、煤棚</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渣库改造</w:t>
            </w:r>
            <w:r>
              <w:rPr>
                <w:rFonts w:hint="default" w:ascii="Times New Roman" w:hAnsi="Times New Roman" w:eastAsia="宋体" w:cs="Times New Roman"/>
                <w:sz w:val="24"/>
                <w:szCs w:val="24"/>
                <w:lang w:eastAsia="zh-CN"/>
              </w:rPr>
              <w:t>等施工过程产生的扬尘，建筑物料堆场及建筑垃圾堆存处产生的扬尘。建设过程中严格落实《河北省扬尘污染防治办法》（河北省人民政府令〔2020〕第1号）、《河北省建筑施工扬尘防治强化措施18条》相关要求，主要通过采取以下措施降低扬尘产生量：</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①在施工现场周边设置硬质封闭围挡或者围墙，位于主要路段的，高度不低于2.5米，位于一般路段的，高度不低于1.8米，并在围挡底端设置不低于0.2米的防溢座；</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②建筑材料、设备的运输及建筑垃圾清运过程中，运输车辆减速慢行，运输建筑垃圾采用蓬布遮盖，以避免沿途洒落，对运输道路及时进行清扫，减少运输扬尘；</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③现场施工过程中采用洒水降尘措施，及时向易产生扬尘的施工地、路面每天2-3次洒水，如遇大风天气应适当增加洒水量及洒水次数，以减少扬尘产生量；</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④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⑤使用预拌混凝土、预拌砂浆等建筑材料，不进行现场拌和。</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通过采取上述措施，工程施工场地下风向PM10贡献浓度可控制在80ug/m3以下，符合《施工场地扬尘排放标准》(DB13/2934-2019)表1扬尘排放浓度限值要求，</w:t>
            </w:r>
            <w:r>
              <w:rPr>
                <w:rFonts w:hint="default" w:ascii="Times New Roman" w:hAnsi="Times New Roman" w:eastAsia="宋体" w:cs="Times New Roman"/>
                <w:sz w:val="24"/>
                <w:szCs w:val="24"/>
                <w:lang w:val="en-US" w:eastAsia="zh-CN"/>
              </w:rPr>
              <w:t>施工期大气环境影响可以接受</w:t>
            </w:r>
            <w:r>
              <w:rPr>
                <w:rFonts w:hint="default" w:ascii="Times New Roman" w:hAnsi="Times New Roman" w:eastAsia="宋体" w:cs="Times New Roman"/>
                <w:sz w:val="24"/>
                <w:szCs w:val="24"/>
                <w:lang w:eastAsia="zh-CN"/>
              </w:rPr>
              <w:t>。</w:t>
            </w:r>
          </w:p>
          <w:p>
            <w:pPr>
              <w:pStyle w:val="17"/>
              <w:widowControl w:val="0"/>
              <w:snapToGrid w:val="0"/>
              <w:spacing w:line="360" w:lineRule="auto"/>
              <w:ind w:left="479" w:leftChars="228"/>
              <w:rPr>
                <w:rFonts w:hint="default" w:ascii="Times New Roman" w:hAnsi="Times New Roman" w:eastAsia="宋体" w:cs="Times New Roman"/>
                <w:b/>
                <w:kern w:val="2"/>
                <w:lang w:eastAsia="zh-CN"/>
              </w:rPr>
            </w:pPr>
            <w:r>
              <w:rPr>
                <w:rFonts w:hint="default" w:ascii="Times New Roman" w:hAnsi="Times New Roman" w:eastAsia="宋体" w:cs="Times New Roman"/>
                <w:b/>
                <w:kern w:val="2"/>
                <w:lang w:eastAsia="zh-CN"/>
              </w:rPr>
              <w:t>2、施工污水</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w:t>
            </w:r>
            <w:r>
              <w:rPr>
                <w:rFonts w:hint="default" w:ascii="Times New Roman" w:hAnsi="Times New Roman" w:eastAsia="宋体" w:cs="Times New Roman"/>
                <w:sz w:val="24"/>
                <w:szCs w:val="24"/>
                <w:lang w:val="en-US" w:eastAsia="zh-CN"/>
              </w:rPr>
              <w:t>施工期</w:t>
            </w:r>
            <w:r>
              <w:rPr>
                <w:rFonts w:hint="default" w:ascii="Times New Roman" w:hAnsi="Times New Roman" w:eastAsia="宋体" w:cs="Times New Roman"/>
                <w:sz w:val="24"/>
                <w:szCs w:val="24"/>
                <w:lang w:eastAsia="zh-CN"/>
              </w:rPr>
              <w:t>产生的废水主要来自于施工人员的生活污水、施工作业产生的施工废水(主要污染物为SS)。</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施工废水沉淀后循环利用，少量污水洒水降尘；施工期工人生活污水产生量较少，水质简单，生活污水泼洒至施工场地用于降尘。项目施工期间对区域水环境影响</w:t>
            </w:r>
            <w:r>
              <w:rPr>
                <w:rFonts w:hint="default" w:ascii="Times New Roman" w:hAnsi="Times New Roman" w:eastAsia="宋体" w:cs="Times New Roman"/>
                <w:sz w:val="24"/>
                <w:szCs w:val="24"/>
                <w:lang w:val="en-US" w:eastAsia="zh-CN"/>
              </w:rPr>
              <w:t>可接受</w:t>
            </w:r>
            <w:r>
              <w:rPr>
                <w:rFonts w:hint="default" w:ascii="Times New Roman" w:hAnsi="Times New Roman" w:eastAsia="宋体" w:cs="Times New Roman"/>
                <w:sz w:val="24"/>
                <w:szCs w:val="24"/>
                <w:lang w:eastAsia="zh-CN"/>
              </w:rPr>
              <w:t>。</w:t>
            </w:r>
          </w:p>
          <w:p>
            <w:pPr>
              <w:pStyle w:val="17"/>
              <w:widowControl w:val="0"/>
              <w:snapToGrid w:val="0"/>
              <w:spacing w:line="360" w:lineRule="auto"/>
              <w:ind w:left="479" w:leftChars="228"/>
              <w:rPr>
                <w:rFonts w:hint="default" w:ascii="Times New Roman" w:hAnsi="Times New Roman" w:eastAsia="宋体" w:cs="Times New Roman"/>
                <w:b/>
                <w:kern w:val="2"/>
                <w:lang w:eastAsia="zh-CN"/>
              </w:rPr>
            </w:pPr>
            <w:r>
              <w:rPr>
                <w:rFonts w:hint="default" w:ascii="Times New Roman" w:hAnsi="Times New Roman" w:eastAsia="宋体" w:cs="Times New Roman"/>
                <w:b/>
                <w:kern w:val="2"/>
                <w:lang w:eastAsia="zh-CN"/>
              </w:rPr>
              <w:t>3、施工噪声</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w:t>
            </w:r>
            <w:r>
              <w:rPr>
                <w:rFonts w:hint="default" w:ascii="Times New Roman" w:hAnsi="Times New Roman" w:eastAsia="宋体" w:cs="Times New Roman"/>
                <w:sz w:val="24"/>
                <w:szCs w:val="24"/>
                <w:lang w:val="en-US" w:eastAsia="zh-CN"/>
              </w:rPr>
              <w:t>施工期</w:t>
            </w:r>
            <w:r>
              <w:rPr>
                <w:rFonts w:hint="default" w:ascii="Times New Roman" w:hAnsi="Times New Roman" w:eastAsia="宋体" w:cs="Times New Roman"/>
                <w:sz w:val="24"/>
                <w:szCs w:val="24"/>
                <w:lang w:eastAsia="zh-CN"/>
              </w:rPr>
              <w:t>噪声主要来自施工机械和运输车辆的噪声。施工过程中采用的施工机械一般都具有噪声高、无规则等特点，为减少噪声影响，建设单位拟采取以下降低噪声措施：</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）施工期间选用产生噪声值较低的施工设备，从源头消减噪声；</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）施工现场不得安装混凝土搅拌机，应在有关部门指定地点搅拌好后，运至工地使用，运输车辆通过要减速慢行以减低噪声；</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）施工期间建筑材料和建筑垃圾的运输路线优化选择，尽量避开村庄；</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）施工期间严格控制施工时间，若必须连续施工作业时，须提前向有关部门提出申请，并应提前张贴公告通知周边可能受到影响的居民及单位，经批准后，方可进行夜间施工；</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）合理安排施工计划、施工机械设备组合以及施工时间，</w:t>
            </w:r>
            <w:r>
              <w:rPr>
                <w:rFonts w:hint="default" w:ascii="Times New Roman" w:hAnsi="Times New Roman" w:eastAsia="宋体" w:cs="Times New Roman"/>
                <w:sz w:val="24"/>
                <w:szCs w:val="24"/>
                <w:lang w:val="en-US" w:eastAsia="zh-CN"/>
              </w:rPr>
              <w:t>夜间（22:00-06:00）禁止施工</w:t>
            </w:r>
            <w:r>
              <w:rPr>
                <w:rFonts w:hint="default" w:ascii="Times New Roman" w:hAnsi="Times New Roman" w:eastAsia="宋体" w:cs="Times New Roman"/>
                <w:sz w:val="24"/>
                <w:szCs w:val="24"/>
                <w:lang w:eastAsia="zh-CN"/>
              </w:rPr>
              <w:t>，避免在同一时间集中使用大量的动力机械设备；</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eastAsia="zh-CN"/>
              </w:rPr>
              <w:t>）加强施工期管理，施工单位设专人负责施工机械的保养和维护，保养和维护要有切实可行的规章制度，要定期对现场工作人员进行培训，每个工人都要严格按照规范使用各类机械，避免因故障产生突发噪声。</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建设单位采用上述措施后，项目施工期产生的噪声可满足《建筑施工场界环境噪声排放标准》（GB12523-2011）的要求，</w:t>
            </w:r>
            <w:r>
              <w:rPr>
                <w:rFonts w:hint="default" w:ascii="Times New Roman" w:hAnsi="Times New Roman" w:eastAsia="宋体" w:cs="Times New Roman"/>
                <w:sz w:val="24"/>
                <w:szCs w:val="24"/>
                <w:lang w:val="en-US" w:eastAsia="zh-CN"/>
              </w:rPr>
              <w:t>噪声</w:t>
            </w:r>
            <w:r>
              <w:rPr>
                <w:rFonts w:hint="default" w:ascii="Times New Roman" w:hAnsi="Times New Roman" w:eastAsia="宋体" w:cs="Times New Roman"/>
                <w:sz w:val="24"/>
                <w:szCs w:val="24"/>
                <w:lang w:eastAsia="zh-CN"/>
              </w:rPr>
              <w:t>达标排放</w:t>
            </w:r>
            <w:r>
              <w:rPr>
                <w:rFonts w:hint="eastAsia" w:ascii="Times New Roman" w:hAnsi="Times New Roman" w:eastAsia="宋体" w:cs="Times New Roman"/>
                <w:sz w:val="24"/>
                <w:szCs w:val="24"/>
                <w:lang w:eastAsia="zh-CN"/>
              </w:rPr>
              <w:t>。</w:t>
            </w:r>
          </w:p>
          <w:p>
            <w:pPr>
              <w:pStyle w:val="17"/>
              <w:widowControl w:val="0"/>
              <w:snapToGrid w:val="0"/>
              <w:spacing w:line="360" w:lineRule="auto"/>
              <w:ind w:left="479" w:leftChars="228"/>
              <w:rPr>
                <w:rFonts w:hint="default" w:ascii="Times New Roman" w:hAnsi="Times New Roman" w:eastAsia="宋体" w:cs="Times New Roman"/>
                <w:b/>
                <w:kern w:val="2"/>
                <w:lang w:eastAsia="zh-CN"/>
              </w:rPr>
            </w:pPr>
            <w:r>
              <w:rPr>
                <w:rFonts w:hint="default" w:ascii="Times New Roman" w:hAnsi="Times New Roman" w:eastAsia="宋体" w:cs="Times New Roman"/>
                <w:b/>
                <w:kern w:val="2"/>
                <w:lang w:eastAsia="zh-CN"/>
              </w:rPr>
              <w:t>4、施工固体废物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本项目施工期间</w:t>
            </w:r>
            <w:r>
              <w:rPr>
                <w:rFonts w:hint="default" w:ascii="Times New Roman" w:hAnsi="Times New Roman" w:eastAsia="宋体" w:cs="Times New Roman"/>
                <w:sz w:val="24"/>
                <w:szCs w:val="24"/>
                <w:lang w:val="en-US" w:eastAsia="zh-CN"/>
              </w:rPr>
              <w:t>产生的</w:t>
            </w:r>
            <w:r>
              <w:rPr>
                <w:rFonts w:hint="default" w:ascii="Times New Roman" w:hAnsi="Times New Roman" w:eastAsia="宋体" w:cs="Times New Roman"/>
                <w:sz w:val="24"/>
                <w:szCs w:val="24"/>
                <w:lang w:eastAsia="zh-CN"/>
              </w:rPr>
              <w:t>固体废物为建筑垃圾和生活垃圾。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工程建设过程中均会产生建筑垃圾，建筑垃圾产生量较小，运至政府部门指定的建筑垃圾处置场处理；生活垃圾采取集中收集，集中收集后定期由当地垃圾清运系统处置。采取上述措施后，施工期固体废物</w:t>
            </w:r>
            <w:r>
              <w:rPr>
                <w:rFonts w:hint="default" w:ascii="Times New Roman" w:hAnsi="Times New Roman" w:eastAsia="宋体" w:cs="Times New Roman"/>
                <w:sz w:val="24"/>
                <w:szCs w:val="24"/>
                <w:lang w:val="en-US" w:eastAsia="zh-CN"/>
              </w:rPr>
              <w:t>均得到妥善处置</w:t>
            </w:r>
            <w:r>
              <w:rPr>
                <w:rFonts w:hint="default" w:ascii="Times New Roman" w:hAnsi="Times New Roman" w:eastAsia="宋体" w:cs="Times New Roman"/>
                <w:sz w:val="24"/>
                <w:szCs w:val="24"/>
                <w:lang w:eastAsia="zh-CN"/>
              </w:rPr>
              <w:t>。</w:t>
            </w:r>
          </w:p>
          <w:p>
            <w:pPr>
              <w:pStyle w:val="17"/>
              <w:widowControl w:val="0"/>
              <w:adjustRightInd w:val="0"/>
              <w:snapToGrid w:val="0"/>
              <w:spacing w:line="360" w:lineRule="auto"/>
              <w:ind w:left="0" w:leftChars="0"/>
              <w:rPr>
                <w:rFonts w:hint="default" w:ascii="Times New Roman" w:hAnsi="Times New Roman"/>
                <w:b/>
                <w:kern w:val="2"/>
              </w:rPr>
            </w:pPr>
          </w:p>
          <w:p>
            <w:pPr>
              <w:pStyle w:val="17"/>
              <w:widowControl w:val="0"/>
              <w:adjustRightInd w:val="0"/>
              <w:snapToGrid w:val="0"/>
              <w:spacing w:line="360" w:lineRule="auto"/>
              <w:ind w:left="0" w:leftChars="0"/>
              <w:rPr>
                <w:rFonts w:hint="default" w:ascii="Times New Roman" w:hAnsi="Times New Roman"/>
                <w:b/>
                <w:kern w:val="2"/>
              </w:rPr>
            </w:pPr>
          </w:p>
          <w:p>
            <w:pPr>
              <w:pStyle w:val="17"/>
              <w:widowControl w:val="0"/>
              <w:adjustRightInd w:val="0"/>
              <w:snapToGrid w:val="0"/>
              <w:spacing w:line="360" w:lineRule="auto"/>
              <w:ind w:left="0" w:leftChars="0"/>
              <w:rPr>
                <w:rFonts w:hint="default" w:ascii="Times New Roman" w:hAnsi="Times New Roman"/>
                <w:b/>
                <w:kern w:val="2"/>
              </w:rPr>
            </w:pPr>
            <w:r>
              <w:rPr>
                <w:rFonts w:hint="default" w:ascii="Times New Roman" w:hAnsi="Times New Roman"/>
                <w:b/>
                <w:kern w:val="2"/>
              </w:rPr>
              <w:t>运营期环境影响和保护措施：</w:t>
            </w:r>
          </w:p>
          <w:p>
            <w:pPr>
              <w:pStyle w:val="17"/>
              <w:widowControl w:val="0"/>
              <w:snapToGrid w:val="0"/>
              <w:spacing w:line="360" w:lineRule="auto"/>
              <w:ind w:left="479" w:leftChars="228"/>
              <w:rPr>
                <w:rFonts w:hint="default" w:ascii="Times New Roman" w:hAnsi="Times New Roman"/>
                <w:b/>
                <w:kern w:val="2"/>
              </w:rPr>
            </w:pPr>
            <w:r>
              <w:rPr>
                <w:rFonts w:hint="default" w:ascii="Times New Roman" w:hAnsi="Times New Roman"/>
                <w:b/>
                <w:kern w:val="2"/>
              </w:rPr>
              <w:t>1、</w:t>
            </w:r>
            <w:r>
              <w:rPr>
                <w:rFonts w:ascii="Times New Roman" w:hAnsi="Times New Roman"/>
                <w:b/>
                <w:kern w:val="2"/>
              </w:rPr>
              <w:t>废气</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根据大气环境专项评价结论，本项目40t/h循环流化床燃煤锅炉废气经布袋除尘器+脱硫塔+PNCR高分子炉内脱硝后经1根45m高排气筒（DA001）排放；锅炉制煤系统上料、破碎废气经集气装置收集后经1套脉冲布袋除尘器处理，处理后的废气经1根15m高排气筒（DA002）排放</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20t/h生物质锅炉废气经布袋除尘+低氮燃烧技术后经1根45m高排气筒（DA001）排放；锅炉除尘灰由灰仓仓顶自带低压脉冲袋式除尘器处理，处理后的废气经1根15m高排气筒（DA004）排放</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破碎楼、煤棚、渣库等车间封闭，定期洒水降尘。经采取措施后大气污染物均可达标排放，</w:t>
            </w:r>
            <w:r>
              <w:rPr>
                <w:rFonts w:hint="eastAsia" w:ascii="Times New Roman" w:hAnsi="Times New Roman" w:cs="Times New Roman"/>
                <w:color w:val="auto"/>
                <w:sz w:val="24"/>
                <w:lang w:val="en-US" w:eastAsia="zh-CN"/>
              </w:rPr>
              <w:t>采用的污染治理措施均为可行技术，经评价，项目对周边大气环境影响较小。</w:t>
            </w:r>
            <w:r>
              <w:rPr>
                <w:rFonts w:hint="eastAsia" w:ascii="Times New Roman" w:hAnsi="Times New Roman" w:cs="Times New Roman"/>
                <w:color w:val="000000" w:themeColor="text1"/>
                <w:sz w:val="24"/>
                <w:lang w:val="en-US" w:eastAsia="zh-CN"/>
                <w14:textFill>
                  <w14:solidFill>
                    <w14:schemeClr w14:val="tx1"/>
                  </w14:solidFill>
                </w14:textFill>
              </w:rPr>
              <w:t>具体详见项目大气环境专项评价</w:t>
            </w:r>
            <w:r>
              <w:rPr>
                <w:rFonts w:hint="eastAsia" w:ascii="Times New Roman" w:hAnsi="Times New Roman" w:cs="Times New Roman"/>
                <w:color w:val="000000" w:themeColor="text1"/>
                <w:sz w:val="24"/>
                <w14:textFill>
                  <w14:solidFill>
                    <w14:schemeClr w14:val="tx1"/>
                  </w14:solidFill>
                </w14:textFill>
              </w:rPr>
              <w:t>。</w:t>
            </w:r>
          </w:p>
          <w:p>
            <w:pPr>
              <w:pStyle w:val="17"/>
              <w:widowControl w:val="0"/>
              <w:adjustRightInd w:val="0"/>
              <w:snapToGrid w:val="0"/>
              <w:spacing w:line="360" w:lineRule="auto"/>
              <w:ind w:left="0" w:leftChars="0" w:firstLine="482" w:firstLineChars="200"/>
              <w:rPr>
                <w:rFonts w:hint="default" w:ascii="Times New Roman" w:hAnsi="Times New Roman"/>
                <w:b/>
                <w:color w:val="auto"/>
                <w:kern w:val="2"/>
              </w:rPr>
            </w:pPr>
            <w:r>
              <w:rPr>
                <w:rFonts w:hint="default" w:ascii="Times New Roman" w:hAnsi="Times New Roman"/>
                <w:b/>
                <w:color w:val="auto"/>
                <w:kern w:val="2"/>
              </w:rPr>
              <w:t>2、</w:t>
            </w:r>
            <w:r>
              <w:rPr>
                <w:rFonts w:ascii="Times New Roman" w:hAnsi="Times New Roman"/>
                <w:b/>
                <w:color w:val="auto"/>
                <w:kern w:val="2"/>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kern w:val="2"/>
              </w:rPr>
            </w:pPr>
            <w:r>
              <w:rPr>
                <w:rFonts w:hint="eastAsia" w:ascii="Times New Roman" w:hAnsi="Times New Roman" w:cs="Times New Roman"/>
                <w:color w:val="auto"/>
                <w:sz w:val="24"/>
                <w:lang w:val="en-US" w:eastAsia="zh-CN"/>
              </w:rPr>
              <w:t>项目</w:t>
            </w:r>
            <w:r>
              <w:rPr>
                <w:rFonts w:hint="eastAsia" w:ascii="Times New Roman" w:hAnsi="Times New Roman" w:cs="Times New Roman"/>
                <w:color w:val="auto"/>
                <w:sz w:val="24"/>
                <w:lang w:eastAsia="zh-CN"/>
              </w:rPr>
              <w:t>运营期</w:t>
            </w:r>
            <w:r>
              <w:rPr>
                <w:rFonts w:hint="eastAsia" w:ascii="Times New Roman" w:hAnsi="Times New Roman" w:cs="Times New Roman"/>
                <w:color w:val="auto"/>
                <w:sz w:val="24"/>
                <w:lang w:val="en-US" w:eastAsia="zh-CN"/>
              </w:rPr>
              <w:t>生产废水</w:t>
            </w:r>
            <w:r>
              <w:rPr>
                <w:rFonts w:ascii="Times New Roman" w:hAnsi="Times New Roman" w:cs="Times New Roman"/>
                <w:color w:val="auto"/>
                <w:sz w:val="24"/>
              </w:rPr>
              <w:t>主要为</w:t>
            </w:r>
            <w:r>
              <w:rPr>
                <w:rFonts w:hint="eastAsia" w:ascii="Times New Roman" w:hAnsi="Times New Roman" w:cs="Times New Roman"/>
                <w:color w:val="auto"/>
                <w:sz w:val="24"/>
                <w:lang w:val="en-US" w:eastAsia="zh-CN"/>
              </w:rPr>
              <w:t>单级反渗透废水以及锅炉排水，</w:t>
            </w:r>
            <w:r>
              <w:rPr>
                <w:rFonts w:hint="eastAsia" w:ascii="Times New Roman" w:hAnsi="Times New Roman" w:eastAsia="宋体" w:cs="Times New Roman"/>
                <w:color w:val="auto"/>
                <w:sz w:val="24"/>
                <w:szCs w:val="24"/>
                <w:lang w:val="en-US" w:eastAsia="zh-CN"/>
              </w:rPr>
              <w:t>反渗透纯水制备废水作为脱硫系统用水，锅炉定期排水用于厂区洒水降尘，</w:t>
            </w:r>
            <w:r>
              <w:rPr>
                <w:rFonts w:hint="eastAsia" w:ascii="Times New Roman" w:hAnsi="Times New Roman" w:cs="Times New Roman"/>
                <w:color w:val="auto"/>
                <w:sz w:val="24"/>
                <w:szCs w:val="24"/>
                <w:lang w:val="en-US" w:eastAsia="zh-CN"/>
              </w:rPr>
              <w:t>主要污染因子为pH 值、化学需氧量、溶解性总固体（全盐量）</w:t>
            </w:r>
            <w:r>
              <w:rPr>
                <w:rFonts w:hint="eastAsia" w:ascii="Times New Roman" w:hAnsi="Times New Roman" w:cs="Times New Roman"/>
                <w:color w:val="auto"/>
                <w:sz w:val="24"/>
                <w:lang w:val="en-US" w:eastAsia="zh-CN"/>
              </w:rPr>
              <w:t>，</w:t>
            </w:r>
            <w:r>
              <w:rPr>
                <w:rFonts w:hint="eastAsia" w:ascii="Times New Roman" w:hAnsi="Times New Roman" w:cs="Times New Roman"/>
                <w:sz w:val="24"/>
              </w:rPr>
              <w:t>产生量较小，</w:t>
            </w:r>
            <w:r>
              <w:rPr>
                <w:rFonts w:hint="eastAsia" w:ascii="Times New Roman" w:hAnsi="Times New Roman" w:eastAsia="宋体" w:cs="Times New Roman"/>
                <w:color w:val="auto"/>
                <w:sz w:val="24"/>
                <w:szCs w:val="24"/>
                <w:lang w:val="en-US" w:eastAsia="zh-CN"/>
              </w:rPr>
              <w:t>水质简单。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锅炉定期排水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能够满足《城市污水再生利用—城市杂用水水质》（GB/T18920-2020）中道路清扫水质标准，全部综合利用，不外排，对区域水环境影响可接受</w:t>
            </w:r>
            <w:r>
              <w:rPr>
                <w:rFonts w:hint="eastAsia" w:ascii="Times New Roman" w:hAnsi="Times New Roman" w:eastAsia="宋体" w:cs="Times New Roman"/>
                <w:color w:val="auto"/>
                <w:sz w:val="24"/>
                <w:szCs w:val="24"/>
                <w:lang w:val="en-US" w:eastAsia="zh-CN"/>
              </w:rPr>
              <w:t>。</w:t>
            </w:r>
          </w:p>
          <w:p>
            <w:pPr>
              <w:pStyle w:val="17"/>
              <w:widowControl w:val="0"/>
              <w:adjustRightInd w:val="0"/>
              <w:snapToGrid w:val="0"/>
              <w:spacing w:line="360" w:lineRule="auto"/>
              <w:ind w:left="0" w:leftChars="0" w:firstLine="482" w:firstLineChars="200"/>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3、噪声</w:t>
            </w:r>
          </w:p>
          <w:p>
            <w:pPr>
              <w:widowControl/>
              <w:adjustRightInd w:val="0"/>
              <w:snapToGrid w:val="0"/>
              <w:spacing w:line="360" w:lineRule="auto"/>
              <w:ind w:firstLine="480" w:firstLineChars="200"/>
              <w:rPr>
                <w:rFonts w:hint="eastAsia" w:ascii="Times New Roman" w:hAnsi="Times New Roman" w:cs="Times New Roman"/>
                <w:sz w:val="24"/>
                <w:lang w:eastAsia="zh-CN"/>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1</w:t>
            </w:r>
            <w:r>
              <w:rPr>
                <w:rFonts w:hint="eastAsia" w:ascii="Times New Roman" w:hAnsi="Times New Roman" w:cs="Times New Roman"/>
                <w:sz w:val="24"/>
                <w:lang w:eastAsia="zh-CN"/>
              </w:rPr>
              <w:t>）噪声源强分析</w:t>
            </w:r>
          </w:p>
          <w:p>
            <w:pPr>
              <w:widowControl/>
              <w:adjustRightInd w:val="0"/>
              <w:snapToGrid w:val="0"/>
              <w:spacing w:line="360" w:lineRule="auto"/>
              <w:ind w:firstLine="480" w:firstLineChars="200"/>
              <w:rPr>
                <w:rFonts w:hint="default" w:ascii="Times New Roman" w:hAnsi="Times New Roman" w:cs="Times New Roman" w:eastAsiaTheme="minorEastAsia"/>
                <w:sz w:val="24"/>
                <w:lang w:val="en-US" w:eastAsia="zh-CN"/>
              </w:rPr>
            </w:pPr>
            <w:r>
              <w:rPr>
                <w:rFonts w:hint="default" w:ascii="Times New Roman" w:hAnsi="Times New Roman" w:cs="Times New Roman"/>
                <w:sz w:val="24"/>
              </w:rPr>
              <w:t>本项目</w:t>
            </w:r>
            <w:r>
              <w:rPr>
                <w:rFonts w:hint="eastAsia" w:ascii="Times New Roman" w:hAnsi="Times New Roman" w:cs="Times New Roman"/>
                <w:sz w:val="24"/>
                <w:lang w:eastAsia="zh-CN"/>
              </w:rPr>
              <w:t>运营期</w:t>
            </w:r>
            <w:r>
              <w:rPr>
                <w:rFonts w:hint="default" w:ascii="Times New Roman" w:hAnsi="Times New Roman" w:cs="Times New Roman"/>
                <w:sz w:val="24"/>
              </w:rPr>
              <w:t>主要噪声为生产设备噪声</w:t>
            </w:r>
            <w:r>
              <w:rPr>
                <w:rFonts w:hint="eastAsia" w:ascii="Times New Roman" w:hAnsi="Times New Roman" w:cs="Times New Roman"/>
                <w:sz w:val="24"/>
                <w:lang w:val="en-US" w:eastAsia="zh-CN"/>
              </w:rPr>
              <w:t>和车辆运输噪声</w:t>
            </w:r>
            <w:r>
              <w:rPr>
                <w:rFonts w:hint="eastAsia" w:ascii="Times New Roman" w:hAnsi="Times New Roman" w:cs="Times New Roman"/>
                <w:sz w:val="24"/>
                <w:lang w:eastAsia="zh-CN"/>
              </w:rPr>
              <w:t>，</w:t>
            </w:r>
            <w:r>
              <w:rPr>
                <w:rFonts w:hint="default" w:ascii="Times New Roman" w:hAnsi="Times New Roman" w:cs="Times New Roman"/>
                <w:sz w:val="24"/>
              </w:rPr>
              <w:t>生产设备噪声源</w:t>
            </w:r>
            <w:r>
              <w:rPr>
                <w:rFonts w:hint="eastAsia" w:ascii="Times New Roman" w:hAnsi="Times New Roman" w:cs="Times New Roman"/>
                <w:sz w:val="24"/>
                <w:lang w:val="en-US" w:eastAsia="zh-CN"/>
              </w:rPr>
              <w:t>主要</w:t>
            </w:r>
            <w:r>
              <w:rPr>
                <w:rFonts w:hint="default" w:ascii="Times New Roman" w:hAnsi="Times New Roman" w:cs="Times New Roman"/>
                <w:sz w:val="24"/>
              </w:rPr>
              <w:t>为</w:t>
            </w:r>
            <w:r>
              <w:rPr>
                <w:rFonts w:hint="eastAsia" w:ascii="Times New Roman" w:hAnsi="Times New Roman" w:cs="Times New Roman"/>
                <w:sz w:val="24"/>
                <w:lang w:eastAsia="zh-CN"/>
              </w:rPr>
              <w:t>锅炉水泵、风机</w:t>
            </w:r>
            <w:r>
              <w:rPr>
                <w:rFonts w:hint="eastAsia" w:ascii="Times New Roman" w:hAnsi="Times New Roman" w:cs="Times New Roman"/>
                <w:sz w:val="24"/>
                <w:lang w:val="en-US" w:eastAsia="zh-CN"/>
              </w:rPr>
              <w:t>、磁辊式破碎机、除渣机、除尘器风机等设备运行过程中产生的机械噪声，噪声源强为75~90dB；运输噪声为标煤运输过程产生的噪声，其强度在70~85dB。本项目噪声源强见下表。</w:t>
            </w:r>
          </w:p>
          <w:p>
            <w:pPr>
              <w:pStyle w:val="57"/>
              <w:adjustRightInd w:val="0"/>
              <w:snapToGrid w:val="0"/>
              <w:spacing w:line="360" w:lineRule="auto"/>
              <w:ind w:firstLine="0" w:firstLineChars="0"/>
              <w:jc w:val="center"/>
              <w:rPr>
                <w:rFonts w:hint="default" w:ascii="Times New Roman" w:hAnsi="Times New Roman" w:cs="Times New Roman"/>
                <w:b/>
                <w:color w:val="auto"/>
                <w:szCs w:val="16"/>
              </w:rPr>
            </w:pPr>
            <w:r>
              <w:rPr>
                <w:rFonts w:hint="default" w:ascii="Times New Roman" w:hAnsi="Times New Roman" w:cs="Times New Roman"/>
                <w:b/>
                <w:color w:val="auto"/>
                <w:szCs w:val="16"/>
              </w:rPr>
              <w:t>表4-</w:t>
            </w:r>
            <w:r>
              <w:rPr>
                <w:rFonts w:hint="eastAsia" w:ascii="Times New Roman" w:hAnsi="Times New Roman" w:cs="Times New Roman"/>
                <w:b/>
                <w:color w:val="auto"/>
                <w:szCs w:val="16"/>
                <w:lang w:val="en-US" w:eastAsia="zh-CN"/>
              </w:rPr>
              <w:t>1</w:t>
            </w:r>
            <w:r>
              <w:rPr>
                <w:rFonts w:hint="default" w:ascii="Times New Roman" w:hAnsi="Times New Roman" w:cs="Times New Roman"/>
                <w:b/>
                <w:color w:val="auto"/>
                <w:szCs w:val="16"/>
              </w:rPr>
              <w:t xml:space="preserve">  主要噪声源一览表</w:t>
            </w:r>
          </w:p>
          <w:tbl>
            <w:tblPr>
              <w:tblStyle w:val="24"/>
              <w:tblW w:w="492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60"/>
              <w:gridCol w:w="1612"/>
              <w:gridCol w:w="1519"/>
              <w:gridCol w:w="1519"/>
              <w:gridCol w:w="2016"/>
              <w:gridCol w:w="12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956"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噪声源</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000000" w:themeColor="text1"/>
                      <w:sz w:val="21"/>
                      <w:szCs w:val="21"/>
                      <w14:textFill>
                        <w14:solidFill>
                          <w14:schemeClr w14:val="tx1"/>
                        </w14:solidFill>
                      </w14:textFill>
                    </w:rPr>
                    <w:t>数量（台/套/辆）</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eastAsia" w:ascii="Times New Roman" w:hAnsi="Times New Roman" w:cs="Times New Roman" w:eastAsiaTheme="minorEastAsia"/>
                      <w:b/>
                      <w:bCs/>
                      <w:color w:val="auto"/>
                      <w:sz w:val="21"/>
                      <w:szCs w:val="21"/>
                      <w:lang w:eastAsia="zh-CN"/>
                    </w:rPr>
                  </w:pPr>
                  <w:r>
                    <w:rPr>
                      <w:rFonts w:hint="default" w:ascii="Times New Roman" w:hAnsi="Times New Roman" w:cs="Times New Roman"/>
                      <w:b/>
                      <w:bCs/>
                      <w:color w:val="auto"/>
                      <w:sz w:val="21"/>
                      <w:szCs w:val="21"/>
                    </w:rPr>
                    <w:t>噪声等级</w:t>
                  </w:r>
                  <w:r>
                    <w:rPr>
                      <w:rFonts w:hint="eastAsia" w:ascii="Times New Roman" w:hAnsi="Times New Roman" w:cs="Times New Roman"/>
                      <w:b/>
                      <w:bCs/>
                      <w:color w:val="auto"/>
                      <w:sz w:val="21"/>
                      <w:szCs w:val="21"/>
                      <w:lang w:eastAsia="zh-CN"/>
                    </w:rPr>
                    <w:t>（dB）</w:t>
                  </w:r>
                </w:p>
              </w:tc>
              <w:tc>
                <w:tcPr>
                  <w:tcW w:w="1195"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采取的措施</w:t>
                  </w:r>
                </w:p>
              </w:tc>
              <w:tc>
                <w:tcPr>
                  <w:tcW w:w="713"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降噪效果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锅炉水泵</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85</w:t>
                  </w:r>
                </w:p>
              </w:tc>
              <w:tc>
                <w:tcPr>
                  <w:tcW w:w="1195" w:type="pct"/>
                  <w:vMerge w:val="restart"/>
                  <w:tcBorders>
                    <w:top w:val="single" w:color="auto" w:sz="4" w:space="0"/>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选用低噪声设备、生产车间封闭、进行基础减振</w:t>
                  </w:r>
                </w:p>
              </w:tc>
              <w:tc>
                <w:tcPr>
                  <w:tcW w:w="713" w:type="pct"/>
                  <w:vMerge w:val="restart"/>
                  <w:tcBorders>
                    <w:top w:val="single" w:color="auto" w:sz="4" w:space="0"/>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降噪25-30dB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eastAsiaTheme="minorEastAsia"/>
                      <w:color w:val="auto"/>
                      <w:kern w:val="21"/>
                      <w:sz w:val="21"/>
                      <w:szCs w:val="21"/>
                      <w:lang w:val="en-US" w:eastAsia="zh-CN" w:bidi="ar-SA"/>
                    </w:rPr>
                  </w:pPr>
                  <w:r>
                    <w:rPr>
                      <w:rFonts w:hint="default" w:ascii="Times New Roman" w:hAnsi="Times New Roman" w:cs="Times New Roman"/>
                      <w:color w:val="auto"/>
                      <w:sz w:val="21"/>
                      <w:szCs w:val="21"/>
                    </w:rPr>
                    <w:t>2</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锅炉引风机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eastAsiaTheme="minorEastAsia"/>
                      <w:color w:val="auto"/>
                      <w:kern w:val="21"/>
                      <w:sz w:val="21"/>
                      <w:szCs w:val="21"/>
                      <w:lang w:val="en-US" w:eastAsia="zh-CN" w:bidi="ar-SA"/>
                    </w:rPr>
                  </w:pPr>
                  <w:r>
                    <w:rPr>
                      <w:rFonts w:hint="eastAsia" w:ascii="Times New Roman" w:hAnsi="Times New Roman" w:cs="Times New Roman"/>
                      <w:color w:val="auto"/>
                      <w:sz w:val="21"/>
                      <w:szCs w:val="21"/>
                      <w:lang w:val="en-US" w:eastAsia="zh-CN"/>
                    </w:rPr>
                    <w:t>90</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cs="Times New Roman"/>
                      <w:color w:val="auto"/>
                      <w:sz w:val="21"/>
                      <w:szCs w:val="21"/>
                      <w:lang w:val="en-US" w:eastAsia="zh-CN"/>
                    </w:rPr>
                    <w:t>3</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锅炉一次风机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kern w:val="21"/>
                      <w:sz w:val="21"/>
                      <w:szCs w:val="21"/>
                      <w:lang w:val="en-US" w:eastAsia="zh-CN" w:bidi="ar-SA"/>
                    </w:rPr>
                    <w:t>4</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锅炉二次风机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锅炉</w:t>
                  </w:r>
                  <w:r>
                    <w:rPr>
                      <w:rFonts w:ascii="Times New Roman" w:hAnsi="Times New Roman" w:eastAsia="宋体" w:cs="Times New Roman"/>
                      <w:color w:val="000000"/>
                      <w:kern w:val="0"/>
                      <w:szCs w:val="21"/>
                      <w:lang w:bidi="ar"/>
                    </w:rPr>
                    <w:t>返料风机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磁辊式破碎机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95</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kern w:val="21"/>
                      <w:sz w:val="21"/>
                      <w:szCs w:val="21"/>
                      <w:lang w:val="en-US" w:eastAsia="zh-CN" w:bidi="ar-SA"/>
                    </w:rPr>
                    <w:t>7</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除渣机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eastAsiaTheme="minorEastAsia"/>
                      <w:color w:val="auto"/>
                      <w:kern w:val="21"/>
                      <w:sz w:val="21"/>
                      <w:szCs w:val="21"/>
                      <w:lang w:val="en-US" w:eastAsia="zh-CN" w:bidi="ar-SA"/>
                    </w:rPr>
                  </w:pPr>
                  <w:r>
                    <w:rPr>
                      <w:rFonts w:hint="eastAsia" w:ascii="Times New Roman" w:hAnsi="Times New Roman" w:cs="Times New Roman"/>
                      <w:color w:val="auto"/>
                      <w:sz w:val="21"/>
                      <w:szCs w:val="21"/>
                      <w:lang w:val="en-US" w:eastAsia="zh-CN"/>
                    </w:rPr>
                    <w:t>90</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kern w:val="21"/>
                      <w:sz w:val="21"/>
                      <w:szCs w:val="21"/>
                      <w:lang w:val="en-US" w:eastAsia="zh-CN" w:bidi="ar-SA"/>
                    </w:rPr>
                    <w:t>8</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除尘器风机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956"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运输车辆</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～85</w:t>
                  </w:r>
                  <w:r>
                    <w:rPr>
                      <w:rFonts w:hint="default" w:ascii="Times New Roman" w:hAnsi="Times New Roman" w:cs="Times New Roman"/>
                      <w:b/>
                      <w:bCs/>
                      <w:color w:val="auto"/>
                      <w:sz w:val="21"/>
                      <w:szCs w:val="21"/>
                    </w:rPr>
                    <w:t xml:space="preserve"> </w:t>
                  </w:r>
                </w:p>
              </w:tc>
              <w:tc>
                <w:tcPr>
                  <w:tcW w:w="1195" w:type="pct"/>
                  <w:tcBorders>
                    <w:top w:val="single" w:color="auto" w:sz="4" w:space="0"/>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加强管理，运输车辆应减速、禁鸣</w:t>
                  </w: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p>
              </w:tc>
            </w:tr>
          </w:tbl>
          <w:p>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cs="Times New Roman" w:eastAsiaTheme="minorEastAsia"/>
                <w:sz w:val="24"/>
                <w:lang w:eastAsia="zh-CN"/>
              </w:rPr>
            </w:pPr>
            <w:r>
              <w:rPr>
                <w:rFonts w:hint="default" w:ascii="Times New Roman" w:hAnsi="Times New Roman" w:cs="Times New Roman"/>
                <w:sz w:val="24"/>
              </w:rPr>
              <w:t>项目声环境影响预测使用石家庄环安科技有限公司的噪声环境影响评价系统（NoiseSystem）进行噪声预测，预测过程中，各噪声设备在一定的距离处可以被视作点源，设备所处位置、与墙壁的距离、房间常数、与预测点的距离、隔墙厚度等均按实际布设确定，同时考虑了地形因素的影响</w:t>
            </w:r>
            <w:r>
              <w:rPr>
                <w:rFonts w:hint="eastAsia" w:ascii="Times New Roman" w:hAnsi="Times New Roman" w:cs="Times New Roman"/>
                <w:sz w:val="24"/>
                <w:lang w:eastAsia="zh-CN"/>
              </w:rPr>
              <w:t>。</w:t>
            </w:r>
          </w:p>
          <w:p>
            <w:pPr>
              <w:adjustRightInd w:val="0"/>
              <w:snapToGrid w:val="0"/>
              <w:spacing w:line="360" w:lineRule="auto"/>
              <w:ind w:firstLine="480"/>
              <w:rPr>
                <w:rFonts w:ascii="Times New Roman" w:hAnsi="Times New Roman" w:cs="Times New Roman"/>
                <w:b/>
                <w:bCs/>
                <w:color w:val="auto"/>
                <w:szCs w:val="21"/>
              </w:rPr>
            </w:pPr>
            <w:r>
              <w:rPr>
                <w:rFonts w:ascii="Times New Roman" w:hAnsi="Times New Roman" w:cs="Times New Roman"/>
                <w:color w:val="000000" w:themeColor="text1"/>
                <w:sz w:val="24"/>
                <w14:textFill>
                  <w14:solidFill>
                    <w14:schemeClr w14:val="tx1"/>
                  </w14:solidFill>
                </w14:textFill>
              </w:rPr>
              <w:t>项目噪声预</w:t>
            </w:r>
            <w:r>
              <w:rPr>
                <w:rFonts w:ascii="Times New Roman" w:hAnsi="Times New Roman" w:cs="Times New Roman"/>
                <w:color w:val="auto"/>
                <w:sz w:val="24"/>
              </w:rPr>
              <w:t>测结果如下表所示：</w:t>
            </w:r>
          </w:p>
          <w:p>
            <w:pPr>
              <w:widowControl/>
              <w:adjustRightInd w:val="0"/>
              <w:snapToGrid w:val="0"/>
              <w:spacing w:line="360" w:lineRule="auto"/>
              <w:jc w:val="center"/>
              <w:rPr>
                <w:rFonts w:hint="default"/>
                <w:color w:val="auto"/>
                <w:lang w:val="zh-CN"/>
              </w:rPr>
            </w:pPr>
            <w:r>
              <w:rPr>
                <w:rFonts w:ascii="Times New Roman" w:hAnsi="Times New Roman" w:cs="Times New Roman"/>
                <w:b/>
                <w:bCs/>
                <w:color w:val="auto"/>
                <w:szCs w:val="21"/>
              </w:rPr>
              <w:t>表4</w:t>
            </w:r>
            <w:r>
              <w:rPr>
                <w:rFonts w:hint="eastAsia" w:ascii="Times New Roman" w:hAnsi="Times New Roman" w:cs="Times New Roman"/>
                <w:b/>
                <w:bCs/>
                <w:color w:val="auto"/>
                <w:szCs w:val="21"/>
              </w:rPr>
              <w:t>-</w:t>
            </w:r>
            <w:r>
              <w:rPr>
                <w:rFonts w:hint="eastAsia" w:ascii="Times New Roman" w:hAnsi="Times New Roman" w:cs="Times New Roman"/>
                <w:b/>
                <w:bCs/>
                <w:color w:val="auto"/>
                <w:szCs w:val="21"/>
                <w:lang w:val="en-US" w:eastAsia="zh-CN"/>
              </w:rPr>
              <w:t>2</w:t>
            </w:r>
            <w:r>
              <w:rPr>
                <w:rFonts w:ascii="Times New Roman" w:hAnsi="Times New Roman" w:cs="Times New Roman"/>
                <w:b/>
                <w:bCs/>
                <w:color w:val="auto"/>
                <w:szCs w:val="21"/>
              </w:rPr>
              <w:t xml:space="preserve">  </w:t>
            </w:r>
            <w:r>
              <w:rPr>
                <w:rFonts w:hint="default" w:ascii="Times New Roman" w:hAnsi="Times New Roman" w:cs="Times New Roman"/>
                <w:b/>
                <w:color w:val="auto"/>
                <w:sz w:val="21"/>
                <w:szCs w:val="21"/>
              </w:rPr>
              <w:t>项目噪声预测结果一览表</w:t>
            </w:r>
            <w:r>
              <w:rPr>
                <w:rFonts w:hint="eastAsia"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 xml:space="preserve"> 单位：</w:t>
            </w:r>
            <w:r>
              <w:rPr>
                <w:rFonts w:hint="default" w:ascii="Times New Roman" w:hAnsi="Times New Roman" w:cs="Times New Roman"/>
                <w:b/>
                <w:color w:val="auto"/>
                <w:sz w:val="18"/>
                <w:szCs w:val="18"/>
              </w:rPr>
              <w:t>dB</w:t>
            </w:r>
          </w:p>
          <w:tbl>
            <w:tblPr>
              <w:tblStyle w:val="24"/>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716"/>
              <w:gridCol w:w="900"/>
              <w:gridCol w:w="1050"/>
              <w:gridCol w:w="1033"/>
              <w:gridCol w:w="2866"/>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shd w:val="clear" w:color="auto" w:fill="auto"/>
                  <w:vAlign w:val="center"/>
                </w:tcPr>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点位</w:t>
                  </w:r>
                </w:p>
              </w:tc>
              <w:tc>
                <w:tcPr>
                  <w:tcW w:w="946" w:type="pct"/>
                  <w:gridSpan w:val="2"/>
                  <w:vAlign w:val="center"/>
                </w:tcPr>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贡献值</w:t>
                  </w:r>
                </w:p>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dB</w:t>
                  </w:r>
                </w:p>
              </w:tc>
              <w:tc>
                <w:tcPr>
                  <w:tcW w:w="615" w:type="pct"/>
                  <w:vAlign w:val="center"/>
                </w:tcPr>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背景值</w:t>
                  </w:r>
                </w:p>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dB</w:t>
                  </w:r>
                </w:p>
              </w:tc>
              <w:tc>
                <w:tcPr>
                  <w:tcW w:w="605" w:type="pct"/>
                  <w:vAlign w:val="center"/>
                </w:tcPr>
                <w:p>
                  <w:pPr>
                    <w:snapToGrid w:val="0"/>
                    <w:spacing w:line="276" w:lineRule="auto"/>
                    <w:jc w:val="center"/>
                    <w:rPr>
                      <w:rFonts w:hint="default" w:ascii="Times New Roman" w:hAnsi="Times New Roman" w:cs="Times New Roman" w:eastAsiaTheme="minorEastAsia"/>
                      <w:b/>
                      <w:color w:val="auto"/>
                      <w:szCs w:val="21"/>
                      <w:lang w:val="en-US" w:eastAsia="zh-CN"/>
                    </w:rPr>
                  </w:pPr>
                  <w:r>
                    <w:rPr>
                      <w:rFonts w:hint="eastAsia" w:ascii="Times New Roman" w:hAnsi="Times New Roman" w:cs="Times New Roman"/>
                      <w:b/>
                      <w:color w:val="auto"/>
                      <w:szCs w:val="21"/>
                      <w:lang w:val="en-US" w:eastAsia="zh-CN"/>
                    </w:rPr>
                    <w:t>预测值</w:t>
                  </w:r>
                </w:p>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dB</w:t>
                  </w:r>
                </w:p>
              </w:tc>
              <w:tc>
                <w:tcPr>
                  <w:tcW w:w="1678" w:type="pct"/>
                  <w:vAlign w:val="center"/>
                </w:tcPr>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标准值</w:t>
                  </w:r>
                </w:p>
              </w:tc>
              <w:tc>
                <w:tcPr>
                  <w:tcW w:w="439" w:type="pct"/>
                  <w:shd w:val="clear" w:color="auto" w:fill="auto"/>
                  <w:vAlign w:val="center"/>
                </w:tcPr>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北侧厂界</w:t>
                  </w:r>
                </w:p>
              </w:tc>
              <w:tc>
                <w:tcPr>
                  <w:tcW w:w="419" w:type="pct"/>
                  <w:vAlign w:val="center"/>
                </w:tcPr>
                <w:p>
                  <w:pPr>
                    <w:snapToGrid w:val="0"/>
                    <w:spacing w:line="276"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昼</w:t>
                  </w:r>
                </w:p>
              </w:tc>
              <w:tc>
                <w:tcPr>
                  <w:tcW w:w="5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15.85</w:t>
                  </w:r>
                </w:p>
              </w:tc>
              <w:tc>
                <w:tcPr>
                  <w:tcW w:w="61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54.00</w:t>
                  </w:r>
                </w:p>
              </w:tc>
              <w:tc>
                <w:tcPr>
                  <w:tcW w:w="60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54.00</w:t>
                  </w:r>
                </w:p>
              </w:tc>
              <w:tc>
                <w:tcPr>
                  <w:tcW w:w="1678" w:type="pct"/>
                  <w:vMerge w:val="restart"/>
                  <w:vAlign w:val="center"/>
                </w:tcPr>
                <w:p>
                  <w:pPr>
                    <w:topLinePunct/>
                    <w:adjustRightInd w:val="0"/>
                    <w:snapToGrid w:val="0"/>
                    <w:spacing w:line="276" w:lineRule="auto"/>
                    <w:jc w:val="center"/>
                    <w:textAlignment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厂界噪声</w:t>
                  </w:r>
                  <w:r>
                    <w:rPr>
                      <w:rFonts w:hint="default" w:ascii="Times New Roman" w:hAnsi="Times New Roman" w:cs="Times New Roman"/>
                      <w:color w:val="auto"/>
                      <w:szCs w:val="21"/>
                      <w:lang w:val="en-US" w:eastAsia="zh-CN"/>
                    </w:rPr>
                    <w:t>执行《工业企业厂界环境噪声排放标准》（GB12348-2008）</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类标准</w:t>
                  </w:r>
                </w:p>
                <w:p>
                  <w:pPr>
                    <w:topLinePunct/>
                    <w:adjustRightInd w:val="0"/>
                    <w:snapToGrid w:val="0"/>
                    <w:spacing w:line="276" w:lineRule="auto"/>
                    <w:jc w:val="center"/>
                    <w:textAlignment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昼间≤60，夜间≤50</w:t>
                  </w:r>
                </w:p>
              </w:tc>
              <w:tc>
                <w:tcPr>
                  <w:tcW w:w="439"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c>
                <w:tcPr>
                  <w:tcW w:w="419" w:type="pc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夜</w:t>
                  </w:r>
                </w:p>
              </w:tc>
              <w:tc>
                <w:tcPr>
                  <w:tcW w:w="5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14.28</w:t>
                  </w:r>
                </w:p>
              </w:tc>
              <w:tc>
                <w:tcPr>
                  <w:tcW w:w="61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44.20</w:t>
                  </w:r>
                </w:p>
              </w:tc>
              <w:tc>
                <w:tcPr>
                  <w:tcW w:w="60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44.20</w:t>
                  </w:r>
                </w:p>
              </w:tc>
              <w:tc>
                <w:tcPr>
                  <w:tcW w:w="1678" w:type="pct"/>
                  <w:vMerge w:val="continue"/>
                  <w:vAlign w:val="center"/>
                </w:tcPr>
                <w:p>
                  <w:pPr>
                    <w:topLinePunct/>
                    <w:adjustRightInd w:val="0"/>
                    <w:snapToGrid w:val="0"/>
                    <w:spacing w:line="276" w:lineRule="auto"/>
                    <w:jc w:val="center"/>
                    <w:textAlignment w:val="center"/>
                    <w:rPr>
                      <w:rFonts w:hint="default" w:ascii="Times New Roman" w:hAnsi="Times New Roman" w:cs="Times New Roman"/>
                      <w:color w:val="auto"/>
                      <w:szCs w:val="21"/>
                      <w:lang w:val="en-US" w:eastAsia="zh-CN"/>
                    </w:rPr>
                  </w:pPr>
                </w:p>
              </w:tc>
              <w:tc>
                <w:tcPr>
                  <w:tcW w:w="439"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东侧厂界</w:t>
                  </w:r>
                </w:p>
              </w:tc>
              <w:tc>
                <w:tcPr>
                  <w:tcW w:w="419" w:type="pct"/>
                  <w:vAlign w:val="center"/>
                </w:tcPr>
                <w:p>
                  <w:pPr>
                    <w:snapToGrid w:val="0"/>
                    <w:spacing w:line="276" w:lineRule="auto"/>
                    <w:jc w:val="center"/>
                    <w:rPr>
                      <w:rFonts w:hint="eastAsia"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昼</w:t>
                  </w:r>
                </w:p>
              </w:tc>
              <w:tc>
                <w:tcPr>
                  <w:tcW w:w="527" w:type="pct"/>
                  <w:vAlign w:val="center"/>
                </w:tcPr>
                <w:p>
                  <w:pPr>
                    <w:keepNext w:val="0"/>
                    <w:keepLines w:val="0"/>
                    <w:widowControl/>
                    <w:suppressLineNumbers w:val="0"/>
                    <w:jc w:val="center"/>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37.59</w:t>
                  </w:r>
                </w:p>
              </w:tc>
              <w:tc>
                <w:tcPr>
                  <w:tcW w:w="61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54.00</w:t>
                  </w:r>
                </w:p>
              </w:tc>
              <w:tc>
                <w:tcPr>
                  <w:tcW w:w="60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54.10</w:t>
                  </w:r>
                </w:p>
              </w:tc>
              <w:tc>
                <w:tcPr>
                  <w:tcW w:w="1678" w:type="pct"/>
                  <w:vMerge w:val="continue"/>
                  <w:vAlign w:val="center"/>
                </w:tcPr>
                <w:p>
                  <w:pPr>
                    <w:snapToGrid w:val="0"/>
                    <w:spacing w:line="276" w:lineRule="auto"/>
                    <w:jc w:val="center"/>
                    <w:rPr>
                      <w:rFonts w:ascii="Times New Roman" w:hAnsi="Times New Roman" w:cs="Times New Roman"/>
                      <w:color w:val="auto"/>
                      <w:szCs w:val="21"/>
                    </w:rPr>
                  </w:pPr>
                </w:p>
              </w:tc>
              <w:tc>
                <w:tcPr>
                  <w:tcW w:w="439"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c>
                <w:tcPr>
                  <w:tcW w:w="419" w:type="pc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夜</w:t>
                  </w:r>
                </w:p>
              </w:tc>
              <w:tc>
                <w:tcPr>
                  <w:tcW w:w="527" w:type="pct"/>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37.54</w:t>
                  </w:r>
                </w:p>
              </w:tc>
              <w:tc>
                <w:tcPr>
                  <w:tcW w:w="61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44.60</w:t>
                  </w:r>
                </w:p>
              </w:tc>
              <w:tc>
                <w:tcPr>
                  <w:tcW w:w="60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45.38</w:t>
                  </w:r>
                </w:p>
              </w:tc>
              <w:tc>
                <w:tcPr>
                  <w:tcW w:w="1678" w:type="pct"/>
                  <w:vMerge w:val="continue"/>
                  <w:vAlign w:val="center"/>
                </w:tcPr>
                <w:p>
                  <w:pPr>
                    <w:snapToGrid w:val="0"/>
                    <w:spacing w:line="276" w:lineRule="auto"/>
                    <w:jc w:val="center"/>
                    <w:rPr>
                      <w:rFonts w:ascii="Times New Roman" w:hAnsi="Times New Roman" w:cs="Times New Roman"/>
                      <w:color w:val="auto"/>
                      <w:szCs w:val="21"/>
                    </w:rPr>
                  </w:pPr>
                </w:p>
              </w:tc>
              <w:tc>
                <w:tcPr>
                  <w:tcW w:w="439"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hint="eastAsia" w:ascii="Times New Roman" w:hAnsi="Times New Roman" w:cs="Times New Roman"/>
                      <w:color w:val="auto"/>
                      <w:szCs w:val="21"/>
                      <w:lang w:eastAsia="zh-CN"/>
                    </w:rPr>
                    <w:t>南</w:t>
                  </w:r>
                  <w:r>
                    <w:rPr>
                      <w:rFonts w:ascii="Times New Roman" w:hAnsi="Times New Roman" w:cs="Times New Roman"/>
                      <w:color w:val="auto"/>
                      <w:szCs w:val="21"/>
                    </w:rPr>
                    <w:t>侧厂界</w:t>
                  </w:r>
                </w:p>
              </w:tc>
              <w:tc>
                <w:tcPr>
                  <w:tcW w:w="419" w:type="pct"/>
                  <w:vAlign w:val="center"/>
                </w:tcPr>
                <w:p>
                  <w:pPr>
                    <w:snapToGrid w:val="0"/>
                    <w:spacing w:line="276" w:lineRule="auto"/>
                    <w:jc w:val="center"/>
                    <w:rPr>
                      <w:rFonts w:hint="eastAsia"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昼</w:t>
                  </w:r>
                </w:p>
              </w:tc>
              <w:tc>
                <w:tcPr>
                  <w:tcW w:w="527" w:type="pct"/>
                  <w:vAlign w:val="center"/>
                </w:tcPr>
                <w:p>
                  <w:pPr>
                    <w:keepNext w:val="0"/>
                    <w:keepLines w:val="0"/>
                    <w:widowControl/>
                    <w:suppressLineNumbers w:val="0"/>
                    <w:jc w:val="center"/>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24.36</w:t>
                  </w:r>
                </w:p>
              </w:tc>
              <w:tc>
                <w:tcPr>
                  <w:tcW w:w="61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57.30</w:t>
                  </w:r>
                </w:p>
              </w:tc>
              <w:tc>
                <w:tcPr>
                  <w:tcW w:w="60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57.30</w:t>
                  </w:r>
                </w:p>
              </w:tc>
              <w:tc>
                <w:tcPr>
                  <w:tcW w:w="1678" w:type="pct"/>
                  <w:vMerge w:val="continue"/>
                  <w:vAlign w:val="center"/>
                </w:tcPr>
                <w:p>
                  <w:pPr>
                    <w:snapToGrid w:val="0"/>
                    <w:spacing w:line="276" w:lineRule="auto"/>
                    <w:jc w:val="center"/>
                    <w:rPr>
                      <w:rFonts w:ascii="Times New Roman" w:hAnsi="Times New Roman" w:cs="Times New Roman"/>
                      <w:color w:val="auto"/>
                      <w:szCs w:val="21"/>
                    </w:rPr>
                  </w:pPr>
                </w:p>
              </w:tc>
              <w:tc>
                <w:tcPr>
                  <w:tcW w:w="439"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c>
                <w:tcPr>
                  <w:tcW w:w="419" w:type="pc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夜</w:t>
                  </w:r>
                </w:p>
              </w:tc>
              <w:tc>
                <w:tcPr>
                  <w:tcW w:w="527" w:type="pct"/>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22.61</w:t>
                  </w:r>
                </w:p>
              </w:tc>
              <w:tc>
                <w:tcPr>
                  <w:tcW w:w="61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47.80</w:t>
                  </w:r>
                </w:p>
              </w:tc>
              <w:tc>
                <w:tcPr>
                  <w:tcW w:w="60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47.81</w:t>
                  </w:r>
                </w:p>
              </w:tc>
              <w:tc>
                <w:tcPr>
                  <w:tcW w:w="1678" w:type="pct"/>
                  <w:vMerge w:val="continue"/>
                  <w:vAlign w:val="center"/>
                </w:tcPr>
                <w:p>
                  <w:pPr>
                    <w:snapToGrid w:val="0"/>
                    <w:spacing w:line="276" w:lineRule="auto"/>
                    <w:jc w:val="center"/>
                    <w:rPr>
                      <w:rFonts w:ascii="Times New Roman" w:hAnsi="Times New Roman" w:cs="Times New Roman"/>
                      <w:color w:val="auto"/>
                      <w:szCs w:val="21"/>
                    </w:rPr>
                  </w:pPr>
                </w:p>
              </w:tc>
              <w:tc>
                <w:tcPr>
                  <w:tcW w:w="439"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西侧厂界</w:t>
                  </w:r>
                </w:p>
              </w:tc>
              <w:tc>
                <w:tcPr>
                  <w:tcW w:w="419" w:type="pct"/>
                  <w:vAlign w:val="center"/>
                </w:tcPr>
                <w:p>
                  <w:pPr>
                    <w:snapToGrid w:val="0"/>
                    <w:spacing w:line="276" w:lineRule="auto"/>
                    <w:jc w:val="center"/>
                    <w:rPr>
                      <w:rFonts w:hint="eastAsia"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昼</w:t>
                  </w:r>
                </w:p>
              </w:tc>
              <w:tc>
                <w:tcPr>
                  <w:tcW w:w="527" w:type="pct"/>
                  <w:vAlign w:val="center"/>
                </w:tcPr>
                <w:p>
                  <w:pPr>
                    <w:keepNext w:val="0"/>
                    <w:keepLines w:val="0"/>
                    <w:widowControl/>
                    <w:suppressLineNumbers w:val="0"/>
                    <w:jc w:val="center"/>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18.80</w:t>
                  </w:r>
                </w:p>
              </w:tc>
              <w:tc>
                <w:tcPr>
                  <w:tcW w:w="61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55.70</w:t>
                  </w:r>
                </w:p>
              </w:tc>
              <w:tc>
                <w:tcPr>
                  <w:tcW w:w="605" w:type="pct"/>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55.70</w:t>
                  </w:r>
                </w:p>
              </w:tc>
              <w:tc>
                <w:tcPr>
                  <w:tcW w:w="1678" w:type="pct"/>
                  <w:vMerge w:val="continue"/>
                  <w:vAlign w:val="center"/>
                </w:tcPr>
                <w:p>
                  <w:pPr>
                    <w:snapToGrid w:val="0"/>
                    <w:spacing w:line="276" w:lineRule="auto"/>
                    <w:jc w:val="center"/>
                    <w:rPr>
                      <w:rFonts w:hint="default" w:ascii="Times New Roman" w:hAnsi="Times New Roman" w:cs="Times New Roman"/>
                      <w:color w:val="auto"/>
                      <w:szCs w:val="21"/>
                      <w:lang w:val="en-US"/>
                    </w:rPr>
                  </w:pPr>
                </w:p>
              </w:tc>
              <w:tc>
                <w:tcPr>
                  <w:tcW w:w="439"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c>
                <w:tcPr>
                  <w:tcW w:w="419" w:type="pc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夜</w:t>
                  </w:r>
                </w:p>
              </w:tc>
              <w:tc>
                <w:tcPr>
                  <w:tcW w:w="527" w:type="pct"/>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16.96</w:t>
                  </w:r>
                </w:p>
              </w:tc>
              <w:tc>
                <w:tcPr>
                  <w:tcW w:w="61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46.60</w:t>
                  </w:r>
                </w:p>
              </w:tc>
              <w:tc>
                <w:tcPr>
                  <w:tcW w:w="60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46.60</w:t>
                  </w:r>
                </w:p>
              </w:tc>
              <w:tc>
                <w:tcPr>
                  <w:tcW w:w="1678" w:type="pct"/>
                  <w:vMerge w:val="continue"/>
                  <w:vAlign w:val="center"/>
                </w:tcPr>
                <w:p>
                  <w:pPr>
                    <w:snapToGrid w:val="0"/>
                    <w:spacing w:line="276" w:lineRule="auto"/>
                    <w:jc w:val="center"/>
                    <w:rPr>
                      <w:rFonts w:ascii="Times New Roman" w:hAnsi="Times New Roman" w:cs="Times New Roman"/>
                      <w:color w:val="auto"/>
                      <w:szCs w:val="21"/>
                    </w:rPr>
                  </w:pPr>
                </w:p>
              </w:tc>
              <w:tc>
                <w:tcPr>
                  <w:tcW w:w="439"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val="0"/>
                    <w:ind w:right="0" w:rightChars="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pacing w:val="0"/>
                      <w:sz w:val="21"/>
                      <w:szCs w:val="21"/>
                      <w:lang w:val="en-US" w:eastAsia="zh-CN"/>
                    </w:rPr>
                    <w:t>司家窝铺</w:t>
                  </w:r>
                  <w:r>
                    <w:rPr>
                      <w:rFonts w:hint="default" w:ascii="Times New Roman" w:hAnsi="Times New Roman" w:eastAsia="宋体" w:cs="Times New Roman"/>
                      <w:color w:val="auto"/>
                      <w:spacing w:val="0"/>
                      <w:sz w:val="21"/>
                      <w:szCs w:val="21"/>
                      <w:lang w:val="en-US" w:eastAsia="zh-CN"/>
                    </w:rPr>
                    <w:t>1#</w:t>
                  </w:r>
                </w:p>
              </w:tc>
              <w:tc>
                <w:tcPr>
                  <w:tcW w:w="419" w:type="pct"/>
                  <w:vAlign w:val="center"/>
                </w:tcPr>
                <w:p>
                  <w:pPr>
                    <w:snapToGrid w:val="0"/>
                    <w:spacing w:line="276" w:lineRule="auto"/>
                    <w:jc w:val="center"/>
                    <w:rPr>
                      <w:rFonts w:hint="eastAsia"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昼</w:t>
                  </w:r>
                </w:p>
              </w:tc>
              <w:tc>
                <w:tcPr>
                  <w:tcW w:w="5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48.64</w:t>
                  </w:r>
                </w:p>
              </w:tc>
              <w:tc>
                <w:tcPr>
                  <w:tcW w:w="615"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50.40</w:t>
                  </w:r>
                </w:p>
              </w:tc>
              <w:tc>
                <w:tcPr>
                  <w:tcW w:w="605" w:type="pct"/>
                  <w:vAlign w:val="center"/>
                </w:tcPr>
                <w:p>
                  <w:pPr>
                    <w:keepNext w:val="0"/>
                    <w:keepLines w:val="0"/>
                    <w:widowControl/>
                    <w:suppressLineNumbers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52.62</w:t>
                  </w:r>
                </w:p>
              </w:tc>
              <w:tc>
                <w:tcPr>
                  <w:tcW w:w="1678" w:type="pct"/>
                  <w:vMerge w:val="restar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《声环境质量标准》（GB3096-2008）2类区标准</w:t>
                  </w:r>
                </w:p>
                <w:p>
                  <w:pPr>
                    <w:snapToGrid w:val="0"/>
                    <w:spacing w:line="276" w:lineRule="auto"/>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昼间≤60，夜间≤50</w:t>
                  </w:r>
                </w:p>
              </w:tc>
              <w:tc>
                <w:tcPr>
                  <w:tcW w:w="439"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ind w:right="0" w:rightChars="0"/>
                    <w:jc w:val="center"/>
                    <w:textAlignment w:val="auto"/>
                    <w:rPr>
                      <w:rFonts w:hint="default" w:ascii="Times New Roman" w:hAnsi="Times New Roman" w:eastAsia="宋体" w:cs="Times New Roman"/>
                      <w:color w:val="auto"/>
                      <w:spacing w:val="0"/>
                      <w:sz w:val="21"/>
                      <w:szCs w:val="21"/>
                      <w:lang w:val="en-US" w:eastAsia="zh-CN"/>
                    </w:rPr>
                  </w:pPr>
                </w:p>
              </w:tc>
              <w:tc>
                <w:tcPr>
                  <w:tcW w:w="419" w:type="pc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夜</w:t>
                  </w:r>
                </w:p>
              </w:tc>
              <w:tc>
                <w:tcPr>
                  <w:tcW w:w="5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48.63</w:t>
                  </w:r>
                </w:p>
              </w:tc>
              <w:tc>
                <w:tcPr>
                  <w:tcW w:w="615"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38.30</w:t>
                  </w:r>
                </w:p>
              </w:tc>
              <w:tc>
                <w:tcPr>
                  <w:tcW w:w="605" w:type="pct"/>
                  <w:vAlign w:val="center"/>
                </w:tcPr>
                <w:p>
                  <w:pPr>
                    <w:keepNext w:val="0"/>
                    <w:keepLines w:val="0"/>
                    <w:widowControl/>
                    <w:suppressLineNumbers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49.02</w:t>
                  </w:r>
                </w:p>
              </w:tc>
              <w:tc>
                <w:tcPr>
                  <w:tcW w:w="1678" w:type="pct"/>
                  <w:vMerge w:val="continue"/>
                  <w:vAlign w:val="center"/>
                </w:tcPr>
                <w:p>
                  <w:pPr>
                    <w:snapToGrid w:val="0"/>
                    <w:spacing w:line="276" w:lineRule="auto"/>
                    <w:jc w:val="center"/>
                    <w:rPr>
                      <w:rFonts w:hint="eastAsia" w:ascii="Times New Roman" w:hAnsi="Times New Roman" w:cs="Times New Roman"/>
                      <w:color w:val="auto"/>
                      <w:szCs w:val="21"/>
                      <w:lang w:val="en-US" w:eastAsia="zh-CN"/>
                    </w:rPr>
                  </w:pPr>
                </w:p>
              </w:tc>
              <w:tc>
                <w:tcPr>
                  <w:tcW w:w="439"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r>
          </w:tbl>
          <w:p>
            <w:pPr>
              <w:adjustRightInd w:val="0"/>
              <w:snapToGrid w:val="0"/>
              <w:spacing w:before="156" w:beforeLines="50" w:line="360" w:lineRule="auto"/>
              <w:ind w:firstLine="482"/>
              <w:rPr>
                <w:rFonts w:hint="eastAsia"/>
                <w:color w:val="auto"/>
                <w:lang w:eastAsia="zh-CN"/>
              </w:rPr>
            </w:pPr>
            <w:r>
              <w:rPr>
                <w:rFonts w:hint="default" w:ascii="Times New Roman" w:hAnsi="Times New Roman" w:cs="Times New Roman"/>
                <w:color w:val="auto"/>
                <w:kern w:val="0"/>
                <w:sz w:val="24"/>
                <w:szCs w:val="24"/>
                <w:lang w:val="zh-CN"/>
              </w:rPr>
              <w:t>项目</w:t>
            </w:r>
            <w:r>
              <w:rPr>
                <w:rFonts w:hint="eastAsia" w:ascii="Times New Roman" w:hAnsi="Times New Roman" w:cs="Times New Roman"/>
                <w:color w:val="auto"/>
                <w:kern w:val="0"/>
                <w:sz w:val="24"/>
                <w:szCs w:val="24"/>
                <w:lang w:val="zh-CN"/>
              </w:rPr>
              <w:t>运营期</w:t>
            </w:r>
            <w:r>
              <w:rPr>
                <w:rFonts w:hint="default" w:ascii="Times New Roman" w:hAnsi="Times New Roman" w:cs="Times New Roman"/>
                <w:color w:val="auto"/>
                <w:kern w:val="0"/>
                <w:sz w:val="24"/>
                <w:szCs w:val="24"/>
                <w:lang w:val="zh-CN"/>
              </w:rPr>
              <w:t>声级等值线</w:t>
            </w:r>
            <w:r>
              <w:rPr>
                <w:rFonts w:hint="default" w:ascii="Times New Roman" w:hAnsi="Times New Roman" w:cs="Times New Roman"/>
                <w:color w:val="auto"/>
                <w:sz w:val="24"/>
                <w:szCs w:val="24"/>
              </w:rPr>
              <w:t>见</w:t>
            </w:r>
            <w:r>
              <w:rPr>
                <w:rFonts w:hint="eastAsia" w:ascii="Times New Roman" w:hAnsi="Times New Roman" w:cs="Times New Roman"/>
                <w:color w:val="auto"/>
                <w:sz w:val="24"/>
                <w:szCs w:val="24"/>
                <w:lang w:eastAsia="zh-CN"/>
              </w:rPr>
              <w:t>下图：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FF0000"/>
                <w:sz w:val="21"/>
                <w:szCs w:val="21"/>
              </w:rPr>
            </w:pPr>
            <w:r>
              <w:rPr>
                <w:rFonts w:hint="default" w:ascii="Times New Roman" w:hAnsi="Times New Roman" w:eastAsia="宋体" w:cs="Times New Roman"/>
              </w:rPr>
              <w:drawing>
                <wp:inline distT="0" distB="0" distL="114300" distR="114300">
                  <wp:extent cx="5209540" cy="4335145"/>
                  <wp:effectExtent l="0" t="0" r="10160"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5209540" cy="43351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color w:val="auto"/>
                <w:sz w:val="24"/>
                <w:lang w:eastAsia="zh-CN"/>
              </w:rPr>
            </w:pPr>
            <w:r>
              <w:rPr>
                <w:rFonts w:hint="default" w:ascii="Times New Roman" w:hAnsi="Times New Roman" w:cs="Times New Roman"/>
                <w:b/>
                <w:color w:val="auto"/>
                <w:sz w:val="21"/>
                <w:szCs w:val="21"/>
              </w:rPr>
              <w:t>图</w:t>
            </w:r>
            <w:r>
              <w:rPr>
                <w:rFonts w:hint="eastAsia" w:ascii="Times New Roman" w:hAnsi="Times New Roman" w:cs="Times New Roman"/>
                <w:b/>
                <w:color w:val="auto"/>
                <w:sz w:val="21"/>
                <w:szCs w:val="21"/>
                <w:lang w:val="en-US" w:eastAsia="zh-CN"/>
              </w:rPr>
              <w:t>4-1</w:t>
            </w:r>
            <w:r>
              <w:rPr>
                <w:rFonts w:hint="default" w:ascii="Times New Roman" w:hAnsi="Times New Roman" w:cs="Times New Roman"/>
                <w:b/>
                <w:color w:val="auto"/>
                <w:sz w:val="21"/>
                <w:szCs w:val="21"/>
              </w:rPr>
              <w:t xml:space="preserve">  噪声贡献值分布图</w:t>
            </w:r>
          </w:p>
          <w:p>
            <w:pPr>
              <w:pStyle w:val="14"/>
              <w:adjustRightInd w:val="0"/>
              <w:snapToGrid w:val="0"/>
              <w:spacing w:line="360" w:lineRule="auto"/>
              <w:ind w:firstLine="480"/>
              <w:rPr>
                <w:rFonts w:hint="eastAsia" w:ascii="Times New Roman" w:hAnsi="Times New Roman" w:cs="Times New Roman"/>
                <w:sz w:val="24"/>
                <w:lang w:eastAsia="zh-CN"/>
              </w:rPr>
            </w:pPr>
            <w:r>
              <w:rPr>
                <w:rFonts w:hint="eastAsia" w:ascii="Times New Roman" w:hAnsi="Times New Roman" w:cs="Times New Roman"/>
                <w:sz w:val="24"/>
                <w:lang w:eastAsia="zh-CN"/>
              </w:rPr>
              <w:t>根据上表</w:t>
            </w:r>
            <w:r>
              <w:rPr>
                <w:rFonts w:hint="eastAsia" w:ascii="Times New Roman" w:hAnsi="Times New Roman" w:cs="Times New Roman"/>
                <w:sz w:val="24"/>
                <w:lang w:val="en-US" w:eastAsia="zh-CN"/>
              </w:rPr>
              <w:t>预测</w:t>
            </w:r>
            <w:r>
              <w:rPr>
                <w:rFonts w:hint="eastAsia" w:ascii="Times New Roman" w:hAnsi="Times New Roman" w:cs="Times New Roman"/>
                <w:sz w:val="24"/>
                <w:lang w:eastAsia="zh-CN"/>
              </w:rPr>
              <w:t>结果可知，项目四厂界噪声符合</w:t>
            </w:r>
            <w:r>
              <w:rPr>
                <w:rFonts w:hint="default" w:ascii="Times New Roman" w:hAnsi="Times New Roman" w:eastAsia="宋体" w:cs="Times New Roman"/>
                <w:color w:val="auto"/>
                <w:sz w:val="24"/>
                <w:szCs w:val="24"/>
              </w:rPr>
              <w:t>《工业企业厂界环境噪声排放标准》(GB12348-2008)中</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lang w:val="en-US" w:eastAsia="zh-CN"/>
              </w:rPr>
              <w:t>2类</w:t>
            </w:r>
            <w:r>
              <w:rPr>
                <w:rFonts w:hint="default" w:ascii="Times New Roman" w:hAnsi="Times New Roman" w:eastAsia="宋体" w:cs="Times New Roman"/>
                <w:color w:val="auto"/>
                <w:sz w:val="24"/>
                <w:szCs w:val="24"/>
              </w:rPr>
              <w:t>标准</w:t>
            </w:r>
            <w:r>
              <w:rPr>
                <w:rFonts w:hint="eastAsia" w:ascii="Times New Roman" w:hAnsi="Times New Roman" w:cs="Times New Roman"/>
                <w:sz w:val="24"/>
                <w:lang w:eastAsia="zh-CN"/>
              </w:rPr>
              <w:t>。敏感点</w:t>
            </w:r>
            <w:r>
              <w:rPr>
                <w:rFonts w:hint="eastAsia" w:ascii="Times New Roman" w:hAnsi="Times New Roman" w:cs="Times New Roman"/>
                <w:sz w:val="24"/>
                <w:lang w:val="en-US" w:eastAsia="zh-CN"/>
              </w:rPr>
              <w:t>司家窝铺村声环境</w:t>
            </w:r>
            <w:r>
              <w:rPr>
                <w:rFonts w:hint="eastAsia" w:ascii="Times New Roman" w:hAnsi="Times New Roman" w:cs="Times New Roman"/>
                <w:sz w:val="24"/>
                <w:lang w:eastAsia="zh-CN"/>
              </w:rPr>
              <w:t>满足《声环境质量标准》（GB3096-2008）2类区标准要求。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b w:val="0"/>
                <w:bCs w:val="0"/>
                <w:color w:val="auto"/>
                <w:sz w:val="24"/>
              </w:rPr>
            </w:pPr>
            <w:r>
              <w:rPr>
                <w:rFonts w:hint="eastAsia" w:ascii="Times New Roman" w:hAnsi="Times New Roman" w:cs="Times New Roman"/>
                <w:b w:val="0"/>
                <w:bCs w:val="0"/>
                <w:color w:val="auto"/>
                <w:sz w:val="24"/>
              </w:rPr>
              <w:t>（</w:t>
            </w:r>
            <w:r>
              <w:rPr>
                <w:rFonts w:hint="eastAsia" w:ascii="Times New Roman" w:hAnsi="Times New Roman" w:cs="Times New Roman"/>
                <w:b w:val="0"/>
                <w:bCs w:val="0"/>
                <w:color w:val="auto"/>
                <w:sz w:val="24"/>
                <w:lang w:val="en-US" w:eastAsia="zh-CN"/>
              </w:rPr>
              <w:t>2</w:t>
            </w:r>
            <w:r>
              <w:rPr>
                <w:rFonts w:hint="eastAsia" w:ascii="Times New Roman" w:hAnsi="Times New Roman" w:cs="Times New Roman"/>
                <w:b w:val="0"/>
                <w:bCs w:val="0"/>
                <w:color w:val="auto"/>
                <w:sz w:val="24"/>
              </w:rPr>
              <w:t>）监测要求</w:t>
            </w:r>
          </w:p>
          <w:p>
            <w:pPr>
              <w:adjustRightInd w:val="0"/>
              <w:snapToGrid w:val="0"/>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lang w:val="en-US" w:eastAsia="zh-CN"/>
              </w:rPr>
              <w:t>根据《排污单位自行监测技术指南 火力发电及锅炉》（HJ 820-2017</w:t>
            </w:r>
            <w:r>
              <w:rPr>
                <w:rFonts w:hint="eastAsia" w:ascii="Times New Roman" w:hAnsi="Times New Roman" w:cs="Times New Roman"/>
                <w:color w:val="auto"/>
                <w:sz w:val="24"/>
                <w:lang w:eastAsia="zh-CN"/>
              </w:rPr>
              <w:t>），</w:t>
            </w:r>
            <w:r>
              <w:rPr>
                <w:rFonts w:ascii="Times New Roman" w:hAnsi="Times New Roman" w:cs="Times New Roman"/>
                <w:color w:val="auto"/>
                <w:sz w:val="24"/>
              </w:rPr>
              <w:t>项目</w:t>
            </w:r>
            <w:r>
              <w:rPr>
                <w:rFonts w:hint="eastAsia" w:ascii="Times New Roman" w:hAnsi="Times New Roman" w:cs="Times New Roman"/>
                <w:color w:val="auto"/>
                <w:sz w:val="24"/>
              </w:rPr>
              <w:t>噪声源</w:t>
            </w:r>
            <w:r>
              <w:rPr>
                <w:rFonts w:ascii="Times New Roman" w:hAnsi="Times New Roman" w:cs="Times New Roman"/>
                <w:color w:val="auto"/>
                <w:sz w:val="24"/>
              </w:rPr>
              <w:t>监测要求详见下表：</w:t>
            </w:r>
          </w:p>
          <w:p>
            <w:pPr>
              <w:snapToGrid w:val="0"/>
              <w:spacing w:line="360" w:lineRule="auto"/>
              <w:jc w:val="center"/>
              <w:rPr>
                <w:rFonts w:ascii="Times New Roman" w:hAnsi="Times New Roman" w:cs="Times New Roman"/>
                <w:b/>
                <w:bCs/>
                <w:color w:val="auto"/>
                <w:szCs w:val="21"/>
              </w:rPr>
            </w:pPr>
            <w:r>
              <w:rPr>
                <w:rFonts w:hint="eastAsia" w:ascii="Times New Roman" w:hAnsi="Times New Roman" w:cs="Times New Roman"/>
                <w:b/>
                <w:bCs/>
                <w:color w:val="auto"/>
                <w:szCs w:val="21"/>
              </w:rPr>
              <w:t>表4-</w:t>
            </w:r>
            <w:r>
              <w:rPr>
                <w:rFonts w:hint="eastAsia" w:ascii="Times New Roman" w:hAnsi="Times New Roman" w:cs="Times New Roman"/>
                <w:b/>
                <w:bCs/>
                <w:color w:val="auto"/>
                <w:szCs w:val="21"/>
                <w:lang w:val="en-US" w:eastAsia="zh-CN"/>
              </w:rPr>
              <w:t xml:space="preserve">3 </w:t>
            </w:r>
            <w:r>
              <w:rPr>
                <w:rFonts w:hint="eastAsia" w:ascii="Times New Roman" w:hAnsi="Times New Roman" w:cs="Times New Roman"/>
                <w:b/>
                <w:bCs/>
                <w:color w:val="auto"/>
                <w:szCs w:val="21"/>
              </w:rPr>
              <w:t xml:space="preserve"> 项目噪声源监测要求一览表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385"/>
              <w:gridCol w:w="1161"/>
              <w:gridCol w:w="1175"/>
              <w:gridCol w:w="3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环境要素</w:t>
                  </w:r>
                </w:p>
              </w:tc>
              <w:tc>
                <w:tcPr>
                  <w:tcW w:w="810"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监测位置</w:t>
                  </w:r>
                </w:p>
              </w:tc>
              <w:tc>
                <w:tcPr>
                  <w:tcW w:w="679"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监测项目</w:t>
                  </w:r>
                </w:p>
              </w:tc>
              <w:tc>
                <w:tcPr>
                  <w:tcW w:w="687"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频次</w:t>
                  </w:r>
                </w:p>
              </w:tc>
              <w:tc>
                <w:tcPr>
                  <w:tcW w:w="2162" w:type="pct"/>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cs="Times New Roman"/>
                      <w:b/>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0"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810"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四厂界外1m处</w:t>
                  </w:r>
                </w:p>
              </w:tc>
              <w:tc>
                <w:tcPr>
                  <w:tcW w:w="679"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Leq</w:t>
                  </w:r>
                </w:p>
              </w:tc>
              <w:tc>
                <w:tcPr>
                  <w:tcW w:w="687"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每</w:t>
                  </w:r>
                  <w:r>
                    <w:rPr>
                      <w:rFonts w:hint="eastAsia" w:ascii="Times New Roman" w:hAnsi="Times New Roman" w:cs="Times New Roman"/>
                      <w:color w:val="auto"/>
                      <w:sz w:val="21"/>
                      <w:szCs w:val="21"/>
                      <w:lang w:val="en-US" w:eastAsia="zh-CN"/>
                    </w:rPr>
                    <w:t>季度</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次</w:t>
                  </w:r>
                </w:p>
              </w:tc>
              <w:tc>
                <w:tcPr>
                  <w:tcW w:w="2162"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w:t>
                  </w:r>
                  <w:r>
                    <w:rPr>
                      <w:rFonts w:hint="default" w:ascii="Times New Roman" w:hAnsi="Times New Roman" w:cs="Times New Roman"/>
                      <w:color w:val="auto"/>
                      <w:sz w:val="21"/>
                      <w:szCs w:val="21"/>
                      <w:lang w:eastAsia="zh-CN"/>
                    </w:rPr>
                    <w:t>的</w:t>
                  </w:r>
                  <w:r>
                    <w:rPr>
                      <w:rFonts w:hint="default" w:ascii="Times New Roman" w:hAnsi="Times New Roman" w:cs="Times New Roman"/>
                      <w:color w:val="auto"/>
                      <w:sz w:val="21"/>
                      <w:szCs w:val="21"/>
                      <w:lang w:val="en-US" w:eastAsia="zh-CN"/>
                    </w:rPr>
                    <w:t>2类</w:t>
                  </w:r>
                  <w:r>
                    <w:rPr>
                      <w:rFonts w:hint="default" w:ascii="Times New Roman" w:hAnsi="Times New Roman" w:cs="Times New Roman"/>
                      <w:color w:val="auto"/>
                      <w:sz w:val="21"/>
                      <w:szCs w:val="21"/>
                    </w:rPr>
                    <w:t>标准</w:t>
                  </w: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2"/>
              <w:textAlignment w:val="auto"/>
              <w:rPr>
                <w:rFonts w:ascii="Times New Roman" w:hAnsi="Times New Roman" w:cs="Times New Roman"/>
                <w:b/>
                <w:bCs/>
                <w:color w:val="000000"/>
                <w:sz w:val="24"/>
              </w:rPr>
            </w:pPr>
            <w:r>
              <w:rPr>
                <w:rFonts w:hint="eastAsia" w:ascii="Times New Roman" w:hAnsi="Times New Roman" w:cs="Times New Roman"/>
                <w:b/>
                <w:bCs/>
                <w:color w:val="000000"/>
                <w:sz w:val="24"/>
              </w:rPr>
              <w:t>4</w:t>
            </w:r>
            <w:r>
              <w:rPr>
                <w:rFonts w:ascii="Times New Roman" w:hAnsi="Times New Roman" w:cs="Times New Roman"/>
                <w:b/>
                <w:bCs/>
                <w:color w:val="000000"/>
                <w:sz w:val="24"/>
              </w:rPr>
              <w:t>、固体废物</w:t>
            </w:r>
          </w:p>
          <w:p>
            <w:pPr>
              <w:pStyle w:val="14"/>
              <w:adjustRightInd w:val="0"/>
              <w:snapToGrid w:val="0"/>
              <w:spacing w:line="360" w:lineRule="auto"/>
              <w:ind w:firstLine="480"/>
              <w:rPr>
                <w:rFonts w:hint="eastAsia" w:ascii="Times New Roman" w:hAnsi="Times New Roman" w:cs="Times New Roman"/>
                <w:sz w:val="24"/>
              </w:rPr>
            </w:pPr>
            <w:r>
              <w:rPr>
                <w:rFonts w:hint="eastAsia" w:ascii="Times New Roman" w:hAnsi="Times New Roman" w:cs="Times New Roman"/>
                <w:sz w:val="24"/>
              </w:rPr>
              <w:t>项目生产运行阶段产生的固体废物为一般工业固体废物炉渣</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锅炉除尘灰、破碎工序除尘灰、脱硫过程会产生池底固形物MgSO</w:t>
            </w:r>
            <w:r>
              <w:rPr>
                <w:rFonts w:hint="eastAsia" w:ascii="Times New Roman" w:hAnsi="Times New Roman" w:cs="Times New Roman"/>
                <w:sz w:val="24"/>
                <w:vertAlign w:val="subscript"/>
                <w:lang w:val="en-US" w:eastAsia="zh-CN"/>
              </w:rPr>
              <w:t>4</w:t>
            </w:r>
            <w:r>
              <w:rPr>
                <w:rFonts w:hint="eastAsia" w:ascii="Times New Roman" w:hAnsi="Times New Roman" w:cs="Times New Roman"/>
                <w:sz w:val="24"/>
                <w:lang w:val="en-US" w:eastAsia="zh-CN"/>
              </w:rPr>
              <w:t>、废渗透膜</w:t>
            </w:r>
            <w:r>
              <w:rPr>
                <w:rFonts w:hint="eastAsia" w:ascii="Times New Roman" w:hAnsi="Times New Roman" w:cs="Times New Roman"/>
                <w:sz w:val="24"/>
              </w:rPr>
              <w:t>以及危险废物废润滑油、废油桶。</w:t>
            </w:r>
          </w:p>
          <w:p>
            <w:pPr>
              <w:pStyle w:val="14"/>
              <w:numPr>
                <w:ilvl w:val="0"/>
                <w:numId w:val="9"/>
              </w:numPr>
              <w:adjustRightInd w:val="0"/>
              <w:snapToGrid w:val="0"/>
              <w:spacing w:line="360" w:lineRule="auto"/>
              <w:ind w:firstLine="480"/>
              <w:rPr>
                <w:rFonts w:hint="eastAsia" w:ascii="Times New Roman" w:hAnsi="Times New Roman" w:cs="Times New Roman"/>
                <w:sz w:val="24"/>
                <w:lang w:eastAsia="zh-CN"/>
              </w:rPr>
            </w:pPr>
            <w:r>
              <w:rPr>
                <w:rFonts w:hint="eastAsia" w:ascii="Times New Roman" w:hAnsi="Times New Roman" w:cs="Times New Roman"/>
                <w:sz w:val="24"/>
              </w:rPr>
              <w:t>炉渣</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lang w:eastAsia="zh-CN"/>
              </w:rPr>
            </w:pPr>
            <w:r>
              <w:rPr>
                <w:rFonts w:hint="default" w:ascii="Times New Roman" w:hAnsi="Times New Roman" w:eastAsia="宋体" w:cs="Times New Roman"/>
                <w:sz w:val="24"/>
                <w:szCs w:val="22"/>
                <w:lang w:val="en-US" w:eastAsia="zh-CN"/>
              </w:rPr>
              <w:t>煤质中</w:t>
            </w:r>
            <w:r>
              <w:rPr>
                <w:rFonts w:hint="default" w:ascii="Times New Roman" w:hAnsi="Times New Roman" w:eastAsia="宋体" w:cs="Times New Roman"/>
                <w:sz w:val="24"/>
                <w:szCs w:val="22"/>
              </w:rPr>
              <w:t>收到基灰份</w:t>
            </w:r>
            <w:r>
              <w:rPr>
                <w:rFonts w:hint="default" w:ascii="Times New Roman" w:hAnsi="Times New Roman" w:eastAsia="宋体" w:cs="Times New Roman"/>
                <w:sz w:val="24"/>
                <w:szCs w:val="22"/>
                <w:lang w:val="en-US" w:eastAsia="zh-CN"/>
              </w:rPr>
              <w:t>A为</w:t>
            </w:r>
            <w:r>
              <w:rPr>
                <w:rFonts w:hint="eastAsia" w:ascii="Times New Roman" w:hAnsi="Times New Roman" w:cs="Times New Roman"/>
                <w:sz w:val="24"/>
                <w:szCs w:val="22"/>
                <w:lang w:val="en-US" w:eastAsia="zh-CN"/>
              </w:rPr>
              <w:t>17.69</w:t>
            </w:r>
            <w:r>
              <w:rPr>
                <w:rFonts w:hint="default" w:ascii="Times New Roman" w:hAnsi="Times New Roman" w:eastAsia="宋体" w:cs="Times New Roman"/>
                <w:sz w:val="24"/>
                <w:szCs w:val="22"/>
                <w:lang w:val="en-US" w:eastAsia="zh-CN"/>
              </w:rPr>
              <w:t>%，</w:t>
            </w:r>
            <w:r>
              <w:rPr>
                <w:rFonts w:hint="default" w:ascii="Times New Roman" w:hAnsi="Times New Roman" w:eastAsia="宋体" w:cs="Times New Roman"/>
                <w:sz w:val="24"/>
                <w:szCs w:val="22"/>
              </w:rPr>
              <w:t>根据《</w:t>
            </w:r>
            <w:r>
              <w:rPr>
                <w:rFonts w:hint="default" w:ascii="Times New Roman" w:hAnsi="Times New Roman" w:eastAsia="宋体" w:cs="Times New Roman"/>
                <w:sz w:val="24"/>
                <w:szCs w:val="22"/>
                <w:lang w:val="en-US" w:eastAsia="zh-CN"/>
              </w:rPr>
              <w:t>排放源统计调查产排污核算方法和系数手册</w:t>
            </w:r>
            <w:r>
              <w:rPr>
                <w:rFonts w:hint="default" w:ascii="Times New Roman" w:hAnsi="Times New Roman" w:eastAsia="宋体" w:cs="Times New Roman"/>
                <w:sz w:val="24"/>
                <w:szCs w:val="22"/>
              </w:rPr>
              <w:t>》</w:t>
            </w:r>
            <w:r>
              <w:rPr>
                <w:rFonts w:hint="eastAsia" w:ascii="Times New Roman" w:hAnsi="Times New Roman" w:eastAsia="宋体" w:cs="Times New Roman"/>
                <w:sz w:val="24"/>
                <w:szCs w:val="22"/>
                <w:lang w:eastAsia="zh-CN"/>
              </w:rPr>
              <w:t>中</w:t>
            </w:r>
            <w:r>
              <w:rPr>
                <w:rFonts w:hint="default" w:ascii="Times New Roman" w:hAnsi="Times New Roman" w:eastAsia="宋体" w:cs="Times New Roman"/>
                <w:sz w:val="24"/>
                <w:szCs w:val="22"/>
                <w:lang w:val="en-US" w:eastAsia="zh-CN"/>
              </w:rPr>
              <w:t>锅炉产排污量核算系数手册</w:t>
            </w:r>
            <w:r>
              <w:rPr>
                <w:rFonts w:hint="default" w:ascii="Times New Roman" w:hAnsi="Times New Roman" w:eastAsia="宋体" w:cs="Times New Roman"/>
                <w:sz w:val="24"/>
                <w:szCs w:val="22"/>
              </w:rPr>
              <w:t>，炉渣</w:t>
            </w:r>
            <w:r>
              <w:rPr>
                <w:rFonts w:hint="default" w:ascii="Times New Roman" w:hAnsi="Times New Roman" w:eastAsia="宋体" w:cs="Times New Roman"/>
                <w:sz w:val="24"/>
                <w:szCs w:val="22"/>
                <w:lang w:val="en-US" w:eastAsia="zh-CN"/>
              </w:rPr>
              <w:t>产生量为</w:t>
            </w:r>
            <w:r>
              <w:rPr>
                <w:rFonts w:hint="eastAsia" w:ascii="Times New Roman" w:hAnsi="Times New Roman" w:cs="Times New Roman"/>
                <w:sz w:val="24"/>
                <w:lang w:val="en-US" w:eastAsia="zh-CN"/>
              </w:rPr>
              <w:t>5.25A</w:t>
            </w:r>
            <w:r>
              <w:rPr>
                <w:rFonts w:hint="default" w:ascii="Times New Roman" w:hAnsi="Times New Roman" w:eastAsia="宋体" w:cs="Times New Roman"/>
                <w:sz w:val="24"/>
                <w:szCs w:val="22"/>
                <w:lang w:val="en-US" w:eastAsia="zh-CN"/>
              </w:rPr>
              <w:t>千克/吨原料，原料使用量</w:t>
            </w:r>
            <w:r>
              <w:rPr>
                <w:rFonts w:hint="eastAsia" w:ascii="Times New Roman" w:hAnsi="Times New Roman" w:eastAsia="宋体" w:cs="Times New Roman"/>
                <w:sz w:val="24"/>
                <w:szCs w:val="22"/>
                <w:lang w:val="en-US" w:eastAsia="zh-CN"/>
              </w:rPr>
              <w:t>为9680t/a，</w:t>
            </w:r>
            <w:r>
              <w:rPr>
                <w:rFonts w:hint="default" w:ascii="Times New Roman" w:hAnsi="Times New Roman" w:eastAsia="宋体" w:cs="Times New Roman"/>
                <w:sz w:val="24"/>
                <w:szCs w:val="22"/>
                <w:lang w:val="en-US" w:eastAsia="zh-CN"/>
              </w:rPr>
              <w:t>即</w:t>
            </w:r>
            <w:r>
              <w:rPr>
                <w:rFonts w:hint="default" w:ascii="Times New Roman" w:hAnsi="Times New Roman" w:eastAsia="宋体" w:cs="Times New Roman"/>
                <w:sz w:val="24"/>
                <w:szCs w:val="22"/>
              </w:rPr>
              <w:t>炉渣</w:t>
            </w:r>
            <w:r>
              <w:rPr>
                <w:rFonts w:hint="default" w:ascii="Times New Roman" w:hAnsi="Times New Roman" w:eastAsia="宋体" w:cs="Times New Roman"/>
                <w:sz w:val="24"/>
                <w:szCs w:val="22"/>
                <w:lang w:val="en-US" w:eastAsia="zh-CN"/>
              </w:rPr>
              <w:t>产生量为</w:t>
            </w:r>
            <w:r>
              <w:rPr>
                <w:rFonts w:hint="eastAsia" w:ascii="Times New Roman" w:hAnsi="Times New Roman" w:cs="Times New Roman"/>
                <w:sz w:val="24"/>
                <w:szCs w:val="22"/>
                <w:lang w:val="en-US" w:eastAsia="zh-CN"/>
              </w:rPr>
              <w:t>899</w:t>
            </w:r>
            <w:r>
              <w:rPr>
                <w:rFonts w:hint="default" w:ascii="Times New Roman" w:hAnsi="Times New Roman" w:eastAsia="宋体" w:cs="Times New Roman"/>
                <w:sz w:val="24"/>
                <w:szCs w:val="22"/>
                <w:lang w:val="en-US" w:eastAsia="zh-CN"/>
              </w:rPr>
              <w:t>t/a，集中收集后</w:t>
            </w:r>
            <w:r>
              <w:rPr>
                <w:rFonts w:hint="eastAsia" w:ascii="Times New Roman" w:hAnsi="Times New Roman" w:eastAsia="宋体" w:cs="Times New Roman"/>
                <w:sz w:val="24"/>
                <w:szCs w:val="22"/>
                <w:lang w:val="en-US" w:eastAsia="zh-CN"/>
              </w:rPr>
              <w:t>外售。</w:t>
            </w:r>
          </w:p>
          <w:p>
            <w:pPr>
              <w:pStyle w:val="14"/>
              <w:numPr>
                <w:ilvl w:val="0"/>
                <w:numId w:val="9"/>
              </w:numPr>
              <w:adjustRightInd w:val="0"/>
              <w:snapToGrid w:val="0"/>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lang w:val="en-US" w:eastAsia="zh-CN"/>
              </w:rPr>
              <w:t>锅炉除尘灰</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color w:val="auto"/>
                <w:sz w:val="24"/>
              </w:rPr>
            </w:pPr>
            <w:r>
              <w:rPr>
                <w:rFonts w:hint="default" w:ascii="Times New Roman" w:hAnsi="Times New Roman" w:cs="Times New Roman"/>
                <w:color w:val="auto"/>
                <w:sz w:val="24"/>
                <w:lang w:val="en-US" w:eastAsia="zh-CN"/>
              </w:rPr>
              <w:t>项目锅炉烟尘排放量为1.142t/a，布袋除尘效率取值99.</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lang w:val="en-US" w:eastAsia="zh-CN"/>
              </w:rPr>
              <w:t>%，则除尘灰产生量为</w:t>
            </w:r>
            <w:r>
              <w:rPr>
                <w:rFonts w:hint="eastAsia" w:ascii="Times New Roman" w:hAnsi="Times New Roman" w:cs="Times New Roman"/>
                <w:color w:val="auto"/>
                <w:sz w:val="24"/>
                <w:lang w:val="en-US" w:eastAsia="zh-CN"/>
              </w:rPr>
              <w:t>1142</w:t>
            </w:r>
            <w:r>
              <w:rPr>
                <w:rFonts w:hint="default" w:ascii="Times New Roman" w:hAnsi="Times New Roman" w:cs="Times New Roman"/>
                <w:color w:val="auto"/>
                <w:sz w:val="24"/>
                <w:lang w:val="en-US" w:eastAsia="zh-CN"/>
              </w:rPr>
              <w:t>t。</w:t>
            </w:r>
            <w:r>
              <w:rPr>
                <w:rFonts w:hint="default" w:ascii="Times New Roman" w:hAnsi="Times New Roman" w:eastAsia="宋体" w:cs="Times New Roman"/>
                <w:sz w:val="24"/>
                <w:szCs w:val="22"/>
                <w:lang w:val="en-US" w:eastAsia="zh-CN"/>
              </w:rPr>
              <w:t>集中收集后</w:t>
            </w:r>
            <w:r>
              <w:rPr>
                <w:rFonts w:hint="eastAsia" w:ascii="Times New Roman" w:hAnsi="Times New Roman" w:eastAsia="宋体" w:cs="Times New Roman"/>
                <w:sz w:val="24"/>
                <w:szCs w:val="22"/>
                <w:lang w:val="en-US" w:eastAsia="zh-CN"/>
              </w:rPr>
              <w:t>外售</w:t>
            </w:r>
            <w:r>
              <w:rPr>
                <w:rFonts w:ascii="Times New Roman" w:hAnsi="Times New Roman" w:cs="Times New Roman"/>
                <w:color w:val="auto"/>
                <w:sz w:val="24"/>
              </w:rPr>
              <w:t>。</w:t>
            </w:r>
          </w:p>
          <w:p>
            <w:pPr>
              <w:pStyle w:val="14"/>
              <w:numPr>
                <w:ilvl w:val="0"/>
                <w:numId w:val="7"/>
              </w:numPr>
              <w:adjustRightInd w:val="0"/>
              <w:snapToGrid w:val="0"/>
              <w:spacing w:line="360" w:lineRule="auto"/>
              <w:ind w:left="0" w:leftChars="0"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破碎工序除尘灰</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破碎工序除尘灰产生量为1.035t/a，收集后作为燃料回用</w:t>
            </w:r>
            <w:r>
              <w:rPr>
                <w:rFonts w:hint="eastAsia" w:ascii="Times New Roman" w:hAnsi="Times New Roman" w:cs="Times New Roman"/>
                <w:color w:val="000000" w:themeColor="text1"/>
                <w:sz w:val="24"/>
                <w:lang w:val="en-US" w:eastAsia="zh-CN"/>
                <w14:textFill>
                  <w14:solidFill>
                    <w14:schemeClr w14:val="tx1"/>
                  </w14:solidFill>
                </w14:textFill>
              </w:rPr>
              <w:t>。</w:t>
            </w:r>
          </w:p>
          <w:p>
            <w:pPr>
              <w:pStyle w:val="14"/>
              <w:numPr>
                <w:ilvl w:val="0"/>
                <w:numId w:val="7"/>
              </w:numPr>
              <w:adjustRightInd w:val="0"/>
              <w:snapToGrid w:val="0"/>
              <w:spacing w:line="360" w:lineRule="auto"/>
              <w:ind w:left="0" w:leftChars="0" w:firstLine="480" w:firstLineChars="200"/>
              <w:rPr>
                <w:rFonts w:hint="eastAsia" w:ascii="Times New Roman" w:hAnsi="Times New Roman" w:cs="Times New Roman" w:eastAsiaTheme="minorEastAsia"/>
                <w:sz w:val="24"/>
                <w:lang w:eastAsia="zh-CN"/>
              </w:rPr>
            </w:pPr>
            <w:r>
              <w:rPr>
                <w:rFonts w:hint="eastAsia" w:ascii="Times New Roman" w:hAnsi="Times New Roman" w:cs="Times New Roman"/>
                <w:sz w:val="24"/>
                <w:lang w:val="en-US" w:eastAsia="zh-CN"/>
              </w:rPr>
              <w:t>脱硫过程会产生池底固形物MgSO</w:t>
            </w:r>
            <w:r>
              <w:rPr>
                <w:rFonts w:hint="eastAsia" w:ascii="Times New Roman" w:hAnsi="Times New Roman" w:cs="Times New Roman"/>
                <w:sz w:val="24"/>
                <w:vertAlign w:val="subscript"/>
                <w:lang w:val="en-US" w:eastAsia="zh-CN"/>
              </w:rPr>
              <w:t>4</w:t>
            </w:r>
          </w:p>
          <w:p>
            <w:pPr>
              <w:pStyle w:val="14"/>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脱</w:t>
            </w:r>
            <w:r>
              <w:rPr>
                <w:rFonts w:hint="eastAsia" w:ascii="Times New Roman" w:hAnsi="Times New Roman" w:cs="Times New Roman"/>
                <w:color w:val="auto"/>
                <w:sz w:val="24"/>
                <w:lang w:val="en-US" w:eastAsia="zh-CN"/>
              </w:rPr>
              <w:t>硫塔产生的固形物MgSO</w:t>
            </w:r>
            <w:r>
              <w:rPr>
                <w:rFonts w:hint="eastAsia" w:ascii="Times New Roman" w:hAnsi="Times New Roman" w:cs="Times New Roman"/>
                <w:color w:val="auto"/>
                <w:sz w:val="24"/>
                <w:vertAlign w:val="subscript"/>
                <w:lang w:val="en-US" w:eastAsia="zh-CN"/>
              </w:rPr>
              <w:t>4</w:t>
            </w:r>
            <w:r>
              <w:rPr>
                <w:rFonts w:hint="eastAsia" w:ascii="Times New Roman" w:hAnsi="Times New Roman" w:cs="Times New Roman"/>
                <w:color w:val="auto"/>
                <w:sz w:val="24"/>
                <w:lang w:val="en-US" w:eastAsia="zh-CN"/>
              </w:rPr>
              <w:t>产生量为258t/a，集中收集后外售。</w:t>
            </w:r>
          </w:p>
          <w:p>
            <w:pPr>
              <w:pStyle w:val="1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废渗透膜</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废渗透膜每两年更换一次，每次产生量为1t/2a，由厂家回收。</w:t>
            </w:r>
          </w:p>
          <w:p>
            <w:pPr>
              <w:pStyle w:val="1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废润滑油和废油桶</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项目生产机械设备要进行定期维护保养及维修，该过程会产生一定量的废润滑油和废油桶，废润滑油产生量约为0.</w:t>
            </w:r>
            <w:r>
              <w:rPr>
                <w:rFonts w:hint="eastAsia"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t/a，废油桶产生量约为0.</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w:t>
            </w:r>
          </w:p>
          <w:p>
            <w:pPr>
              <w:snapToGrid w:val="0"/>
              <w:spacing w:line="360" w:lineRule="auto"/>
              <w:jc w:val="center"/>
              <w:rPr>
                <w:rFonts w:ascii="Times New Roman" w:hAnsi="Times New Roman" w:cs="Times New Roman"/>
                <w:b/>
                <w:bCs/>
                <w:szCs w:val="21"/>
              </w:rPr>
            </w:pPr>
            <w:r>
              <w:rPr>
                <w:rFonts w:ascii="Times New Roman" w:hAnsi="Times New Roman" w:cs="Times New Roman"/>
                <w:b/>
                <w:bCs/>
                <w:szCs w:val="21"/>
              </w:rPr>
              <w:t>表</w:t>
            </w:r>
            <w:r>
              <w:rPr>
                <w:rFonts w:hint="eastAsia" w:ascii="Times New Roman" w:hAnsi="Times New Roman" w:cs="Times New Roman"/>
                <w:b/>
                <w:bCs/>
                <w:szCs w:val="21"/>
              </w:rPr>
              <w:t>4-</w:t>
            </w:r>
            <w:r>
              <w:rPr>
                <w:rFonts w:hint="eastAsia" w:ascii="Times New Roman" w:hAnsi="Times New Roman" w:cs="Times New Roman"/>
                <w:b/>
                <w:bCs/>
                <w:szCs w:val="21"/>
                <w:lang w:val="en-US" w:eastAsia="zh-CN"/>
              </w:rPr>
              <w:t>4</w:t>
            </w:r>
            <w:r>
              <w:rPr>
                <w:rFonts w:hint="eastAsia" w:ascii="Times New Roman" w:hAnsi="Times New Roman" w:cs="Times New Roman"/>
                <w:b/>
                <w:bCs/>
                <w:szCs w:val="21"/>
              </w:rPr>
              <w:t xml:space="preserve"> </w:t>
            </w:r>
            <w:r>
              <w:rPr>
                <w:rFonts w:ascii="Times New Roman" w:hAnsi="Times New Roman" w:cs="Times New Roman"/>
                <w:b/>
                <w:bCs/>
                <w:szCs w:val="21"/>
              </w:rPr>
              <w:t xml:space="preserve"> 固体废物产生情况一览表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846"/>
              <w:gridCol w:w="568"/>
              <w:gridCol w:w="1197"/>
              <w:gridCol w:w="693"/>
              <w:gridCol w:w="587"/>
              <w:gridCol w:w="657"/>
              <w:gridCol w:w="899"/>
              <w:gridCol w:w="498"/>
              <w:gridCol w:w="113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2" w:type="pct"/>
                  <w:vAlign w:val="center"/>
                </w:tcPr>
                <w:p>
                  <w:pPr>
                    <w:jc w:val="center"/>
                    <w:rPr>
                      <w:rFonts w:ascii="Times New Roman" w:hAnsi="Times New Roman" w:cs="Times New Roman"/>
                      <w:b/>
                      <w:bCs/>
                      <w:szCs w:val="21"/>
                    </w:rPr>
                  </w:pPr>
                  <w:r>
                    <w:rPr>
                      <w:rFonts w:ascii="Times New Roman" w:hAnsi="Times New Roman" w:cs="Times New Roman"/>
                      <w:b/>
                      <w:bCs/>
                      <w:szCs w:val="21"/>
                    </w:rPr>
                    <w:t>产生环节</w:t>
                  </w:r>
                </w:p>
              </w:tc>
              <w:tc>
                <w:tcPr>
                  <w:tcW w:w="494" w:type="pct"/>
                  <w:vAlign w:val="center"/>
                </w:tcPr>
                <w:p>
                  <w:pPr>
                    <w:jc w:val="center"/>
                    <w:rPr>
                      <w:rFonts w:ascii="Times New Roman" w:hAnsi="Times New Roman" w:cs="Times New Roman"/>
                      <w:b/>
                      <w:bCs/>
                      <w:szCs w:val="21"/>
                    </w:rPr>
                  </w:pPr>
                  <w:r>
                    <w:rPr>
                      <w:rFonts w:ascii="Times New Roman" w:hAnsi="Times New Roman" w:cs="Times New Roman"/>
                      <w:b/>
                      <w:bCs/>
                      <w:szCs w:val="21"/>
                    </w:rPr>
                    <w:t>名称</w:t>
                  </w:r>
                </w:p>
              </w:tc>
              <w:tc>
                <w:tcPr>
                  <w:tcW w:w="332" w:type="pct"/>
                  <w:vAlign w:val="center"/>
                </w:tcPr>
                <w:p>
                  <w:pPr>
                    <w:jc w:val="center"/>
                    <w:rPr>
                      <w:rFonts w:ascii="Times New Roman" w:hAnsi="Times New Roman" w:cs="Times New Roman"/>
                      <w:b/>
                      <w:bCs/>
                      <w:szCs w:val="21"/>
                    </w:rPr>
                  </w:pPr>
                  <w:r>
                    <w:rPr>
                      <w:rFonts w:ascii="Times New Roman" w:hAnsi="Times New Roman" w:cs="Times New Roman"/>
                      <w:b/>
                      <w:bCs/>
                      <w:szCs w:val="21"/>
                    </w:rPr>
                    <w:t>属性</w:t>
                  </w:r>
                </w:p>
              </w:tc>
              <w:tc>
                <w:tcPr>
                  <w:tcW w:w="699" w:type="pct"/>
                  <w:vAlign w:val="center"/>
                </w:tcPr>
                <w:p>
                  <w:pPr>
                    <w:jc w:val="center"/>
                    <w:rPr>
                      <w:rFonts w:ascii="Times New Roman" w:hAnsi="Times New Roman" w:cs="Times New Roman"/>
                      <w:b/>
                      <w:bCs/>
                      <w:szCs w:val="21"/>
                    </w:rPr>
                  </w:pPr>
                  <w:r>
                    <w:rPr>
                      <w:rFonts w:ascii="Times New Roman" w:hAnsi="Times New Roman" w:cs="Times New Roman"/>
                      <w:b/>
                      <w:bCs/>
                      <w:szCs w:val="21"/>
                    </w:rPr>
                    <w:t>编码</w:t>
                  </w:r>
                </w:p>
              </w:tc>
              <w:tc>
                <w:tcPr>
                  <w:tcW w:w="405" w:type="pct"/>
                  <w:vAlign w:val="center"/>
                </w:tcPr>
                <w:p>
                  <w:pPr>
                    <w:jc w:val="center"/>
                    <w:rPr>
                      <w:rFonts w:ascii="Times New Roman" w:hAnsi="Times New Roman" w:cs="Times New Roman"/>
                      <w:b/>
                      <w:bCs/>
                      <w:szCs w:val="21"/>
                    </w:rPr>
                  </w:pPr>
                  <w:r>
                    <w:rPr>
                      <w:rFonts w:ascii="Times New Roman" w:hAnsi="Times New Roman" w:cs="Times New Roman"/>
                      <w:b/>
                      <w:bCs/>
                      <w:szCs w:val="21"/>
                    </w:rPr>
                    <w:t>主要有毒有害物质名称</w:t>
                  </w:r>
                </w:p>
              </w:tc>
              <w:tc>
                <w:tcPr>
                  <w:tcW w:w="343" w:type="pct"/>
                  <w:vAlign w:val="center"/>
                </w:tcPr>
                <w:p>
                  <w:pPr>
                    <w:jc w:val="center"/>
                    <w:rPr>
                      <w:rFonts w:ascii="Times New Roman" w:hAnsi="Times New Roman" w:cs="Times New Roman"/>
                      <w:b/>
                      <w:bCs/>
                      <w:szCs w:val="21"/>
                    </w:rPr>
                  </w:pPr>
                  <w:r>
                    <w:rPr>
                      <w:rFonts w:ascii="Times New Roman" w:hAnsi="Times New Roman" w:cs="Times New Roman"/>
                      <w:b/>
                      <w:bCs/>
                      <w:szCs w:val="21"/>
                    </w:rPr>
                    <w:t>物理性状</w:t>
                  </w:r>
                </w:p>
              </w:tc>
              <w:tc>
                <w:tcPr>
                  <w:tcW w:w="384" w:type="pct"/>
                  <w:vAlign w:val="center"/>
                </w:tcPr>
                <w:p>
                  <w:pPr>
                    <w:jc w:val="center"/>
                    <w:rPr>
                      <w:rFonts w:ascii="Times New Roman" w:hAnsi="Times New Roman" w:cs="Times New Roman"/>
                      <w:b/>
                      <w:bCs/>
                      <w:szCs w:val="21"/>
                    </w:rPr>
                  </w:pPr>
                  <w:r>
                    <w:rPr>
                      <w:rFonts w:ascii="Times New Roman" w:hAnsi="Times New Roman" w:cs="Times New Roman"/>
                      <w:b/>
                      <w:bCs/>
                      <w:szCs w:val="21"/>
                    </w:rPr>
                    <w:t>环境危险特性</w:t>
                  </w:r>
                </w:p>
              </w:tc>
              <w:tc>
                <w:tcPr>
                  <w:tcW w:w="525" w:type="pct"/>
                  <w:vAlign w:val="center"/>
                </w:tcPr>
                <w:p>
                  <w:pPr>
                    <w:jc w:val="center"/>
                    <w:rPr>
                      <w:rFonts w:ascii="Times New Roman" w:hAnsi="Times New Roman" w:cs="Times New Roman"/>
                      <w:b/>
                      <w:bCs/>
                      <w:szCs w:val="21"/>
                    </w:rPr>
                  </w:pPr>
                  <w:r>
                    <w:rPr>
                      <w:rFonts w:ascii="Times New Roman" w:hAnsi="Times New Roman" w:cs="Times New Roman"/>
                      <w:b/>
                      <w:bCs/>
                      <w:szCs w:val="21"/>
                    </w:rPr>
                    <w:t>年度产生量</w:t>
                  </w:r>
                </w:p>
              </w:tc>
              <w:tc>
                <w:tcPr>
                  <w:tcW w:w="291" w:type="pct"/>
                  <w:vAlign w:val="center"/>
                </w:tcPr>
                <w:p>
                  <w:pPr>
                    <w:jc w:val="center"/>
                    <w:rPr>
                      <w:rFonts w:ascii="Times New Roman" w:hAnsi="Times New Roman" w:cs="Times New Roman"/>
                      <w:b/>
                      <w:bCs/>
                      <w:szCs w:val="21"/>
                    </w:rPr>
                  </w:pPr>
                  <w:r>
                    <w:rPr>
                      <w:rFonts w:ascii="Times New Roman" w:hAnsi="Times New Roman" w:cs="Times New Roman"/>
                      <w:b/>
                      <w:bCs/>
                      <w:szCs w:val="21"/>
                    </w:rPr>
                    <w:t>贮存方式</w:t>
                  </w:r>
                </w:p>
              </w:tc>
              <w:tc>
                <w:tcPr>
                  <w:tcW w:w="661" w:type="pct"/>
                  <w:vAlign w:val="center"/>
                </w:tcPr>
                <w:p>
                  <w:pPr>
                    <w:jc w:val="center"/>
                    <w:rPr>
                      <w:rFonts w:ascii="Times New Roman" w:hAnsi="Times New Roman" w:cs="Times New Roman"/>
                      <w:b/>
                      <w:bCs/>
                      <w:szCs w:val="21"/>
                    </w:rPr>
                  </w:pPr>
                  <w:r>
                    <w:rPr>
                      <w:rFonts w:ascii="Times New Roman" w:hAnsi="Times New Roman" w:cs="Times New Roman"/>
                      <w:b/>
                      <w:bCs/>
                      <w:szCs w:val="21"/>
                    </w:rPr>
                    <w:t>处置方式及去向</w:t>
                  </w:r>
                </w:p>
              </w:tc>
              <w:tc>
                <w:tcPr>
                  <w:tcW w:w="526" w:type="pct"/>
                  <w:vAlign w:val="center"/>
                </w:tcPr>
                <w:p>
                  <w:pPr>
                    <w:jc w:val="center"/>
                    <w:rPr>
                      <w:rFonts w:ascii="Times New Roman" w:hAnsi="Times New Roman" w:cs="Times New Roman"/>
                      <w:b/>
                      <w:bCs/>
                      <w:szCs w:val="21"/>
                    </w:rPr>
                  </w:pPr>
                  <w:r>
                    <w:rPr>
                      <w:rFonts w:hint="eastAsia" w:ascii="Times New Roman" w:hAnsi="Times New Roman" w:cs="Times New Roman"/>
                      <w:b/>
                      <w:bCs/>
                      <w:szCs w:val="21"/>
                    </w:rPr>
                    <w:t>利</w:t>
                  </w:r>
                  <w:r>
                    <w:rPr>
                      <w:rFonts w:ascii="Times New Roman" w:hAnsi="Times New Roman" w:cs="Times New Roman"/>
                      <w:b/>
                      <w:bCs/>
                      <w:szCs w:val="21"/>
                    </w:rPr>
                    <w:t>用或处置量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pPr>
                    <w:adjustRightInd w:val="0"/>
                    <w:snapToGrid w:val="0"/>
                    <w:spacing w:line="240" w:lineRule="atLeast"/>
                    <w:jc w:val="center"/>
                    <w:rPr>
                      <w:rFonts w:ascii="Times New Roman" w:hAnsi="Times New Roman" w:cs="Times New Roman"/>
                      <w:szCs w:val="21"/>
                    </w:rPr>
                  </w:pPr>
                  <w:r>
                    <w:rPr>
                      <w:rFonts w:hint="eastAsia" w:ascii="Times New Roman" w:hAnsi="Times New Roman" w:eastAsia="宋体" w:cs="Times New Roman"/>
                      <w:szCs w:val="21"/>
                    </w:rPr>
                    <w:t>锅炉炉膛</w:t>
                  </w:r>
                </w:p>
              </w:tc>
              <w:tc>
                <w:tcPr>
                  <w:tcW w:w="494" w:type="pct"/>
                  <w:vAlign w:val="center"/>
                </w:tcPr>
                <w:p>
                  <w:pPr>
                    <w:jc w:val="center"/>
                    <w:rPr>
                      <w:rFonts w:ascii="Times New Roman" w:hAnsi="Times New Roman" w:cs="Times New Roman"/>
                      <w:szCs w:val="21"/>
                    </w:rPr>
                  </w:pPr>
                  <w:r>
                    <w:rPr>
                      <w:rFonts w:hint="eastAsia" w:ascii="Times New Roman" w:hAnsi="Times New Roman" w:cs="Times New Roman"/>
                      <w:szCs w:val="21"/>
                    </w:rPr>
                    <w:t>炉渣</w:t>
                  </w:r>
                </w:p>
              </w:tc>
              <w:tc>
                <w:tcPr>
                  <w:tcW w:w="332" w:type="pct"/>
                  <w:vAlign w:val="center"/>
                </w:tcPr>
                <w:p>
                  <w:pPr>
                    <w:jc w:val="center"/>
                    <w:rPr>
                      <w:rFonts w:ascii="Times New Roman" w:hAnsi="Times New Roman" w:cs="Times New Roman"/>
                      <w:szCs w:val="21"/>
                    </w:rPr>
                  </w:pPr>
                  <w:r>
                    <w:rPr>
                      <w:rFonts w:ascii="Times New Roman" w:hAnsi="Times New Roman" w:cs="Times New Roman"/>
                      <w:szCs w:val="21"/>
                    </w:rPr>
                    <w:t>一般工业固体废物</w:t>
                  </w:r>
                </w:p>
              </w:tc>
              <w:tc>
                <w:tcPr>
                  <w:tcW w:w="699" w:type="pct"/>
                  <w:vAlign w:val="center"/>
                </w:tcPr>
                <w:p>
                  <w:pPr>
                    <w:jc w:val="center"/>
                    <w:rPr>
                      <w:rFonts w:hint="default" w:ascii="Times New Roman" w:hAnsi="Times New Roman" w:cs="Times New Roman"/>
                      <w:szCs w:val="21"/>
                      <w:lang w:val="en-US"/>
                    </w:rPr>
                  </w:pPr>
                  <w:r>
                    <w:rPr>
                      <w:rFonts w:hint="eastAsia" w:ascii="Times New Roman" w:hAnsi="Times New Roman" w:cs="Times New Roman"/>
                      <w:szCs w:val="21"/>
                      <w:lang w:val="en-US" w:eastAsia="zh-CN"/>
                    </w:rPr>
                    <w:t>443</w:t>
                  </w:r>
                  <w:r>
                    <w:rPr>
                      <w:rFonts w:hint="eastAsia" w:ascii="Times New Roman" w:hAnsi="Times New Roman" w:cs="Times New Roman"/>
                      <w:szCs w:val="21"/>
                    </w:rPr>
                    <w:t>-9</w:t>
                  </w:r>
                  <w:r>
                    <w:rPr>
                      <w:rFonts w:ascii="Times New Roman" w:hAnsi="Times New Roman" w:cs="Times New Roman"/>
                      <w:szCs w:val="21"/>
                    </w:rPr>
                    <w:t>99</w:t>
                  </w:r>
                  <w:r>
                    <w:rPr>
                      <w:rFonts w:hint="eastAsia" w:ascii="Times New Roman" w:hAnsi="Times New Roman" w:cs="Times New Roman"/>
                      <w:szCs w:val="21"/>
                    </w:rPr>
                    <w:t>-</w:t>
                  </w:r>
                  <w:r>
                    <w:rPr>
                      <w:rFonts w:hint="eastAsia" w:ascii="Times New Roman" w:hAnsi="Times New Roman" w:cs="Times New Roman"/>
                      <w:szCs w:val="21"/>
                      <w:lang w:val="en-US" w:eastAsia="zh-CN"/>
                    </w:rPr>
                    <w:t>64</w:t>
                  </w:r>
                </w:p>
              </w:tc>
              <w:tc>
                <w:tcPr>
                  <w:tcW w:w="405" w:type="pct"/>
                  <w:vAlign w:val="center"/>
                </w:tcPr>
                <w:p>
                  <w:pPr>
                    <w:jc w:val="center"/>
                    <w:rPr>
                      <w:rFonts w:ascii="Times New Roman" w:hAnsi="Times New Roman" w:cs="Times New Roman"/>
                      <w:szCs w:val="21"/>
                    </w:rPr>
                  </w:pPr>
                  <w:r>
                    <w:rPr>
                      <w:rFonts w:ascii="Times New Roman" w:hAnsi="Times New Roman" w:cs="Times New Roman"/>
                      <w:szCs w:val="21"/>
                    </w:rPr>
                    <w:t>颗粒物</w:t>
                  </w:r>
                </w:p>
              </w:tc>
              <w:tc>
                <w:tcPr>
                  <w:tcW w:w="343" w:type="pct"/>
                  <w:vAlign w:val="center"/>
                </w:tcPr>
                <w:p>
                  <w:pPr>
                    <w:jc w:val="center"/>
                    <w:rPr>
                      <w:rFonts w:ascii="Times New Roman" w:hAnsi="Times New Roman" w:cs="Times New Roman"/>
                      <w:szCs w:val="21"/>
                    </w:rPr>
                  </w:pPr>
                  <w:r>
                    <w:rPr>
                      <w:rFonts w:ascii="Times New Roman" w:hAnsi="Times New Roman" w:cs="Times New Roman"/>
                      <w:szCs w:val="21"/>
                    </w:rPr>
                    <w:t>固态</w:t>
                  </w:r>
                </w:p>
              </w:tc>
              <w:tc>
                <w:tcPr>
                  <w:tcW w:w="384" w:type="pct"/>
                  <w:vAlign w:val="center"/>
                </w:tcPr>
                <w:p>
                  <w:pPr>
                    <w:jc w:val="center"/>
                    <w:rPr>
                      <w:rFonts w:ascii="Times New Roman" w:hAnsi="Times New Roman" w:cs="Times New Roman"/>
                      <w:szCs w:val="21"/>
                    </w:rPr>
                  </w:pPr>
                  <w:r>
                    <w:rPr>
                      <w:rFonts w:ascii="Times New Roman" w:hAnsi="Times New Roman" w:cs="Times New Roman"/>
                      <w:szCs w:val="21"/>
                    </w:rPr>
                    <w:t>/</w:t>
                  </w:r>
                </w:p>
              </w:tc>
              <w:tc>
                <w:tcPr>
                  <w:tcW w:w="525" w:type="pct"/>
                  <w:vAlign w:val="center"/>
                </w:tcPr>
                <w:p>
                  <w:pPr>
                    <w:jc w:val="center"/>
                    <w:rPr>
                      <w:rFonts w:ascii="Times New Roman" w:hAnsi="Times New Roman" w:cs="Times New Roman"/>
                      <w:szCs w:val="21"/>
                    </w:rPr>
                  </w:pPr>
                  <w:r>
                    <w:rPr>
                      <w:rFonts w:hint="eastAsia" w:ascii="Times New Roman" w:hAnsi="Times New Roman" w:cs="Times New Roman"/>
                      <w:szCs w:val="21"/>
                      <w:lang w:val="en-US" w:eastAsia="zh-CN"/>
                    </w:rPr>
                    <w:t>899</w:t>
                  </w:r>
                  <w:r>
                    <w:rPr>
                      <w:rFonts w:hint="eastAsia" w:ascii="Times New Roman" w:hAnsi="Times New Roman" w:cs="Times New Roman"/>
                      <w:szCs w:val="21"/>
                    </w:rPr>
                    <w:t>t/a</w:t>
                  </w:r>
                </w:p>
              </w:tc>
              <w:tc>
                <w:tcPr>
                  <w:tcW w:w="291" w:type="pct"/>
                  <w:vAlign w:val="center"/>
                </w:tcPr>
                <w:p>
                  <w:pPr>
                    <w:jc w:val="center"/>
                    <w:rPr>
                      <w:rFonts w:ascii="Times New Roman" w:hAnsi="Times New Roman" w:cs="Times New Roman"/>
                      <w:szCs w:val="21"/>
                    </w:rPr>
                  </w:pPr>
                  <w:r>
                    <w:rPr>
                      <w:rFonts w:ascii="Times New Roman" w:hAnsi="Times New Roman" w:cs="Times New Roman"/>
                      <w:szCs w:val="21"/>
                    </w:rPr>
                    <w:t>袋装</w:t>
                  </w:r>
                </w:p>
              </w:tc>
              <w:tc>
                <w:tcPr>
                  <w:tcW w:w="661" w:type="pc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集中收集后</w:t>
                  </w:r>
                  <w:r>
                    <w:rPr>
                      <w:rFonts w:hint="eastAsia" w:ascii="Times New Roman" w:hAnsi="Times New Roman" w:cs="Times New Roman"/>
                      <w:szCs w:val="21"/>
                      <w:lang w:val="en-US" w:eastAsia="zh-CN"/>
                    </w:rPr>
                    <w:t>外售</w:t>
                  </w:r>
                </w:p>
              </w:tc>
              <w:tc>
                <w:tcPr>
                  <w:tcW w:w="526" w:type="pct"/>
                  <w:vAlign w:val="center"/>
                </w:tcPr>
                <w:p>
                  <w:pPr>
                    <w:jc w:val="center"/>
                    <w:rPr>
                      <w:rFonts w:ascii="Times New Roman" w:hAnsi="Times New Roman" w:cs="Times New Roman"/>
                      <w:szCs w:val="21"/>
                    </w:rPr>
                  </w:pPr>
                  <w:r>
                    <w:rPr>
                      <w:rFonts w:hint="eastAsia" w:ascii="Times New Roman" w:hAnsi="Times New Roman" w:cs="Times New Roman"/>
                      <w:szCs w:val="21"/>
                      <w:lang w:val="en-US" w:eastAsia="zh-CN"/>
                    </w:rPr>
                    <w:t>899</w:t>
                  </w:r>
                  <w:r>
                    <w:rPr>
                      <w:rFonts w:hint="eastAsia"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pPr>
                    <w:adjustRightInd w:val="0"/>
                    <w:snapToGrid w:val="0"/>
                    <w:spacing w:line="240" w:lineRule="atLeast"/>
                    <w:jc w:val="center"/>
                    <w:rPr>
                      <w:rFonts w:ascii="Times New Roman" w:hAnsi="Times New Roman" w:cs="Times New Roman"/>
                      <w:color w:val="FF0000"/>
                      <w:szCs w:val="21"/>
                    </w:rPr>
                  </w:pPr>
                  <w:r>
                    <w:rPr>
                      <w:rFonts w:hint="eastAsia" w:ascii="Times New Roman" w:hAnsi="Times New Roman" w:eastAsia="宋体" w:cs="Times New Roman"/>
                      <w:szCs w:val="21"/>
                      <w:lang w:eastAsia="zh-CN"/>
                    </w:rPr>
                    <w:t>锅炉</w:t>
                  </w:r>
                  <w:r>
                    <w:rPr>
                      <w:rFonts w:hint="eastAsia" w:ascii="Times New Roman" w:hAnsi="Times New Roman" w:eastAsia="宋体" w:cs="Times New Roman"/>
                      <w:szCs w:val="21"/>
                    </w:rPr>
                    <w:t>除尘器布袋</w:t>
                  </w:r>
                </w:p>
              </w:tc>
              <w:tc>
                <w:tcPr>
                  <w:tcW w:w="494"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锅炉</w:t>
                  </w:r>
                  <w:r>
                    <w:rPr>
                      <w:rFonts w:hint="eastAsia" w:ascii="Times New Roman" w:hAnsi="Times New Roman" w:cs="Times New Roman"/>
                      <w:color w:val="000000" w:themeColor="text1"/>
                      <w:szCs w:val="21"/>
                      <w14:textFill>
                        <w14:solidFill>
                          <w14:schemeClr w14:val="tx1"/>
                        </w14:solidFill>
                      </w14:textFill>
                    </w:rPr>
                    <w:t>除尘灰</w:t>
                  </w:r>
                </w:p>
              </w:tc>
              <w:tc>
                <w:tcPr>
                  <w:tcW w:w="332" w:type="pct"/>
                  <w:vAlign w:val="center"/>
                </w:tcPr>
                <w:p>
                  <w:pPr>
                    <w:jc w:val="center"/>
                    <w:rPr>
                      <w:rFonts w:ascii="Times New Roman" w:hAnsi="Times New Roman" w:cs="Times New Roman"/>
                      <w:color w:val="000000" w:themeColor="text1"/>
                      <w:szCs w:val="21"/>
                      <w:highlight w:val="yellow"/>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一般工业固体废物</w:t>
                  </w:r>
                </w:p>
              </w:tc>
              <w:tc>
                <w:tcPr>
                  <w:tcW w:w="699" w:type="pct"/>
                  <w:vAlign w:val="center"/>
                </w:tcPr>
                <w:p>
                  <w:pPr>
                    <w:jc w:val="center"/>
                    <w:rPr>
                      <w:rFonts w:ascii="Times New Roman" w:hAnsi="Times New Roman" w:cs="Times New Roman"/>
                      <w:color w:val="000000" w:themeColor="text1"/>
                      <w:szCs w:val="21"/>
                      <w:highlight w:val="yellow"/>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443</w:t>
                  </w:r>
                  <w:r>
                    <w:rPr>
                      <w:rFonts w:hint="eastAsia" w:ascii="Times New Roman" w:hAnsi="Times New Roman" w:cs="Times New Roman"/>
                      <w:color w:val="000000" w:themeColor="text1"/>
                      <w:szCs w:val="21"/>
                      <w14:textFill>
                        <w14:solidFill>
                          <w14:schemeClr w14:val="tx1"/>
                        </w14:solidFill>
                      </w14:textFill>
                    </w:rPr>
                    <w:t>-9</w:t>
                  </w:r>
                  <w:r>
                    <w:rPr>
                      <w:rFonts w:ascii="Times New Roman" w:hAnsi="Times New Roman" w:cs="Times New Roman"/>
                      <w:color w:val="000000" w:themeColor="text1"/>
                      <w:szCs w:val="21"/>
                      <w14:textFill>
                        <w14:solidFill>
                          <w14:schemeClr w14:val="tx1"/>
                        </w14:solidFill>
                      </w14:textFill>
                    </w:rPr>
                    <w:t>99</w:t>
                  </w:r>
                  <w:r>
                    <w:rPr>
                      <w:rFonts w:hint="eastAsia" w:ascii="Times New Roman" w:hAnsi="Times New Roman" w:cs="Times New Roman"/>
                      <w:color w:val="000000" w:themeColor="text1"/>
                      <w:szCs w:val="21"/>
                      <w14:textFill>
                        <w14:solidFill>
                          <w14:schemeClr w14:val="tx1"/>
                        </w14:solidFill>
                      </w14:textFill>
                    </w:rPr>
                    <w:t>-66</w:t>
                  </w:r>
                </w:p>
              </w:tc>
              <w:tc>
                <w:tcPr>
                  <w:tcW w:w="405"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颗粒物</w:t>
                  </w:r>
                </w:p>
              </w:tc>
              <w:tc>
                <w:tcPr>
                  <w:tcW w:w="34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固态</w:t>
                  </w:r>
                </w:p>
              </w:tc>
              <w:tc>
                <w:tcPr>
                  <w:tcW w:w="384"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525"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1142t/a</w:t>
                  </w:r>
                </w:p>
              </w:tc>
              <w:tc>
                <w:tcPr>
                  <w:tcW w:w="29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袋装</w:t>
                  </w:r>
                </w:p>
              </w:tc>
              <w:tc>
                <w:tcPr>
                  <w:tcW w:w="66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集中收集后</w:t>
                  </w:r>
                  <w:r>
                    <w:rPr>
                      <w:rFonts w:hint="eastAsia" w:ascii="Times New Roman" w:hAnsi="Times New Roman" w:cs="Times New Roman"/>
                      <w:color w:val="000000" w:themeColor="text1"/>
                      <w:szCs w:val="21"/>
                      <w:lang w:val="en-US" w:eastAsia="zh-CN"/>
                      <w14:textFill>
                        <w14:solidFill>
                          <w14:schemeClr w14:val="tx1"/>
                        </w14:solidFill>
                      </w14:textFill>
                    </w:rPr>
                    <w:t>外售</w:t>
                  </w:r>
                </w:p>
              </w:tc>
              <w:tc>
                <w:tcPr>
                  <w:tcW w:w="52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1142t/a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smallCaps w:val="0"/>
                      <w:color w:val="FF0000"/>
                      <w:kern w:val="2"/>
                      <w:sz w:val="21"/>
                      <w:szCs w:val="21"/>
                      <w:vertAlign w:val="baseline"/>
                      <w:lang w:val="en-US" w:eastAsia="zh-CN" w:bidi="ar-SA"/>
                    </w:rPr>
                  </w:pPr>
                  <w:r>
                    <w:rPr>
                      <w:rFonts w:hint="eastAsia" w:ascii="Times New Roman" w:hAnsi="Times New Roman"/>
                      <w:color w:val="000000" w:themeColor="text1"/>
                      <w:sz w:val="21"/>
                      <w:szCs w:val="21"/>
                      <w:highlight w:val="none"/>
                      <w:lang w:val="en-US" w:eastAsia="zh-CN"/>
                      <w14:textFill>
                        <w14:solidFill>
                          <w14:schemeClr w14:val="tx1"/>
                        </w14:solidFill>
                      </w14:textFill>
                    </w:rPr>
                    <w:t>脉冲除尘器布袋</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除尘器</w:t>
                  </w:r>
                  <w:r>
                    <w:rPr>
                      <w:rFonts w:hint="default" w:ascii="Times New Roman" w:hAnsi="Times New Roman" w:eastAsia="宋体" w:cs="Times New Roman"/>
                      <w:smallCaps w:val="0"/>
                      <w:color w:val="000000" w:themeColor="text1"/>
                      <w:sz w:val="21"/>
                      <w:szCs w:val="21"/>
                      <w:highlight w:val="none"/>
                      <w:vertAlign w:val="baseline"/>
                      <w:lang w:val="en-US" w:eastAsia="zh-CN" w:bidi="ar-SA"/>
                      <w14:textFill>
                        <w14:solidFill>
                          <w14:schemeClr w14:val="tx1"/>
                        </w14:solidFill>
                      </w14:textFill>
                    </w:rPr>
                    <w:t>除尘灰</w:t>
                  </w:r>
                </w:p>
              </w:tc>
              <w:tc>
                <w:tcPr>
                  <w:tcW w:w="332"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z w:val="21"/>
                      <w:szCs w:val="21"/>
                      <w:highlight w:val="none"/>
                      <w:vertAlign w:val="baseline"/>
                      <w:lang w:val="en-US" w:eastAsia="zh-CN" w:bidi="ar-SA"/>
                      <w14:textFill>
                        <w14:solidFill>
                          <w14:schemeClr w14:val="tx1"/>
                        </w14:solidFill>
                      </w14:textFill>
                    </w:rPr>
                    <w:t>一般工业固体废物</w:t>
                  </w:r>
                </w:p>
              </w:tc>
              <w:tc>
                <w:tcPr>
                  <w:tcW w:w="699"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t>443-001-66</w:t>
                  </w:r>
                </w:p>
              </w:tc>
              <w:tc>
                <w:tcPr>
                  <w:tcW w:w="405" w:type="pct"/>
                  <w:vAlign w:val="center"/>
                </w:tcPr>
                <w:p>
                  <w:pPr>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颗粒物</w:t>
                  </w:r>
                </w:p>
              </w:tc>
              <w:tc>
                <w:tcPr>
                  <w:tcW w:w="343" w:type="pct"/>
                  <w:vAlign w:val="center"/>
                </w:tcPr>
                <w:p>
                  <w:pPr>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固态</w:t>
                  </w:r>
                </w:p>
              </w:tc>
              <w:tc>
                <w:tcPr>
                  <w:tcW w:w="384" w:type="pct"/>
                  <w:vAlign w:val="center"/>
                </w:tcPr>
                <w:p>
                  <w:pPr>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525" w:type="pct"/>
                  <w:vAlign w:val="center"/>
                </w:tcPr>
                <w:p>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1.035t/a</w:t>
                  </w:r>
                </w:p>
              </w:tc>
              <w:tc>
                <w:tcPr>
                  <w:tcW w:w="291" w:type="pct"/>
                  <w:vAlign w:val="center"/>
                </w:tcPr>
                <w:p>
                  <w:pPr>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袋装</w:t>
                  </w:r>
                </w:p>
              </w:tc>
              <w:tc>
                <w:tcPr>
                  <w:tcW w:w="661" w:type="pct"/>
                  <w:vAlign w:val="center"/>
                </w:tcPr>
                <w:p>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收集后作为燃料回用</w:t>
                  </w:r>
                </w:p>
              </w:tc>
              <w:tc>
                <w:tcPr>
                  <w:tcW w:w="52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脱硫塔</w:t>
                  </w:r>
                </w:p>
              </w:tc>
              <w:tc>
                <w:tcPr>
                  <w:tcW w:w="494" w:type="pc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固形物MgSO</w:t>
                  </w:r>
                  <w:r>
                    <w:rPr>
                      <w:rFonts w:hint="eastAsia" w:ascii="Times New Roman" w:hAnsi="Times New Roman" w:cs="Times New Roman"/>
                      <w:szCs w:val="21"/>
                      <w:vertAlign w:val="subscript"/>
                      <w:lang w:val="en-US" w:eastAsia="zh-CN"/>
                    </w:rPr>
                    <w:t>4</w:t>
                  </w:r>
                </w:p>
              </w:tc>
              <w:tc>
                <w:tcPr>
                  <w:tcW w:w="332" w:type="pc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一般工业固体废物</w:t>
                  </w:r>
                </w:p>
              </w:tc>
              <w:tc>
                <w:tcPr>
                  <w:tcW w:w="699" w:type="pct"/>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443-999-99</w:t>
                  </w:r>
                </w:p>
              </w:tc>
              <w:tc>
                <w:tcPr>
                  <w:tcW w:w="405" w:type="pct"/>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c>
                <w:tcPr>
                  <w:tcW w:w="343" w:type="pct"/>
                  <w:vAlign w:val="center"/>
                </w:tcPr>
                <w:p>
                  <w:pPr>
                    <w:jc w:val="center"/>
                    <w:rPr>
                      <w:rFonts w:ascii="Times New Roman" w:hAnsi="Times New Roman" w:cs="Times New Roman"/>
                      <w:szCs w:val="21"/>
                    </w:rPr>
                  </w:pPr>
                  <w:r>
                    <w:rPr>
                      <w:rFonts w:ascii="Times New Roman" w:hAnsi="Times New Roman" w:cs="Times New Roman"/>
                      <w:szCs w:val="21"/>
                    </w:rPr>
                    <w:t>固态</w:t>
                  </w:r>
                </w:p>
              </w:tc>
              <w:tc>
                <w:tcPr>
                  <w:tcW w:w="384" w:type="pct"/>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c>
                <w:tcPr>
                  <w:tcW w:w="525" w:type="pct"/>
                  <w:vAlign w:val="center"/>
                </w:tcPr>
                <w:p>
                  <w:pPr>
                    <w:jc w:val="center"/>
                    <w:rPr>
                      <w:rFonts w:ascii="Times New Roman" w:hAnsi="Times New Roman" w:cs="Times New Roman"/>
                      <w:szCs w:val="21"/>
                    </w:rPr>
                  </w:pPr>
                  <w:r>
                    <w:rPr>
                      <w:rFonts w:hint="eastAsia" w:ascii="Times New Roman" w:hAnsi="Times New Roman" w:cs="Times New Roman"/>
                      <w:szCs w:val="21"/>
                      <w:lang w:val="en-US" w:eastAsia="zh-CN"/>
                    </w:rPr>
                    <w:t>258t/a</w:t>
                  </w:r>
                </w:p>
              </w:tc>
              <w:tc>
                <w:tcPr>
                  <w:tcW w:w="291" w:type="pct"/>
                  <w:vAlign w:val="center"/>
                </w:tcPr>
                <w:p>
                  <w:pPr>
                    <w:jc w:val="center"/>
                    <w:rPr>
                      <w:rFonts w:ascii="Times New Roman" w:hAnsi="Times New Roman" w:cs="Times New Roman"/>
                      <w:szCs w:val="21"/>
                    </w:rPr>
                  </w:pPr>
                  <w:r>
                    <w:rPr>
                      <w:rFonts w:ascii="Times New Roman" w:hAnsi="Times New Roman" w:cs="Times New Roman"/>
                      <w:szCs w:val="21"/>
                    </w:rPr>
                    <w:t>袋装</w:t>
                  </w:r>
                </w:p>
              </w:tc>
              <w:tc>
                <w:tcPr>
                  <w:tcW w:w="661" w:type="pct"/>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集中收集后外售</w:t>
                  </w:r>
                </w:p>
              </w:tc>
              <w:tc>
                <w:tcPr>
                  <w:tcW w:w="526" w:type="pct"/>
                  <w:vAlign w:val="center"/>
                </w:tcPr>
                <w:p>
                  <w:pPr>
                    <w:jc w:val="center"/>
                    <w:rPr>
                      <w:rFonts w:ascii="Times New Roman" w:hAnsi="Times New Roman" w:cs="Times New Roman"/>
                      <w:szCs w:val="21"/>
                    </w:rPr>
                  </w:pPr>
                  <w:r>
                    <w:rPr>
                      <w:rFonts w:hint="eastAsia" w:ascii="Times New Roman" w:hAnsi="Times New Roman" w:cs="Times New Roman"/>
                      <w:szCs w:val="21"/>
                      <w:lang w:val="en-US" w:eastAsia="zh-CN"/>
                    </w:rPr>
                    <w:t>258t/a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Times New Roman" w:hAnsi="Times New Roman" w:cs="Times New Roman"/>
                      <w:szCs w:val="21"/>
                    </w:rPr>
                  </w:pPr>
                  <w:r>
                    <w:rPr>
                      <w:rFonts w:hint="eastAsia" w:ascii="Times New Roman" w:hAnsi="Times New Roman" w:cs="Times New Roman" w:eastAsiaTheme="minorEastAsia"/>
                      <w:kern w:val="2"/>
                      <w:sz w:val="21"/>
                      <w:szCs w:val="21"/>
                      <w:lang w:val="en-US" w:eastAsia="zh-CN" w:bidi="ar-SA"/>
                    </w:rPr>
                    <w:t>软水制备</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Times New Roman" w:hAnsi="Times New Roman" w:cs="Times New Roman"/>
                      <w:szCs w:val="21"/>
                    </w:rPr>
                  </w:pPr>
                  <w:r>
                    <w:rPr>
                      <w:rFonts w:hint="eastAsia" w:ascii="Times New Roman" w:hAnsi="Times New Roman"/>
                      <w:color w:val="auto"/>
                      <w:sz w:val="21"/>
                      <w:szCs w:val="21"/>
                      <w:highlight w:val="none"/>
                      <w:lang w:val="en-US" w:eastAsia="zh-CN"/>
                    </w:rPr>
                    <w:t>废反渗透膜</w:t>
                  </w:r>
                </w:p>
              </w:tc>
              <w:tc>
                <w:tcPr>
                  <w:tcW w:w="332"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ascii="Times New Roman" w:hAnsi="Times New Roman" w:cs="Times New Roman"/>
                      <w:szCs w:val="21"/>
                    </w:rPr>
                  </w:pPr>
                  <w:r>
                    <w:rPr>
                      <w:rFonts w:hint="default" w:ascii="Times New Roman" w:hAnsi="Times New Roman" w:eastAsia="宋体" w:cs="Times New Roman"/>
                      <w:smallCaps w:val="0"/>
                      <w:color w:val="auto"/>
                      <w:sz w:val="21"/>
                      <w:szCs w:val="21"/>
                      <w:highlight w:val="none"/>
                      <w:vertAlign w:val="baseline"/>
                      <w:lang w:val="en-US" w:eastAsia="zh-CN" w:bidi="ar-SA"/>
                    </w:rPr>
                    <w:t>一般工业固体废物</w:t>
                  </w:r>
                </w:p>
              </w:tc>
              <w:tc>
                <w:tcPr>
                  <w:tcW w:w="699"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zCs w:val="21"/>
                      <w:lang w:val="en-US"/>
                    </w:rPr>
                  </w:pPr>
                  <w:r>
                    <w:rPr>
                      <w:rFonts w:hint="eastAsia" w:ascii="Times New Roman" w:hAnsi="Times New Roman" w:eastAsia="宋体" w:cs="Times New Roman"/>
                      <w:smallCaps w:val="0"/>
                      <w:color w:val="auto"/>
                      <w:kern w:val="2"/>
                      <w:sz w:val="21"/>
                      <w:szCs w:val="21"/>
                      <w:highlight w:val="none"/>
                      <w:vertAlign w:val="baseline"/>
                      <w:lang w:val="en-US" w:eastAsia="zh-CN" w:bidi="ar-SA"/>
                    </w:rPr>
                    <w:t>443-001-99</w:t>
                  </w:r>
                </w:p>
              </w:tc>
              <w:tc>
                <w:tcPr>
                  <w:tcW w:w="405" w:type="pct"/>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w:t>
                  </w:r>
                </w:p>
              </w:tc>
              <w:tc>
                <w:tcPr>
                  <w:tcW w:w="343" w:type="pct"/>
                  <w:vAlign w:val="center"/>
                </w:tcPr>
                <w:p>
                  <w:pPr>
                    <w:jc w:val="center"/>
                    <w:rPr>
                      <w:rFonts w:ascii="Times New Roman" w:hAnsi="Times New Roman" w:cs="Times New Roman"/>
                      <w:szCs w:val="21"/>
                    </w:rPr>
                  </w:pPr>
                  <w:r>
                    <w:rPr>
                      <w:rFonts w:ascii="Times New Roman" w:hAnsi="Times New Roman" w:cs="Times New Roman"/>
                      <w:szCs w:val="21"/>
                    </w:rPr>
                    <w:t>固态</w:t>
                  </w:r>
                </w:p>
              </w:tc>
              <w:tc>
                <w:tcPr>
                  <w:tcW w:w="384" w:type="pct"/>
                  <w:vAlign w:val="center"/>
                </w:tcPr>
                <w:p>
                  <w:pPr>
                    <w:jc w:val="center"/>
                    <w:rPr>
                      <w:rFonts w:ascii="Times New Roman" w:hAnsi="Times New Roman" w:cs="Times New Roman"/>
                      <w:szCs w:val="21"/>
                    </w:rPr>
                  </w:pPr>
                  <w:r>
                    <w:rPr>
                      <w:rFonts w:ascii="Times New Roman" w:hAnsi="Times New Roman" w:cs="Times New Roman"/>
                      <w:szCs w:val="21"/>
                    </w:rPr>
                    <w:t>/</w:t>
                  </w:r>
                </w:p>
              </w:tc>
              <w:tc>
                <w:tcPr>
                  <w:tcW w:w="525" w:type="pct"/>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1t/2a</w:t>
                  </w:r>
                </w:p>
              </w:tc>
              <w:tc>
                <w:tcPr>
                  <w:tcW w:w="291" w:type="pct"/>
                  <w:vAlign w:val="center"/>
                </w:tcPr>
                <w:p>
                  <w:pPr>
                    <w:jc w:val="center"/>
                    <w:rPr>
                      <w:rFonts w:ascii="Times New Roman" w:hAnsi="Times New Roman" w:cs="Times New Roman"/>
                      <w:szCs w:val="21"/>
                    </w:rPr>
                  </w:pPr>
                  <w:r>
                    <w:rPr>
                      <w:rFonts w:ascii="Times New Roman" w:hAnsi="Times New Roman" w:cs="Times New Roman"/>
                      <w:szCs w:val="21"/>
                    </w:rPr>
                    <w:t>袋装</w:t>
                  </w:r>
                </w:p>
              </w:tc>
              <w:tc>
                <w:tcPr>
                  <w:tcW w:w="661"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由厂家回收</w:t>
                  </w:r>
                </w:p>
              </w:tc>
              <w:tc>
                <w:tcPr>
                  <w:tcW w:w="526" w:type="pct"/>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332" w:type="pct"/>
                  <w:vMerge w:val="restar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设备维护</w:t>
                  </w:r>
                </w:p>
              </w:tc>
              <w:tc>
                <w:tcPr>
                  <w:tcW w:w="494"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废润滑油</w:t>
                  </w:r>
                </w:p>
              </w:tc>
              <w:tc>
                <w:tcPr>
                  <w:tcW w:w="332"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危险废物</w:t>
                  </w:r>
                </w:p>
              </w:tc>
              <w:tc>
                <w:tcPr>
                  <w:tcW w:w="699" w:type="pct"/>
                  <w:vAlign w:val="center"/>
                </w:tcPr>
                <w:p>
                  <w:pPr>
                    <w:pStyle w:val="19"/>
                    <w:widowControl w:val="0"/>
                    <w:snapToGrid w:val="0"/>
                    <w:spacing w:beforeAutospacing="0" w:afterAutospacing="0"/>
                    <w:jc w:val="center"/>
                    <w:rPr>
                      <w:rFonts w:hint="default" w:ascii="Times New Roman" w:hAnsi="Times New Roman"/>
                      <w:szCs w:val="21"/>
                    </w:rPr>
                  </w:pPr>
                  <w:r>
                    <w:rPr>
                      <w:rFonts w:ascii="Times New Roman" w:hAnsi="Times New Roman"/>
                      <w:sz w:val="21"/>
                      <w:szCs w:val="21"/>
                    </w:rPr>
                    <w:t>900-21</w:t>
                  </w:r>
                  <w:r>
                    <w:rPr>
                      <w:rFonts w:hint="eastAsia" w:ascii="Times New Roman" w:hAnsi="Times New Roman"/>
                      <w:sz w:val="21"/>
                      <w:szCs w:val="21"/>
                      <w:lang w:val="en-US" w:eastAsia="zh-CN"/>
                    </w:rPr>
                    <w:t>7</w:t>
                  </w:r>
                  <w:r>
                    <w:rPr>
                      <w:rFonts w:ascii="Times New Roman" w:hAnsi="Times New Roman"/>
                      <w:sz w:val="21"/>
                      <w:szCs w:val="21"/>
                    </w:rPr>
                    <w:t>-08</w:t>
                  </w:r>
                </w:p>
              </w:tc>
              <w:tc>
                <w:tcPr>
                  <w:tcW w:w="405" w:type="pct"/>
                  <w:vAlign w:val="center"/>
                </w:tcPr>
                <w:p>
                  <w:pPr>
                    <w:pStyle w:val="19"/>
                    <w:widowControl w:val="0"/>
                    <w:snapToGrid w:val="0"/>
                    <w:spacing w:beforeAutospacing="0" w:afterAutospacing="0"/>
                    <w:jc w:val="center"/>
                    <w:rPr>
                      <w:rFonts w:hint="default" w:ascii="Times New Roman" w:hAnsi="Times New Roman"/>
                      <w:szCs w:val="21"/>
                    </w:rPr>
                  </w:pPr>
                  <w:r>
                    <w:rPr>
                      <w:rFonts w:ascii="Times New Roman" w:hAnsi="Times New Roman"/>
                      <w:sz w:val="21"/>
                      <w:szCs w:val="21"/>
                    </w:rPr>
                    <w:t>废矿物油</w:t>
                  </w:r>
                </w:p>
              </w:tc>
              <w:tc>
                <w:tcPr>
                  <w:tcW w:w="343"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液态</w:t>
                  </w:r>
                </w:p>
              </w:tc>
              <w:tc>
                <w:tcPr>
                  <w:tcW w:w="384"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T，I</w:t>
                  </w:r>
                </w:p>
              </w:tc>
              <w:tc>
                <w:tcPr>
                  <w:tcW w:w="525"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2</w:t>
                  </w:r>
                  <w:r>
                    <w:rPr>
                      <w:rFonts w:hint="eastAsia" w:ascii="Times New Roman" w:hAnsi="Times New Roman" w:cs="Times New Roman"/>
                      <w:color w:val="000000"/>
                      <w:szCs w:val="21"/>
                    </w:rPr>
                    <w:t>t/a</w:t>
                  </w:r>
                </w:p>
              </w:tc>
              <w:tc>
                <w:tcPr>
                  <w:tcW w:w="291" w:type="pct"/>
                  <w:vMerge w:val="restar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于危废间内暂存</w:t>
                  </w:r>
                </w:p>
              </w:tc>
              <w:tc>
                <w:tcPr>
                  <w:tcW w:w="661" w:type="pct"/>
                  <w:vMerge w:val="restart"/>
                  <w:vAlign w:val="center"/>
                </w:tcPr>
                <w:p>
                  <w:pPr>
                    <w:snapToGrid w:val="0"/>
                    <w:jc w:val="center"/>
                    <w:rPr>
                      <w:rFonts w:ascii="Times New Roman" w:hAnsi="Times New Roman" w:eastAsia="宋体" w:cs="Times New Roman"/>
                      <w:szCs w:val="21"/>
                    </w:rPr>
                  </w:pPr>
                  <w:r>
                    <w:rPr>
                      <w:rFonts w:hint="eastAsia" w:ascii="Times New Roman" w:hAnsi="Times New Roman" w:cs="Times New Roman"/>
                      <w:color w:val="000000"/>
                      <w:szCs w:val="21"/>
                    </w:rPr>
                    <w:t>集中收集至危废间内，定期交由有资质单位处置</w:t>
                  </w:r>
                </w:p>
              </w:tc>
              <w:tc>
                <w:tcPr>
                  <w:tcW w:w="526"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2</w:t>
                  </w:r>
                  <w:r>
                    <w:rPr>
                      <w:rFonts w:hint="eastAsia" w:ascii="Times New Roman" w:hAnsi="Times New Roman" w:cs="Times New Roman"/>
                      <w:color w:val="00000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Merge w:val="continue"/>
                  <w:vAlign w:val="center"/>
                </w:tcPr>
                <w:p>
                  <w:pPr>
                    <w:snapToGrid w:val="0"/>
                    <w:jc w:val="center"/>
                    <w:rPr>
                      <w:rFonts w:ascii="Times New Roman" w:hAnsi="Times New Roman" w:cs="Times New Roman"/>
                      <w:szCs w:val="21"/>
                    </w:rPr>
                  </w:pPr>
                </w:p>
              </w:tc>
              <w:tc>
                <w:tcPr>
                  <w:tcW w:w="494"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废油桶</w:t>
                  </w:r>
                </w:p>
              </w:tc>
              <w:tc>
                <w:tcPr>
                  <w:tcW w:w="332"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危险废物</w:t>
                  </w:r>
                </w:p>
              </w:tc>
              <w:tc>
                <w:tcPr>
                  <w:tcW w:w="699" w:type="pct"/>
                  <w:vAlign w:val="center"/>
                </w:tcPr>
                <w:p>
                  <w:pPr>
                    <w:pStyle w:val="19"/>
                    <w:widowControl w:val="0"/>
                    <w:snapToGrid w:val="0"/>
                    <w:spacing w:beforeAutospacing="0" w:afterAutospacing="0"/>
                    <w:jc w:val="center"/>
                    <w:rPr>
                      <w:rFonts w:hint="default" w:ascii="Times New Roman" w:hAnsi="Times New Roman"/>
                      <w:szCs w:val="21"/>
                    </w:rPr>
                  </w:pPr>
                  <w:r>
                    <w:rPr>
                      <w:rFonts w:ascii="Times New Roman" w:hAnsi="Times New Roman"/>
                      <w:sz w:val="21"/>
                      <w:szCs w:val="21"/>
                    </w:rPr>
                    <w:t>900-249-08</w:t>
                  </w:r>
                </w:p>
              </w:tc>
              <w:tc>
                <w:tcPr>
                  <w:tcW w:w="405" w:type="pct"/>
                  <w:vAlign w:val="center"/>
                </w:tcPr>
                <w:p>
                  <w:pPr>
                    <w:pStyle w:val="19"/>
                    <w:widowControl w:val="0"/>
                    <w:snapToGrid w:val="0"/>
                    <w:spacing w:beforeAutospacing="0" w:afterAutospacing="0"/>
                    <w:jc w:val="center"/>
                    <w:rPr>
                      <w:rFonts w:hint="default" w:ascii="Times New Roman" w:hAnsi="Times New Roman"/>
                      <w:szCs w:val="21"/>
                    </w:rPr>
                  </w:pPr>
                  <w:r>
                    <w:rPr>
                      <w:rFonts w:ascii="Times New Roman" w:hAnsi="Times New Roman"/>
                      <w:sz w:val="21"/>
                      <w:szCs w:val="21"/>
                    </w:rPr>
                    <w:t>废矿物油</w:t>
                  </w:r>
                </w:p>
              </w:tc>
              <w:tc>
                <w:tcPr>
                  <w:tcW w:w="343"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固态</w:t>
                  </w:r>
                </w:p>
              </w:tc>
              <w:tc>
                <w:tcPr>
                  <w:tcW w:w="384"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T，I</w:t>
                  </w:r>
                </w:p>
              </w:tc>
              <w:tc>
                <w:tcPr>
                  <w:tcW w:w="525"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1</w:t>
                  </w:r>
                  <w:r>
                    <w:rPr>
                      <w:rFonts w:hint="eastAsia" w:ascii="Times New Roman" w:hAnsi="Times New Roman" w:cs="Times New Roman"/>
                      <w:color w:val="000000"/>
                      <w:szCs w:val="21"/>
                    </w:rPr>
                    <w:t>t/a</w:t>
                  </w:r>
                </w:p>
              </w:tc>
              <w:tc>
                <w:tcPr>
                  <w:tcW w:w="291" w:type="pct"/>
                  <w:vMerge w:val="continue"/>
                  <w:vAlign w:val="center"/>
                </w:tcPr>
                <w:p>
                  <w:pPr>
                    <w:snapToGrid w:val="0"/>
                    <w:jc w:val="center"/>
                    <w:rPr>
                      <w:rFonts w:ascii="Times New Roman" w:hAnsi="Times New Roman" w:cs="Times New Roman"/>
                      <w:szCs w:val="21"/>
                    </w:rPr>
                  </w:pPr>
                </w:p>
              </w:tc>
              <w:tc>
                <w:tcPr>
                  <w:tcW w:w="661" w:type="pct"/>
                  <w:vMerge w:val="continue"/>
                  <w:vAlign w:val="center"/>
                </w:tcPr>
                <w:p>
                  <w:pPr>
                    <w:snapToGrid w:val="0"/>
                    <w:jc w:val="center"/>
                    <w:rPr>
                      <w:rFonts w:ascii="Times New Roman" w:hAnsi="Times New Roman" w:eastAsia="宋体" w:cs="Times New Roman"/>
                      <w:szCs w:val="21"/>
                    </w:rPr>
                  </w:pPr>
                </w:p>
              </w:tc>
              <w:tc>
                <w:tcPr>
                  <w:tcW w:w="526"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1</w:t>
                  </w:r>
                  <w:r>
                    <w:rPr>
                      <w:rFonts w:hint="eastAsia" w:ascii="Times New Roman" w:hAnsi="Times New Roman" w:cs="Times New Roman"/>
                      <w:color w:val="000000"/>
                      <w:szCs w:val="21"/>
                    </w:rPr>
                    <w:t>t/a</w:t>
                  </w:r>
                </w:p>
              </w:tc>
            </w:tr>
          </w:tbl>
          <w:p>
            <w:pPr>
              <w:adjustRightInd w:val="0"/>
              <w:snapToGrid w:val="0"/>
              <w:spacing w:before="156" w:beforeLines="50" w:line="360" w:lineRule="auto"/>
              <w:ind w:firstLine="482" w:firstLineChars="200"/>
              <w:rPr>
                <w:rFonts w:ascii="Times New Roman" w:hAnsi="Times New Roman"/>
                <w:b/>
                <w:bCs/>
                <w:sz w:val="24"/>
              </w:rPr>
            </w:pPr>
            <w:r>
              <w:rPr>
                <w:rFonts w:ascii="Times New Roman" w:hAnsi="宋体"/>
                <w:b/>
                <w:bCs/>
                <w:sz w:val="24"/>
              </w:rPr>
              <w:t>（</w:t>
            </w:r>
            <w:r>
              <w:rPr>
                <w:rFonts w:ascii="Times New Roman" w:hAnsi="Times New Roman"/>
                <w:b/>
                <w:bCs/>
                <w:sz w:val="24"/>
              </w:rPr>
              <w:t>1</w:t>
            </w:r>
            <w:r>
              <w:rPr>
                <w:rFonts w:ascii="Times New Roman" w:hAnsi="宋体"/>
                <w:b/>
                <w:bCs/>
                <w:sz w:val="24"/>
              </w:rPr>
              <w:t>）危险废物贮存场所（设施）</w:t>
            </w:r>
          </w:p>
          <w:p>
            <w:pPr>
              <w:snapToGrid w:val="0"/>
              <w:spacing w:line="360" w:lineRule="auto"/>
              <w:ind w:firstLine="480" w:firstLineChars="200"/>
              <w:rPr>
                <w:rFonts w:ascii="Times New Roman" w:hAnsi="Times New Roman"/>
                <w:sz w:val="24"/>
              </w:rPr>
            </w:pPr>
            <w:r>
              <w:rPr>
                <w:rFonts w:hint="eastAsia" w:ascii="Times New Roman" w:hAnsi="宋体"/>
                <w:color w:val="auto"/>
                <w:sz w:val="24"/>
                <w:lang w:eastAsia="zh-CN"/>
              </w:rPr>
              <w:t>依托厂区内现有危险废物贮存间</w:t>
            </w:r>
            <w:r>
              <w:rPr>
                <w:rFonts w:ascii="Times New Roman" w:hAnsi="宋体"/>
                <w:color w:val="auto"/>
                <w:sz w:val="24"/>
              </w:rPr>
              <w:t>，</w:t>
            </w:r>
            <w:r>
              <w:rPr>
                <w:rFonts w:hint="eastAsia" w:ascii="Times New Roman" w:hAnsi="宋体"/>
                <w:color w:val="auto"/>
                <w:sz w:val="24"/>
                <w:lang w:val="en-US" w:eastAsia="zh-CN"/>
              </w:rPr>
              <w:t>建筑面积为</w:t>
            </w:r>
            <w:r>
              <w:rPr>
                <w:rFonts w:hint="eastAsia" w:ascii="Times New Roman" w:hAnsi="宋体"/>
                <w:color w:val="000000" w:themeColor="text1"/>
                <w:sz w:val="24"/>
                <w:lang w:val="en-US" w:eastAsia="zh-CN"/>
                <w14:textFill>
                  <w14:solidFill>
                    <w14:schemeClr w14:val="tx1"/>
                  </w14:solidFill>
                </w14:textFill>
              </w:rPr>
              <w:t>16m</w:t>
            </w:r>
            <w:r>
              <w:rPr>
                <w:rFonts w:hint="eastAsia" w:ascii="Times New Roman" w:hAnsi="宋体"/>
                <w:color w:val="000000" w:themeColor="text1"/>
                <w:sz w:val="24"/>
                <w:vertAlign w:val="superscript"/>
                <w:lang w:val="en-US" w:eastAsia="zh-CN"/>
                <w14:textFill>
                  <w14:solidFill>
                    <w14:schemeClr w14:val="tx1"/>
                  </w14:solidFill>
                </w14:textFill>
              </w:rPr>
              <w:t>2</w:t>
            </w:r>
            <w:r>
              <w:rPr>
                <w:rFonts w:hint="eastAsia" w:ascii="Times New Roman" w:hAnsi="宋体"/>
                <w:color w:val="auto"/>
                <w:sz w:val="24"/>
                <w:lang w:val="en-US" w:eastAsia="zh-CN"/>
              </w:rPr>
              <w:t>，</w:t>
            </w:r>
            <w:r>
              <w:rPr>
                <w:rFonts w:hint="default" w:ascii="Times New Roman" w:hAnsi="Times New Roman" w:eastAsia="宋体" w:cs="Times New Roman"/>
                <w:b w:val="0"/>
                <w:bCs/>
                <w:color w:val="auto"/>
                <w:sz w:val="24"/>
                <w:szCs w:val="24"/>
              </w:rPr>
              <w:t>建设单位按照《危险废物贮存污染控制标准》（GB18597-20</w:t>
            </w:r>
            <w:r>
              <w:rPr>
                <w:rFonts w:hint="default" w:ascii="Times New Roman" w:hAnsi="Times New Roman" w:eastAsia="宋体" w:cs="Times New Roman"/>
                <w:b w:val="0"/>
                <w:bCs/>
                <w:color w:val="auto"/>
                <w:sz w:val="24"/>
                <w:szCs w:val="24"/>
                <w:lang w:val="en-US" w:eastAsia="zh-CN"/>
              </w:rPr>
              <w:t>23</w:t>
            </w:r>
            <w:r>
              <w:rPr>
                <w:rFonts w:hint="default" w:ascii="Times New Roman" w:hAnsi="Times New Roman" w:eastAsia="宋体" w:cs="Times New Roman"/>
                <w:b w:val="0"/>
                <w:bCs/>
                <w:color w:val="auto"/>
                <w:sz w:val="24"/>
                <w:szCs w:val="24"/>
              </w:rPr>
              <w:t>）和《危险废物收集、贮存、运输技术规范》（HJ2025-2012）中相关技术要求设置</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具体如下</w:t>
            </w:r>
            <w:r>
              <w:rPr>
                <w:rFonts w:ascii="Times New Roman" w:hAnsi="宋体"/>
                <w:sz w:val="24"/>
              </w:rPr>
              <w:t>：</w:t>
            </w:r>
          </w:p>
          <w:p>
            <w:pPr>
              <w:pStyle w:val="19"/>
              <w:keepNext w:val="0"/>
              <w:keepLines w:val="0"/>
              <w:pageBreakBefore w:val="0"/>
              <w:widowControl w:val="0"/>
              <w:suppressLineNumbers w:val="0"/>
              <w:kinsoku/>
              <w:wordWrap/>
              <w:overflowPunct/>
              <w:topLinePunct w:val="0"/>
              <w:bidi w:val="0"/>
              <w:snapToGrid/>
              <w:spacing w:beforeAutospacing="0" w:after="0" w:afterAutospacing="0" w:line="360" w:lineRule="auto"/>
              <w:ind w:left="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①危险废物贮存设施的选址、设计、建设、运行管理满足GB18597、GBZ1和GBZ2的有关要求。</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②</w:t>
            </w:r>
            <w:r>
              <w:rPr>
                <w:rFonts w:hint="default" w:ascii="Times New Roman" w:hAnsi="Times New Roman" w:eastAsia="宋体" w:cs="Times New Roman"/>
                <w:color w:val="auto"/>
                <w:sz w:val="24"/>
                <w:szCs w:val="24"/>
              </w:rPr>
              <w:t>贮存危险废物按危险废物的种类和特性进行分区贮存，</w:t>
            </w:r>
            <w:r>
              <w:rPr>
                <w:rFonts w:hint="default" w:ascii="Times New Roman" w:hAnsi="Times New Roman" w:eastAsia="宋体" w:cs="Times New Roman"/>
                <w:color w:val="auto"/>
                <w:kern w:val="0"/>
                <w:sz w:val="24"/>
                <w:szCs w:val="24"/>
              </w:rPr>
              <w:t>每个贮存区域之间设置挡墙间隔，</w:t>
            </w:r>
            <w:r>
              <w:rPr>
                <w:rFonts w:hint="default" w:ascii="Times New Roman" w:hAnsi="Times New Roman" w:eastAsia="宋体" w:cs="Times New Roman"/>
                <w:color w:val="auto"/>
                <w:kern w:val="0"/>
                <w:sz w:val="24"/>
                <w:szCs w:val="24"/>
                <w:lang w:eastAsia="zh-CN"/>
              </w:rPr>
              <w:t>危险废物贮存间</w:t>
            </w:r>
            <w:r>
              <w:rPr>
                <w:rFonts w:hint="default" w:ascii="Times New Roman" w:hAnsi="Times New Roman" w:eastAsia="宋体" w:cs="Times New Roman"/>
                <w:color w:val="auto"/>
                <w:kern w:val="0"/>
                <w:sz w:val="24"/>
                <w:szCs w:val="24"/>
              </w:rPr>
              <w:t>防风、防雨、防晒、防渗（</w:t>
            </w:r>
            <w:r>
              <w:rPr>
                <w:rFonts w:hint="default" w:ascii="Times New Roman" w:hAnsi="Times New Roman" w:eastAsia="宋体" w:cs="Times New Roman"/>
                <w:color w:val="auto"/>
                <w:sz w:val="24"/>
                <w:szCs w:val="24"/>
              </w:rPr>
              <w:t>渗透系数≤10</w:t>
            </w:r>
            <w:r>
              <w:rPr>
                <w:rFonts w:hint="default" w:ascii="Times New Roman" w:hAnsi="Times New Roman" w:eastAsia="宋体" w:cs="Times New Roman"/>
                <w:color w:val="auto"/>
                <w:sz w:val="24"/>
                <w:szCs w:val="24"/>
                <w:vertAlign w:val="superscript"/>
              </w:rPr>
              <w:t>-10</w:t>
            </w:r>
            <w:r>
              <w:rPr>
                <w:rFonts w:hint="default" w:ascii="Times New Roman" w:hAnsi="Times New Roman" w:eastAsia="宋体" w:cs="Times New Roman"/>
                <w:color w:val="auto"/>
                <w:sz w:val="24"/>
                <w:szCs w:val="24"/>
              </w:rPr>
              <w:t>cm/s</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eastAsia="zh-CN"/>
              </w:rPr>
              <w:t>，特别是地面及裙角作防渗防腐处理，按要求设围堰、导流槽、收集池等</w:t>
            </w:r>
            <w:r>
              <w:rPr>
                <w:rFonts w:hint="default" w:ascii="Times New Roman" w:hAnsi="Times New Roman" w:eastAsia="宋体" w:cs="Times New Roman"/>
                <w:color w:val="auto"/>
                <w:kern w:val="0"/>
                <w:sz w:val="24"/>
                <w:szCs w:val="24"/>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③危险废物贮存设施配备通讯设备、照明设施和消防设施。</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④危险废物贮存期限按《中华人民共和国固体废物污染环境防治法》的有关规定，及时交由资质单位集中处置。</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⑤</w:t>
            </w:r>
            <w:r>
              <w:rPr>
                <w:rFonts w:hint="default" w:ascii="Times New Roman" w:hAnsi="Times New Roman" w:eastAsia="宋体" w:cs="Times New Roman"/>
                <w:color w:val="auto"/>
                <w:sz w:val="24"/>
                <w:szCs w:val="24"/>
              </w:rPr>
              <w:t>危险废物贮存单位建立危险废物贮存的台帐制度，</w:t>
            </w:r>
            <w:r>
              <w:rPr>
                <w:rFonts w:hint="default" w:ascii="Times New Roman" w:hAnsi="Times New Roman" w:eastAsia="宋体" w:cs="Times New Roman"/>
                <w:color w:val="auto"/>
                <w:kern w:val="0"/>
                <w:sz w:val="24"/>
                <w:szCs w:val="24"/>
              </w:rPr>
              <w:t>做好危险废物出入库交接记录。</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⑥存放装载液体、半固体危险废物容器位置，有耐腐蚀的硬化地面，且表面无裂隙。</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⑦</w:t>
            </w:r>
            <w:r>
              <w:rPr>
                <w:rFonts w:hint="default" w:ascii="Times New Roman" w:hAnsi="Times New Roman" w:eastAsia="宋体" w:cs="Times New Roman"/>
                <w:color w:val="auto"/>
                <w:sz w:val="24"/>
                <w:szCs w:val="24"/>
              </w:rPr>
              <w:t>危险废物贮存分为产生单位内部贮存、中转贮存及集中性贮存。</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szCs w:val="24"/>
              </w:rPr>
              <w:t>⑧</w:t>
            </w:r>
            <w:r>
              <w:rPr>
                <w:rFonts w:hint="default" w:ascii="Times New Roman" w:hAnsi="Times New Roman" w:eastAsia="宋体" w:cs="Times New Roman"/>
                <w:color w:val="auto"/>
                <w:sz w:val="24"/>
                <w:szCs w:val="24"/>
              </w:rPr>
              <w:t>按照相关危险废物管理指标等文件建设危险废物台账</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ascii="Times New Roman" w:hAnsi="宋体"/>
                <w:sz w:val="24"/>
              </w:rPr>
            </w:pPr>
            <w:r>
              <w:rPr>
                <w:rFonts w:hint="default" w:ascii="Times New Roman" w:hAnsi="Times New Roman" w:eastAsia="宋体" w:cs="Times New Roman"/>
                <w:color w:val="auto"/>
                <w:kern w:val="0"/>
                <w:sz w:val="24"/>
                <w:szCs w:val="24"/>
                <w:lang w:eastAsia="zh-CN"/>
              </w:rPr>
              <w:t>⑨</w:t>
            </w:r>
            <w:r>
              <w:rPr>
                <w:rFonts w:hint="default" w:ascii="Times New Roman" w:hAnsi="Times New Roman" w:eastAsia="宋体" w:cs="Times New Roman"/>
                <w:color w:val="auto"/>
                <w:sz w:val="24"/>
                <w:szCs w:val="24"/>
              </w:rPr>
              <w:t>危险废物暂存场所设置符合《危险废物识别标志设置技术规范》（HJ1276-2022）的专用标志。门口标识牌、分区标识牌和每个油桶上的标识牌按照《危险废物识别标志设置技术规范》（HJ1276-2022）的专用标志进行设置</w:t>
            </w:r>
            <w:r>
              <w:rPr>
                <w:rFonts w:ascii="Times New Roman" w:hAnsi="宋体"/>
                <w:sz w:val="24"/>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lang w:val="en-US" w:eastAsia="zh-CN"/>
              </w:rPr>
            </w:pPr>
            <w:r>
              <w:rPr>
                <w:rFonts w:hint="default" w:ascii="Times New Roman" w:hAnsi="Times New Roman" w:cs="Times New Roman"/>
                <w:b/>
                <w:bCs/>
                <w:color w:val="000000"/>
                <w:lang w:val="en-US" w:eastAsia="zh-CN"/>
              </w:rPr>
              <w:t>表</w:t>
            </w:r>
            <w:r>
              <w:rPr>
                <w:rFonts w:hint="eastAsia" w:ascii="Times New Roman" w:hAnsi="Times New Roman" w:cs="Times New Roman"/>
                <w:b/>
                <w:bCs/>
                <w:color w:val="000000"/>
                <w:lang w:val="en-US" w:eastAsia="zh-CN"/>
              </w:rPr>
              <w:t xml:space="preserve">4-5 </w:t>
            </w:r>
            <w:r>
              <w:rPr>
                <w:rFonts w:hint="default" w:ascii="Times New Roman" w:hAnsi="Times New Roman" w:cs="Times New Roman"/>
                <w:b/>
                <w:bCs/>
                <w:color w:val="000000"/>
                <w:lang w:val="en-US" w:eastAsia="zh-CN"/>
              </w:rPr>
              <w:t xml:space="preserve"> 危险废物贮存场所拟建情况</w:t>
            </w:r>
          </w:p>
          <w:tbl>
            <w:tblPr>
              <w:tblStyle w:val="25"/>
              <w:tblW w:w="49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648"/>
              <w:gridCol w:w="1080"/>
              <w:gridCol w:w="795"/>
              <w:gridCol w:w="1246"/>
              <w:gridCol w:w="585"/>
              <w:gridCol w:w="690"/>
              <w:gridCol w:w="1513"/>
              <w:gridCol w:w="722"/>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序号</w:t>
                  </w:r>
                </w:p>
              </w:tc>
              <w:tc>
                <w:tcPr>
                  <w:tcW w:w="383"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贮存场所名称</w:t>
                  </w:r>
                </w:p>
              </w:tc>
              <w:tc>
                <w:tcPr>
                  <w:tcW w:w="639"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危险废物名称</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危险废物类别</w:t>
                  </w:r>
                </w:p>
              </w:tc>
              <w:tc>
                <w:tcPr>
                  <w:tcW w:w="737"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危险废物代码</w:t>
                  </w:r>
                </w:p>
              </w:tc>
              <w:tc>
                <w:tcPr>
                  <w:tcW w:w="346"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位置</w:t>
                  </w:r>
                </w:p>
              </w:tc>
              <w:tc>
                <w:tcPr>
                  <w:tcW w:w="408"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占地面积</w:t>
                  </w:r>
                </w:p>
              </w:tc>
              <w:tc>
                <w:tcPr>
                  <w:tcW w:w="895"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贮存</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方式</w:t>
                  </w:r>
                </w:p>
              </w:tc>
              <w:tc>
                <w:tcPr>
                  <w:tcW w:w="427"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贮存能力</w:t>
                  </w:r>
                </w:p>
              </w:tc>
              <w:tc>
                <w:tcPr>
                  <w:tcW w:w="410"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p>
              </w:tc>
              <w:tc>
                <w:tcPr>
                  <w:tcW w:w="383"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危险废物贮存间</w:t>
                  </w:r>
                </w:p>
              </w:tc>
              <w:tc>
                <w:tcPr>
                  <w:tcW w:w="639"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b w:val="0"/>
                      <w:bCs w:val="0"/>
                      <w:color w:val="auto"/>
                      <w:sz w:val="21"/>
                      <w:szCs w:val="21"/>
                      <w:lang w:eastAsia="zh-CN"/>
                    </w:rPr>
                    <w:t>废润滑油</w:t>
                  </w:r>
                </w:p>
              </w:tc>
              <w:tc>
                <w:tcPr>
                  <w:tcW w:w="47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pacing w:val="-10"/>
                      <w:kern w:val="2"/>
                      <w:sz w:val="21"/>
                      <w:szCs w:val="21"/>
                      <w:lang w:val="en-US" w:eastAsia="zh-CN" w:bidi="ar-SA"/>
                    </w:rPr>
                  </w:pPr>
                  <w:r>
                    <w:rPr>
                      <w:rFonts w:hint="default" w:ascii="Times New Roman" w:hAnsi="Times New Roman" w:cs="Times New Roman"/>
                      <w:b w:val="0"/>
                      <w:bCs w:val="0"/>
                      <w:color w:val="auto"/>
                      <w:sz w:val="21"/>
                      <w:szCs w:val="21"/>
                    </w:rPr>
                    <w:t>HW08</w:t>
                  </w:r>
                </w:p>
              </w:tc>
              <w:tc>
                <w:tcPr>
                  <w:tcW w:w="73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pacing w:val="-10"/>
                      <w:kern w:val="2"/>
                      <w:sz w:val="21"/>
                      <w:szCs w:val="21"/>
                      <w:lang w:val="en-US" w:eastAsia="zh-CN" w:bidi="ar-SA"/>
                    </w:rPr>
                  </w:pPr>
                  <w:r>
                    <w:rPr>
                      <w:rFonts w:hint="default" w:ascii="Times New Roman" w:hAnsi="Times New Roman" w:cs="Times New Roman"/>
                      <w:b w:val="0"/>
                      <w:bCs w:val="0"/>
                      <w:color w:val="auto"/>
                      <w:sz w:val="21"/>
                      <w:szCs w:val="21"/>
                    </w:rPr>
                    <w:t>900-21</w:t>
                  </w:r>
                  <w:r>
                    <w:rPr>
                      <w:rFonts w:hint="default" w:ascii="Times New Roman" w:hAnsi="Times New Roman" w:cs="Times New Roman"/>
                      <w:b w:val="0"/>
                      <w:bCs w:val="0"/>
                      <w:color w:val="auto"/>
                      <w:sz w:val="21"/>
                      <w:szCs w:val="21"/>
                      <w:lang w:val="en-US" w:eastAsia="zh-CN"/>
                    </w:rPr>
                    <w:t>7</w:t>
                  </w:r>
                  <w:r>
                    <w:rPr>
                      <w:rFonts w:hint="default" w:ascii="Times New Roman" w:hAnsi="Times New Roman" w:cs="Times New Roman"/>
                      <w:b w:val="0"/>
                      <w:bCs w:val="0"/>
                      <w:color w:val="auto"/>
                      <w:sz w:val="21"/>
                      <w:szCs w:val="21"/>
                    </w:rPr>
                    <w:t>-08</w:t>
                  </w:r>
                </w:p>
              </w:tc>
              <w:tc>
                <w:tcPr>
                  <w:tcW w:w="346"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院内</w:t>
                  </w:r>
                </w:p>
              </w:tc>
              <w:tc>
                <w:tcPr>
                  <w:tcW w:w="408"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p>
              </w:tc>
              <w:tc>
                <w:tcPr>
                  <w:tcW w:w="895"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危险废物集中收集后，分区暂存于危险废物贮存间内</w:t>
                  </w:r>
                </w:p>
              </w:tc>
              <w:tc>
                <w:tcPr>
                  <w:tcW w:w="42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cs="Times New Roman"/>
                      <w:b w:val="0"/>
                      <w:bCs w:val="0"/>
                      <w:color w:val="auto"/>
                      <w:sz w:val="21"/>
                      <w:szCs w:val="21"/>
                      <w:lang w:val="en-US" w:eastAsia="zh-CN"/>
                    </w:rPr>
                    <w:t>0.5</w:t>
                  </w:r>
                </w:p>
              </w:tc>
              <w:tc>
                <w:tcPr>
                  <w:tcW w:w="410"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w:t>
                  </w:r>
                </w:p>
              </w:tc>
              <w:tc>
                <w:tcPr>
                  <w:tcW w:w="383"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p>
              </w:tc>
              <w:tc>
                <w:tcPr>
                  <w:tcW w:w="639"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b w:val="0"/>
                      <w:bCs w:val="0"/>
                      <w:color w:val="auto"/>
                      <w:sz w:val="21"/>
                      <w:szCs w:val="21"/>
                    </w:rPr>
                    <w:t>废油桶</w:t>
                  </w:r>
                </w:p>
              </w:tc>
              <w:tc>
                <w:tcPr>
                  <w:tcW w:w="47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0"/>
                      <w:kern w:val="2"/>
                      <w:sz w:val="21"/>
                      <w:szCs w:val="21"/>
                      <w:lang w:val="en-US" w:eastAsia="zh-CN" w:bidi="ar-SA"/>
                    </w:rPr>
                  </w:pPr>
                  <w:r>
                    <w:rPr>
                      <w:rFonts w:hint="default" w:ascii="Times New Roman" w:hAnsi="Times New Roman" w:cs="Times New Roman"/>
                      <w:b w:val="0"/>
                      <w:bCs w:val="0"/>
                      <w:color w:val="auto"/>
                      <w:sz w:val="21"/>
                      <w:szCs w:val="21"/>
                    </w:rPr>
                    <w:t>HW</w:t>
                  </w:r>
                  <w:r>
                    <w:rPr>
                      <w:rFonts w:hint="default" w:ascii="Times New Roman" w:hAnsi="Times New Roman" w:cs="Times New Roman"/>
                      <w:b w:val="0"/>
                      <w:bCs w:val="0"/>
                      <w:color w:val="auto"/>
                      <w:sz w:val="21"/>
                      <w:szCs w:val="21"/>
                      <w:lang w:val="en-US" w:eastAsia="zh-CN"/>
                    </w:rPr>
                    <w:t>08</w:t>
                  </w:r>
                </w:p>
              </w:tc>
              <w:tc>
                <w:tcPr>
                  <w:tcW w:w="73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0"/>
                      <w:kern w:val="2"/>
                      <w:sz w:val="21"/>
                      <w:szCs w:val="21"/>
                      <w:lang w:val="en-US" w:eastAsia="zh-CN" w:bidi="ar-SA"/>
                    </w:rPr>
                  </w:pPr>
                  <w:r>
                    <w:rPr>
                      <w:rFonts w:hint="default" w:ascii="Times New Roman" w:hAnsi="Times New Roman" w:cs="Times New Roman"/>
                      <w:b w:val="0"/>
                      <w:bCs w:val="0"/>
                      <w:color w:val="auto"/>
                      <w:sz w:val="21"/>
                      <w:szCs w:val="21"/>
                    </w:rPr>
                    <w:t>900-</w:t>
                  </w:r>
                  <w:r>
                    <w:rPr>
                      <w:rFonts w:hint="default" w:ascii="Times New Roman" w:hAnsi="Times New Roman" w:cs="Times New Roman"/>
                      <w:b w:val="0"/>
                      <w:bCs w:val="0"/>
                      <w:color w:val="auto"/>
                      <w:sz w:val="21"/>
                      <w:szCs w:val="21"/>
                      <w:lang w:val="en-US" w:eastAsia="zh-CN"/>
                    </w:rPr>
                    <w:t>249</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val="en-US" w:eastAsia="zh-CN"/>
                    </w:rPr>
                    <w:t>08</w:t>
                  </w:r>
                </w:p>
              </w:tc>
              <w:tc>
                <w:tcPr>
                  <w:tcW w:w="346"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p>
              </w:tc>
              <w:tc>
                <w:tcPr>
                  <w:tcW w:w="408"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p>
              </w:tc>
              <w:tc>
                <w:tcPr>
                  <w:tcW w:w="895"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p>
              </w:tc>
              <w:tc>
                <w:tcPr>
                  <w:tcW w:w="42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cs="Times New Roman"/>
                      <w:b w:val="0"/>
                      <w:bCs w:val="0"/>
                      <w:color w:val="auto"/>
                      <w:sz w:val="21"/>
                      <w:szCs w:val="21"/>
                      <w:lang w:val="en-US" w:eastAsia="zh-CN"/>
                    </w:rPr>
                    <w:t>0.5</w:t>
                  </w:r>
                </w:p>
              </w:tc>
              <w:tc>
                <w:tcPr>
                  <w:tcW w:w="410"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firstLineChars="200"/>
              <w:textAlignment w:val="auto"/>
              <w:rPr>
                <w:rFonts w:ascii="Times New Roman" w:hAnsi="Times New Roman"/>
                <w:b/>
                <w:bCs/>
                <w:sz w:val="24"/>
              </w:rPr>
            </w:pPr>
            <w:r>
              <w:rPr>
                <w:rFonts w:ascii="Times New Roman" w:hAnsi="宋体"/>
                <w:b/>
                <w:bCs/>
                <w:sz w:val="24"/>
              </w:rPr>
              <w:t>（</w:t>
            </w:r>
            <w:r>
              <w:rPr>
                <w:rFonts w:ascii="Times New Roman" w:hAnsi="Times New Roman"/>
                <w:b/>
                <w:bCs/>
                <w:sz w:val="24"/>
              </w:rPr>
              <w:t>2</w:t>
            </w:r>
            <w:r>
              <w:rPr>
                <w:rFonts w:ascii="Times New Roman" w:hAnsi="宋体"/>
                <w:b/>
                <w:bCs/>
                <w:sz w:val="24"/>
              </w:rPr>
              <w:t>）运输过程的环境影响分析</w:t>
            </w:r>
          </w:p>
          <w:p>
            <w:pPr>
              <w:snapToGrid w:val="0"/>
              <w:spacing w:line="360" w:lineRule="auto"/>
              <w:ind w:firstLine="480" w:firstLineChars="200"/>
              <w:rPr>
                <w:rFonts w:ascii="Times New Roman" w:hAnsi="Times New Roman"/>
                <w:sz w:val="24"/>
              </w:rPr>
            </w:pPr>
            <w:r>
              <w:rPr>
                <w:rFonts w:ascii="Times New Roman" w:hAnsi="宋体"/>
                <w:sz w:val="24"/>
              </w:rPr>
              <w:t>项目危险废物运输由建设单位委托有资质的危险废物处置单位进行运输，建设单位配合运输单位员工进行危险废物中转作业，中转装卸及运输过程遵守如下技术要求：</w:t>
            </w:r>
          </w:p>
          <w:p>
            <w:pPr>
              <w:snapToGrid w:val="0"/>
              <w:spacing w:line="360" w:lineRule="auto"/>
              <w:ind w:firstLine="480" w:firstLineChars="200"/>
              <w:rPr>
                <w:rFonts w:ascii="Times New Roman" w:hAnsi="Times New Roman"/>
                <w:sz w:val="24"/>
              </w:rPr>
            </w:pPr>
            <w:r>
              <w:rPr>
                <w:rFonts w:ascii="Times New Roman" w:hAnsi="宋体"/>
                <w:sz w:val="24"/>
              </w:rPr>
              <w:t>①装卸危险废物的工作人员熟悉危险废物的属性，并配备适当的个人防护装备，装卸剧毒废物配备特殊的防护装备。</w:t>
            </w:r>
          </w:p>
          <w:p>
            <w:pPr>
              <w:snapToGrid w:val="0"/>
              <w:spacing w:line="360" w:lineRule="auto"/>
              <w:ind w:firstLine="480" w:firstLineChars="200"/>
              <w:rPr>
                <w:rFonts w:ascii="Times New Roman" w:hAnsi="Times New Roman"/>
                <w:sz w:val="24"/>
              </w:rPr>
            </w:pPr>
            <w:r>
              <w:rPr>
                <w:rFonts w:ascii="Times New Roman" w:hAnsi="宋体"/>
                <w:sz w:val="24"/>
              </w:rPr>
              <w:t>②装卸区配备必要的消防设备和设施，并设置明显的指示标志。</w:t>
            </w:r>
          </w:p>
          <w:p>
            <w:pPr>
              <w:snapToGrid w:val="0"/>
              <w:spacing w:line="360" w:lineRule="auto"/>
              <w:ind w:firstLine="480" w:firstLineChars="200"/>
              <w:rPr>
                <w:rFonts w:ascii="Times New Roman" w:hAnsi="Times New Roman"/>
                <w:sz w:val="24"/>
              </w:rPr>
            </w:pPr>
            <w:r>
              <w:rPr>
                <w:rFonts w:ascii="Times New Roman" w:hAnsi="宋体"/>
                <w:sz w:val="24"/>
              </w:rPr>
              <w:t>③危险废物装卸区设置必要的隔离设施，液态废物卸载区设置收集槽和缓冲罐等必要的应急设施。</w:t>
            </w:r>
          </w:p>
          <w:p>
            <w:pPr>
              <w:snapToGrid w:val="0"/>
              <w:spacing w:line="360" w:lineRule="auto"/>
              <w:ind w:firstLine="482" w:firstLineChars="200"/>
              <w:rPr>
                <w:rFonts w:ascii="Times New Roman" w:hAnsi="Times New Roman"/>
                <w:b/>
                <w:bCs/>
                <w:sz w:val="24"/>
              </w:rPr>
            </w:pPr>
            <w:r>
              <w:rPr>
                <w:rFonts w:ascii="Times New Roman" w:hAnsi="宋体"/>
                <w:b/>
                <w:bCs/>
                <w:sz w:val="24"/>
              </w:rPr>
              <w:t>（</w:t>
            </w:r>
            <w:r>
              <w:rPr>
                <w:rFonts w:ascii="Times New Roman" w:hAnsi="Times New Roman"/>
                <w:b/>
                <w:bCs/>
                <w:sz w:val="24"/>
              </w:rPr>
              <w:t>3</w:t>
            </w:r>
            <w:r>
              <w:rPr>
                <w:rFonts w:ascii="Times New Roman" w:hAnsi="宋体"/>
                <w:b/>
                <w:bCs/>
                <w:sz w:val="24"/>
              </w:rPr>
              <w:t>）</w:t>
            </w:r>
            <w:r>
              <w:rPr>
                <w:rFonts w:hint="eastAsia"/>
                <w:b/>
                <w:bCs/>
                <w:color w:val="auto"/>
                <w:sz w:val="24"/>
                <w:szCs w:val="32"/>
              </w:rPr>
              <w:t>委托利用或者处置的环境影响分析</w:t>
            </w:r>
          </w:p>
          <w:p>
            <w:pPr>
              <w:snapToGrid w:val="0"/>
              <w:spacing w:line="360" w:lineRule="auto"/>
              <w:ind w:firstLine="480" w:firstLineChars="200"/>
              <w:rPr>
                <w:rFonts w:hint="eastAsia" w:ascii="Times New Roman" w:hAnsi="Times New Roman"/>
                <w:color w:val="auto"/>
                <w:sz w:val="24"/>
                <w:szCs w:val="32"/>
              </w:rPr>
            </w:pPr>
            <w:r>
              <w:rPr>
                <w:rFonts w:ascii="Times New Roman" w:hAnsi="Times New Roman"/>
                <w:color w:val="auto"/>
                <w:sz w:val="24"/>
                <w:szCs w:val="32"/>
              </w:rPr>
              <w:t>本项目产生的危险废物</w:t>
            </w:r>
            <w:r>
              <w:rPr>
                <w:rFonts w:hint="eastAsia" w:ascii="Times New Roman" w:hAnsi="Times New Roman"/>
                <w:color w:val="auto"/>
                <w:sz w:val="24"/>
                <w:szCs w:val="32"/>
                <w:lang w:val="en-US" w:eastAsia="zh-CN"/>
              </w:rPr>
              <w:t>为</w:t>
            </w:r>
            <w:r>
              <w:rPr>
                <w:rFonts w:ascii="Times New Roman" w:hAnsi="Times New Roman"/>
                <w:color w:val="auto"/>
                <w:sz w:val="24"/>
                <w:szCs w:val="32"/>
              </w:rPr>
              <w:t>废</w:t>
            </w:r>
            <w:r>
              <w:rPr>
                <w:rFonts w:hint="eastAsia" w:ascii="Times New Roman" w:hAnsi="Times New Roman"/>
                <w:color w:val="auto"/>
                <w:sz w:val="24"/>
                <w:szCs w:val="32"/>
              </w:rPr>
              <w:t>润滑油</w:t>
            </w:r>
            <w:r>
              <w:rPr>
                <w:rFonts w:ascii="Times New Roman" w:hAnsi="Times New Roman"/>
                <w:color w:val="auto"/>
                <w:sz w:val="24"/>
                <w:szCs w:val="32"/>
              </w:rPr>
              <w:t>、废油桶</w:t>
            </w:r>
            <w:r>
              <w:rPr>
                <w:rFonts w:hint="eastAsia" w:ascii="Times New Roman" w:hAnsi="Times New Roman"/>
                <w:color w:val="auto"/>
                <w:sz w:val="24"/>
                <w:szCs w:val="32"/>
                <w:lang w:eastAsia="zh-CN"/>
              </w:rPr>
              <w:t>，</w:t>
            </w:r>
            <w:r>
              <w:rPr>
                <w:rFonts w:ascii="Times New Roman" w:hAnsi="Times New Roman"/>
                <w:color w:val="auto"/>
                <w:sz w:val="24"/>
                <w:szCs w:val="32"/>
              </w:rPr>
              <w:t>暂存于危险废物贮存间内，定期交由</w:t>
            </w:r>
            <w:r>
              <w:rPr>
                <w:rFonts w:hint="eastAsia" w:ascii="Times New Roman" w:hAnsi="Times New Roman"/>
                <w:color w:val="auto"/>
                <w:sz w:val="24"/>
                <w:szCs w:val="32"/>
              </w:rPr>
              <w:t>有资质</w:t>
            </w:r>
            <w:r>
              <w:rPr>
                <w:rFonts w:ascii="Times New Roman" w:hAnsi="Times New Roman"/>
                <w:color w:val="auto"/>
                <w:sz w:val="24"/>
                <w:szCs w:val="32"/>
              </w:rPr>
              <w:t>的单位处理。</w:t>
            </w:r>
            <w:r>
              <w:rPr>
                <w:rFonts w:hint="eastAsia" w:ascii="Times New Roman" w:hAnsi="Times New Roman"/>
                <w:color w:val="auto"/>
                <w:sz w:val="24"/>
                <w:szCs w:val="32"/>
                <w:lang w:eastAsia="zh-CN"/>
              </w:rPr>
              <w:t>承德富龙现代农业发展有限公司于</w:t>
            </w:r>
            <w:r>
              <w:rPr>
                <w:rFonts w:hint="eastAsia" w:ascii="Times New Roman" w:hAnsi="Times New Roman"/>
                <w:color w:val="auto"/>
                <w:sz w:val="24"/>
                <w:szCs w:val="32"/>
                <w:lang w:val="en-US" w:eastAsia="zh-CN"/>
              </w:rPr>
              <w:t>2022年9月19 日与承德双然环保科技有限公司签订危险废物收集转运技术服务合同（见附件），合同中对危险废物收集转运的种类包括</w:t>
            </w:r>
            <w:r>
              <w:rPr>
                <w:rFonts w:ascii="Times New Roman" w:hAnsi="Times New Roman"/>
                <w:color w:val="auto"/>
                <w:sz w:val="24"/>
                <w:szCs w:val="32"/>
              </w:rPr>
              <w:t>废</w:t>
            </w:r>
            <w:r>
              <w:rPr>
                <w:rFonts w:hint="eastAsia" w:ascii="Times New Roman" w:hAnsi="Times New Roman"/>
                <w:color w:val="auto"/>
                <w:sz w:val="24"/>
                <w:szCs w:val="32"/>
              </w:rPr>
              <w:t>润滑油</w:t>
            </w:r>
            <w:r>
              <w:rPr>
                <w:rFonts w:ascii="Times New Roman" w:hAnsi="Times New Roman"/>
                <w:color w:val="auto"/>
                <w:sz w:val="24"/>
                <w:szCs w:val="32"/>
              </w:rPr>
              <w:t>、废油桶</w:t>
            </w:r>
            <w:r>
              <w:rPr>
                <w:rFonts w:hint="eastAsia" w:ascii="Times New Roman" w:hAnsi="Times New Roman"/>
                <w:color w:val="auto"/>
                <w:sz w:val="24"/>
                <w:szCs w:val="32"/>
              </w:rPr>
              <w:t>。</w:t>
            </w:r>
          </w:p>
          <w:p>
            <w:pPr>
              <w:snapToGrid w:val="0"/>
              <w:spacing w:line="360" w:lineRule="auto"/>
              <w:ind w:firstLine="480" w:firstLineChars="200"/>
              <w:rPr>
                <w:rFonts w:hint="eastAsia"/>
                <w:color w:val="auto"/>
                <w:sz w:val="24"/>
                <w:szCs w:val="32"/>
                <w:lang w:eastAsia="zh-CN"/>
              </w:rPr>
            </w:pPr>
            <w:r>
              <w:rPr>
                <w:rFonts w:hint="eastAsia" w:ascii="Times New Roman" w:hAnsi="Times New Roman"/>
                <w:color w:val="auto"/>
                <w:sz w:val="24"/>
                <w:szCs w:val="32"/>
                <w:lang w:eastAsia="zh-CN"/>
              </w:rPr>
              <w:t>因此，</w:t>
            </w:r>
            <w:r>
              <w:rPr>
                <w:rFonts w:ascii="Times New Roman" w:hAnsi="Times New Roman"/>
                <w:color w:val="auto"/>
                <w:sz w:val="24"/>
                <w:szCs w:val="32"/>
              </w:rPr>
              <w:t>本项目</w:t>
            </w:r>
            <w:r>
              <w:rPr>
                <w:rFonts w:hint="eastAsia"/>
                <w:color w:val="auto"/>
                <w:sz w:val="24"/>
                <w:szCs w:val="32"/>
              </w:rPr>
              <w:t>危险废物委托</w:t>
            </w:r>
            <w:r>
              <w:rPr>
                <w:rFonts w:hint="eastAsia"/>
                <w:color w:val="auto"/>
                <w:sz w:val="24"/>
                <w:szCs w:val="32"/>
                <w:lang w:val="en-US" w:eastAsia="zh-CN"/>
              </w:rPr>
              <w:t>承德双然环保科技有限公司</w:t>
            </w:r>
            <w:r>
              <w:rPr>
                <w:rFonts w:hint="eastAsia"/>
                <w:color w:val="auto"/>
                <w:sz w:val="24"/>
                <w:szCs w:val="32"/>
              </w:rPr>
              <w:t>处置可行</w:t>
            </w:r>
            <w:r>
              <w:rPr>
                <w:rFonts w:hint="eastAsia"/>
                <w:color w:val="auto"/>
                <w:sz w:val="24"/>
                <w:szCs w:val="32"/>
                <w:lang w:eastAsia="zh-CN"/>
              </w:rPr>
              <w:t>。</w:t>
            </w:r>
          </w:p>
          <w:p>
            <w:pPr>
              <w:snapToGrid w:val="0"/>
              <w:spacing w:line="360" w:lineRule="auto"/>
              <w:ind w:firstLine="482" w:firstLineChars="200"/>
              <w:rPr>
                <w:rFonts w:hint="eastAsia" w:ascii="Times New Roman" w:hAnsi="宋体"/>
                <w:b/>
                <w:bCs/>
                <w:sz w:val="24"/>
                <w:lang w:eastAsia="zh-CN"/>
              </w:rPr>
            </w:pPr>
            <w:r>
              <w:rPr>
                <w:rFonts w:ascii="Times New Roman" w:hAnsi="宋体"/>
                <w:b/>
                <w:bCs/>
                <w:sz w:val="24"/>
              </w:rPr>
              <w:t>（</w:t>
            </w:r>
            <w:r>
              <w:rPr>
                <w:rFonts w:hint="eastAsia" w:ascii="Times New Roman" w:hAnsi="宋体"/>
                <w:b/>
                <w:bCs/>
                <w:sz w:val="24"/>
                <w:lang w:val="en-US" w:eastAsia="zh-CN"/>
              </w:rPr>
              <w:t>4</w:t>
            </w:r>
            <w:r>
              <w:rPr>
                <w:rFonts w:ascii="Times New Roman" w:hAnsi="宋体"/>
                <w:b/>
                <w:bCs/>
                <w:sz w:val="24"/>
              </w:rPr>
              <w:t>）</w:t>
            </w:r>
            <w:r>
              <w:rPr>
                <w:rFonts w:ascii="Times New Roman" w:hAnsi="宋体"/>
                <w:b/>
                <w:bCs/>
                <w:color w:val="auto"/>
                <w:sz w:val="24"/>
              </w:rPr>
              <w:t>危险废物收集、储存、转运过程应急预案</w:t>
            </w:r>
          </w:p>
          <w:p>
            <w:pPr>
              <w:snapToGrid w:val="0"/>
              <w:spacing w:line="360" w:lineRule="auto"/>
              <w:ind w:firstLine="480" w:firstLineChars="200"/>
              <w:rPr>
                <w:rFonts w:ascii="Times New Roman" w:hAnsi="Times New Roman"/>
                <w:sz w:val="24"/>
              </w:rPr>
            </w:pPr>
            <w:r>
              <w:rPr>
                <w:rFonts w:ascii="Times New Roman" w:hAnsi="宋体"/>
                <w:sz w:val="24"/>
              </w:rPr>
              <w:t>危险废物收集、储存、转运过程编制相应的应急预案，应急预案的编制参照《危险废物经营单位编制应急预案指南》，针对危险废物收集、储运、中转过程产生的事故易发环节应定期组织应急演练。</w:t>
            </w:r>
          </w:p>
          <w:p>
            <w:pPr>
              <w:snapToGrid w:val="0"/>
              <w:spacing w:line="360" w:lineRule="auto"/>
              <w:ind w:firstLine="480" w:firstLineChars="200"/>
              <w:rPr>
                <w:rFonts w:ascii="Times New Roman" w:hAnsi="Times New Roman"/>
                <w:sz w:val="24"/>
              </w:rPr>
            </w:pPr>
            <w:r>
              <w:rPr>
                <w:rFonts w:ascii="Times New Roman" w:hAnsi="宋体"/>
                <w:sz w:val="24"/>
              </w:rPr>
              <w:t>危险废物收集、储运、中转过程一旦发生意外事故，建设单位根据风险应急预案立即采取如下措施：</w:t>
            </w:r>
          </w:p>
          <w:p>
            <w:pPr>
              <w:snapToGrid w:val="0"/>
              <w:spacing w:line="360" w:lineRule="auto"/>
              <w:ind w:firstLine="480" w:firstLineChars="200"/>
              <w:rPr>
                <w:rFonts w:ascii="Times New Roman" w:hAnsi="宋体"/>
                <w:sz w:val="24"/>
              </w:rPr>
            </w:pPr>
            <w:r>
              <w:rPr>
                <w:rFonts w:ascii="Times New Roman" w:hAnsi="宋体"/>
                <w:sz w:val="24"/>
              </w:rPr>
              <w:t>①设立事故警戒线，启动应急预案，并按要求向环保主管部门进行报告。</w:t>
            </w:r>
          </w:p>
          <w:p>
            <w:pPr>
              <w:snapToGrid w:val="0"/>
              <w:spacing w:line="360" w:lineRule="auto"/>
              <w:ind w:firstLine="480" w:firstLineChars="200"/>
              <w:rPr>
                <w:rFonts w:ascii="Times New Roman" w:hAnsi="宋体"/>
                <w:sz w:val="24"/>
              </w:rPr>
            </w:pPr>
            <w:r>
              <w:rPr>
                <w:rFonts w:ascii="Times New Roman" w:hAnsi="宋体"/>
                <w:sz w:val="24"/>
              </w:rPr>
              <w:t>②对事故受到污染的土壤和水体等进行相应的清理和修复。</w:t>
            </w:r>
          </w:p>
          <w:p>
            <w:pPr>
              <w:snapToGrid w:val="0"/>
              <w:spacing w:line="360" w:lineRule="auto"/>
              <w:ind w:firstLine="480" w:firstLineChars="200"/>
              <w:rPr>
                <w:rFonts w:ascii="Times New Roman" w:hAnsi="宋体"/>
                <w:sz w:val="24"/>
              </w:rPr>
            </w:pPr>
            <w:r>
              <w:rPr>
                <w:rFonts w:ascii="Times New Roman" w:hAnsi="宋体"/>
                <w:sz w:val="24"/>
              </w:rPr>
              <w:t>③清理过程产生的所有废物按危险废物进行管理和处置。</w:t>
            </w:r>
          </w:p>
          <w:p>
            <w:pPr>
              <w:adjustRightInd w:val="0"/>
              <w:snapToGrid w:val="0"/>
              <w:spacing w:line="360" w:lineRule="auto"/>
              <w:ind w:firstLine="480" w:firstLineChars="200"/>
              <w:rPr>
                <w:rFonts w:ascii="Times New Roman" w:hAnsi="宋体"/>
                <w:sz w:val="24"/>
              </w:rPr>
            </w:pPr>
            <w:r>
              <w:rPr>
                <w:rFonts w:ascii="Times New Roman" w:hAnsi="宋体"/>
                <w:sz w:val="24"/>
              </w:rPr>
              <w:t>④进入现场清理和包装危险废物的人员应受过专业培训，穿着防护服，佩戴防护用具。</w:t>
            </w:r>
          </w:p>
          <w:p>
            <w:pPr>
              <w:adjustRightInd w:val="0"/>
              <w:snapToGrid w:val="0"/>
              <w:spacing w:line="360" w:lineRule="auto"/>
              <w:ind w:firstLine="482" w:firstLineChars="200"/>
              <w:rPr>
                <w:rFonts w:ascii="Times New Roman" w:hAnsi="Times New Roman" w:cs="Times New Roman"/>
                <w:b/>
                <w:bCs/>
                <w:color w:val="000000"/>
                <w:sz w:val="24"/>
              </w:rPr>
            </w:pPr>
            <w:r>
              <w:rPr>
                <w:rFonts w:hint="eastAsia" w:ascii="Times New Roman" w:hAnsi="Times New Roman" w:cs="Times New Roman"/>
                <w:b/>
                <w:bCs/>
                <w:color w:val="000000"/>
                <w:sz w:val="24"/>
              </w:rPr>
              <w:t>（</w:t>
            </w:r>
            <w:r>
              <w:rPr>
                <w:rFonts w:hint="eastAsia" w:ascii="Times New Roman" w:hAnsi="Times New Roman" w:cs="Times New Roman"/>
                <w:b/>
                <w:bCs/>
                <w:color w:val="000000"/>
                <w:sz w:val="24"/>
                <w:lang w:val="en-US" w:eastAsia="zh-CN"/>
              </w:rPr>
              <w:t>5</w:t>
            </w:r>
            <w:r>
              <w:rPr>
                <w:rFonts w:hint="eastAsia" w:ascii="Times New Roman" w:hAnsi="Times New Roman" w:cs="Times New Roman"/>
                <w:b/>
                <w:bCs/>
                <w:color w:val="000000"/>
                <w:sz w:val="24"/>
              </w:rPr>
              <w:t>）</w:t>
            </w:r>
            <w:r>
              <w:rPr>
                <w:rFonts w:ascii="Times New Roman" w:hAnsi="Times New Roman" w:cs="Times New Roman"/>
                <w:b/>
                <w:bCs/>
                <w:color w:val="000000"/>
                <w:sz w:val="24"/>
              </w:rPr>
              <w:t>固体废物环境管理要求</w:t>
            </w:r>
          </w:p>
          <w:p>
            <w:pPr>
              <w:spacing w:line="360" w:lineRule="auto"/>
              <w:ind w:firstLine="480" w:firstLineChars="200"/>
              <w:rPr>
                <w:rFonts w:ascii="Times New Roman" w:hAnsi="Times New Roman" w:cs="Times New Roman"/>
                <w:color w:val="000000"/>
                <w:sz w:val="24"/>
              </w:rPr>
            </w:pPr>
            <w:r>
              <w:rPr>
                <w:rFonts w:hint="eastAsia" w:ascii="Times New Roman" w:hAnsi="Times New Roman" w:cs="Times New Roman"/>
                <w:color w:val="000000"/>
                <w:sz w:val="24"/>
              </w:rPr>
              <w:t>①</w:t>
            </w:r>
            <w:r>
              <w:rPr>
                <w:rFonts w:ascii="Times New Roman" w:hAnsi="Times New Roman" w:cs="Times New Roman"/>
                <w:color w:val="000000"/>
                <w:sz w:val="24"/>
              </w:rPr>
              <w:t>项目运营期固体废物的产生、贮存、利用和处置全过程严格遵守国家有关建设项目环境保护管理的规定。</w:t>
            </w:r>
          </w:p>
          <w:p>
            <w:pPr>
              <w:spacing w:line="360" w:lineRule="auto"/>
              <w:ind w:firstLine="480"/>
              <w:rPr>
                <w:rFonts w:ascii="Times New Roman" w:hAnsi="Times New Roman" w:cs="Times New Roman"/>
                <w:color w:val="000000"/>
                <w:sz w:val="24"/>
              </w:rPr>
            </w:pPr>
            <w:r>
              <w:rPr>
                <w:rFonts w:hint="eastAsia" w:ascii="Times New Roman" w:hAnsi="Times New Roman" w:cs="Times New Roman"/>
                <w:color w:val="000000"/>
                <w:sz w:val="24"/>
              </w:rPr>
              <w:t>②</w:t>
            </w:r>
            <w:r>
              <w:rPr>
                <w:rFonts w:ascii="Times New Roman" w:hAnsi="Times New Roman" w:cs="Times New Roman"/>
                <w:color w:val="000000"/>
                <w:sz w:val="24"/>
              </w:rPr>
              <w:t>项目运营期产生、收集、贮存、运输、利用、处置固体废物时，采取防扬散、防流失、防渗漏或者其他纺织污染环境的措施，不得擅自倾倒、堆放、丢弃、遗撒固体废物；</w:t>
            </w:r>
          </w:p>
          <w:p>
            <w:pPr>
              <w:spacing w:line="360" w:lineRule="auto"/>
              <w:ind w:firstLine="480"/>
              <w:rPr>
                <w:rFonts w:ascii="Times New Roman" w:hAnsi="Times New Roman" w:cs="Times New Roman"/>
                <w:color w:val="000000"/>
                <w:sz w:val="24"/>
              </w:rPr>
            </w:pPr>
            <w:r>
              <w:rPr>
                <w:rFonts w:hint="eastAsia" w:ascii="Times New Roman" w:hAnsi="Times New Roman" w:cs="Times New Roman"/>
                <w:color w:val="000000"/>
                <w:sz w:val="24"/>
              </w:rPr>
              <w:t>③</w:t>
            </w:r>
            <w:r>
              <w:rPr>
                <w:rFonts w:ascii="Times New Roman" w:hAnsi="Times New Roman" w:cs="Times New Roman"/>
                <w:color w:val="000000"/>
                <w:sz w:val="24"/>
              </w:rPr>
              <w:t>建设单位运营期建立健全工业固体废物</w:t>
            </w:r>
            <w:r>
              <w:rPr>
                <w:rFonts w:hint="eastAsia" w:ascii="Times New Roman" w:hAnsi="Times New Roman" w:cs="Times New Roman"/>
                <w:color w:val="000000"/>
                <w:sz w:val="24"/>
              </w:rPr>
              <w:t>和危险废物</w:t>
            </w:r>
            <w:r>
              <w:rPr>
                <w:rFonts w:ascii="Times New Roman" w:hAnsi="Times New Roman" w:cs="Times New Roman"/>
                <w:color w:val="000000"/>
                <w:sz w:val="24"/>
              </w:rPr>
              <w:t>产生、收集、贮存、运输、利用、处置全过程的污染环境纺织责任制度，建立工业固体废物</w:t>
            </w:r>
            <w:r>
              <w:rPr>
                <w:rFonts w:hint="eastAsia" w:ascii="Times New Roman" w:hAnsi="Times New Roman" w:cs="Times New Roman"/>
                <w:color w:val="000000"/>
                <w:sz w:val="24"/>
              </w:rPr>
              <w:t>和危险废物</w:t>
            </w:r>
            <w:r>
              <w:rPr>
                <w:rFonts w:ascii="Times New Roman" w:hAnsi="Times New Roman" w:cs="Times New Roman"/>
                <w:color w:val="000000"/>
                <w:sz w:val="24"/>
              </w:rPr>
              <w:t>管理台账，如实记录产生工业固体废物的种类、数量、流向、贮存、利用、处置等信息，实现工业固体废物</w:t>
            </w:r>
            <w:r>
              <w:rPr>
                <w:rFonts w:hint="eastAsia" w:ascii="Times New Roman" w:hAnsi="Times New Roman" w:cs="Times New Roman"/>
                <w:color w:val="000000"/>
                <w:sz w:val="24"/>
              </w:rPr>
              <w:t>和危险废物</w:t>
            </w:r>
            <w:r>
              <w:rPr>
                <w:rFonts w:ascii="Times New Roman" w:hAnsi="Times New Roman" w:cs="Times New Roman"/>
                <w:color w:val="000000"/>
                <w:sz w:val="24"/>
              </w:rPr>
              <w:t>可追溯，可查询，并采取防治工业固体废物</w:t>
            </w:r>
            <w:r>
              <w:rPr>
                <w:rFonts w:hint="eastAsia" w:ascii="Times New Roman" w:hAnsi="Times New Roman" w:cs="Times New Roman"/>
                <w:color w:val="000000"/>
                <w:sz w:val="24"/>
              </w:rPr>
              <w:t>和危险废物</w:t>
            </w:r>
            <w:r>
              <w:rPr>
                <w:rFonts w:ascii="Times New Roman" w:hAnsi="Times New Roman" w:cs="Times New Roman"/>
                <w:color w:val="000000"/>
                <w:sz w:val="24"/>
              </w:rPr>
              <w:t>污染环境的措施；</w:t>
            </w:r>
          </w:p>
          <w:p>
            <w:pPr>
              <w:spacing w:line="360" w:lineRule="auto"/>
              <w:ind w:firstLine="480"/>
              <w:rPr>
                <w:rFonts w:ascii="Times New Roman" w:hAnsi="Times New Roman" w:cs="Times New Roman"/>
                <w:color w:val="000000"/>
                <w:sz w:val="24"/>
              </w:rPr>
            </w:pPr>
            <w:r>
              <w:rPr>
                <w:rFonts w:hint="eastAsia" w:ascii="Times New Roman" w:hAnsi="Times New Roman" w:cs="Times New Roman"/>
                <w:color w:val="000000"/>
                <w:sz w:val="24"/>
              </w:rPr>
              <w:t>④</w:t>
            </w:r>
            <w:r>
              <w:rPr>
                <w:rFonts w:ascii="Times New Roman" w:hAnsi="Times New Roman" w:cs="Times New Roman"/>
                <w:color w:val="000000"/>
                <w:sz w:val="24"/>
              </w:rPr>
              <w:t>企业对收集、贮存、运输、处置一般工业固体废物</w:t>
            </w:r>
            <w:r>
              <w:rPr>
                <w:rFonts w:hint="eastAsia" w:ascii="Times New Roman" w:hAnsi="Times New Roman" w:cs="Times New Roman"/>
                <w:color w:val="000000"/>
                <w:sz w:val="24"/>
              </w:rPr>
              <w:t>和危险废物</w:t>
            </w:r>
            <w:r>
              <w:rPr>
                <w:rFonts w:ascii="Times New Roman" w:hAnsi="Times New Roman" w:cs="Times New Roman"/>
                <w:color w:val="000000"/>
                <w:sz w:val="24"/>
              </w:rPr>
              <w:t>的设施、设备和场所，加强管理和维护，保证其正常运行和使用。</w:t>
            </w:r>
          </w:p>
          <w:p>
            <w:pPr>
              <w:spacing w:line="360" w:lineRule="auto"/>
              <w:ind w:firstLine="480"/>
              <w:rPr>
                <w:rFonts w:ascii="Times New Roman" w:hAnsi="Times New Roman" w:eastAsia="宋体" w:cs="Times New Roman"/>
                <w:color w:val="333333"/>
                <w:sz w:val="24"/>
                <w:shd w:val="clear" w:color="auto" w:fill="FFFFFF"/>
              </w:rPr>
            </w:pPr>
            <w:r>
              <w:rPr>
                <w:rFonts w:hint="eastAsia" w:ascii="Times New Roman" w:hAnsi="Times New Roman" w:cs="Times New Roman"/>
                <w:color w:val="000000"/>
                <w:sz w:val="24"/>
              </w:rPr>
              <w:t>⑤</w:t>
            </w:r>
            <w:r>
              <w:rPr>
                <w:rFonts w:ascii="Times New Roman" w:hAnsi="Times New Roman" w:eastAsia="宋体" w:cs="Times New Roman"/>
                <w:color w:val="333333"/>
                <w:sz w:val="24"/>
                <w:shd w:val="clear" w:color="auto" w:fill="FFFFFF"/>
              </w:rPr>
              <w:t>严禁将生活垃圾与一般工业固体废物</w:t>
            </w:r>
            <w:r>
              <w:rPr>
                <w:rFonts w:hint="eastAsia" w:ascii="Times New Roman" w:hAnsi="Times New Roman" w:eastAsia="宋体" w:cs="Times New Roman"/>
                <w:color w:val="333333"/>
                <w:sz w:val="24"/>
                <w:shd w:val="clear" w:color="auto" w:fill="FFFFFF"/>
              </w:rPr>
              <w:t>、危险废物</w:t>
            </w:r>
            <w:r>
              <w:rPr>
                <w:rFonts w:ascii="Times New Roman" w:hAnsi="Times New Roman" w:eastAsia="宋体" w:cs="Times New Roman"/>
                <w:color w:val="333333"/>
                <w:sz w:val="24"/>
                <w:shd w:val="clear" w:color="auto" w:fill="FFFFFF"/>
              </w:rPr>
              <w:t>混合处置。</w:t>
            </w:r>
          </w:p>
          <w:p>
            <w:pPr>
              <w:spacing w:line="360" w:lineRule="auto"/>
              <w:ind w:firstLine="480"/>
              <w:rPr>
                <w:rFonts w:ascii="Times New Roman" w:hAnsi="Times New Roman" w:eastAsia="宋体" w:cs="Times New Roman"/>
                <w:color w:val="333333"/>
                <w:sz w:val="24"/>
                <w:shd w:val="clear" w:color="auto" w:fill="FFFFFF"/>
              </w:rPr>
            </w:pPr>
            <w:r>
              <w:rPr>
                <w:rFonts w:hint="eastAsia" w:ascii="Times New Roman" w:hAnsi="Times New Roman" w:cs="Times New Roman"/>
                <w:color w:val="000000"/>
                <w:sz w:val="24"/>
              </w:rPr>
              <w:t>⑥</w:t>
            </w:r>
            <w:r>
              <w:rPr>
                <w:rFonts w:ascii="Times New Roman" w:hAnsi="Times New Roman" w:cs="Times New Roman"/>
                <w:color w:val="000000"/>
                <w:sz w:val="24"/>
              </w:rPr>
              <w:t>项目运营期间</w:t>
            </w:r>
            <w:r>
              <w:rPr>
                <w:rFonts w:ascii="Times New Roman" w:hAnsi="Times New Roman" w:eastAsia="宋体" w:cs="Times New Roman"/>
                <w:color w:val="333333"/>
                <w:sz w:val="24"/>
                <w:shd w:val="clear" w:color="auto" w:fill="FFFFFF"/>
              </w:rPr>
              <w:t>需要终止生产的，事先对工业固体废物</w:t>
            </w:r>
            <w:r>
              <w:rPr>
                <w:rFonts w:hint="eastAsia" w:ascii="Times New Roman" w:hAnsi="Times New Roman" w:cs="Times New Roman"/>
                <w:color w:val="000000"/>
                <w:sz w:val="24"/>
              </w:rPr>
              <w:t>和危险废物</w:t>
            </w:r>
            <w:r>
              <w:rPr>
                <w:rFonts w:ascii="Times New Roman" w:hAnsi="Times New Roman" w:eastAsia="宋体" w:cs="Times New Roman"/>
                <w:color w:val="333333"/>
                <w:sz w:val="24"/>
                <w:shd w:val="clear" w:color="auto" w:fill="FFFFFF"/>
              </w:rPr>
              <w:t>的贮存、处置设施、场所采取污染防治措施，并对未处置的工业固体废物</w:t>
            </w:r>
            <w:r>
              <w:rPr>
                <w:rFonts w:hint="eastAsia" w:ascii="Times New Roman" w:hAnsi="Times New Roman" w:cs="Times New Roman"/>
                <w:color w:val="000000"/>
                <w:sz w:val="24"/>
              </w:rPr>
              <w:t>和危险废物</w:t>
            </w:r>
            <w:r>
              <w:rPr>
                <w:rFonts w:ascii="Times New Roman" w:hAnsi="Times New Roman" w:eastAsia="宋体" w:cs="Times New Roman"/>
                <w:color w:val="333333"/>
                <w:sz w:val="24"/>
                <w:shd w:val="clear" w:color="auto" w:fill="FFFFFF"/>
              </w:rPr>
              <w:t>作出妥善处置，防止污染环境。</w:t>
            </w:r>
          </w:p>
          <w:p>
            <w:pPr>
              <w:numPr>
                <w:ilvl w:val="0"/>
                <w:numId w:val="10"/>
              </w:numPr>
              <w:spacing w:line="360" w:lineRule="auto"/>
              <w:ind w:firstLine="482" w:firstLineChars="200"/>
              <w:rPr>
                <w:rFonts w:hint="default" w:ascii="Times New Roman" w:hAnsi="Times New Roman" w:cs="Times New Roman"/>
                <w:b/>
                <w:bCs/>
                <w:color w:val="auto"/>
                <w:sz w:val="24"/>
                <w:shd w:val="clear" w:color="auto" w:fill="FFFFFF"/>
              </w:rPr>
            </w:pPr>
            <w:r>
              <w:rPr>
                <w:rFonts w:hint="default" w:ascii="Times New Roman" w:hAnsi="Times New Roman" w:cs="Times New Roman"/>
                <w:b/>
                <w:bCs/>
                <w:color w:val="auto"/>
                <w:sz w:val="24"/>
                <w:shd w:val="clear" w:color="auto" w:fill="FFFFFF"/>
              </w:rPr>
              <w:t>环境风险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危险物质</w:t>
            </w:r>
          </w:p>
          <w:p>
            <w:pPr>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本</w:t>
            </w:r>
            <w:r>
              <w:rPr>
                <w:rFonts w:hint="default" w:ascii="Times New Roman" w:hAnsi="Times New Roman" w:cs="Times New Roman"/>
                <w:color w:val="auto"/>
                <w:sz w:val="24"/>
              </w:rPr>
              <w:t>项目涉及环境风险的物质主要为</w:t>
            </w:r>
            <w:r>
              <w:rPr>
                <w:rFonts w:hint="eastAsia" w:ascii="Times New Roman" w:hAnsi="Times New Roman" w:cs="Times New Roman"/>
                <w:color w:val="auto"/>
                <w:sz w:val="24"/>
                <w:lang w:val="en-US" w:eastAsia="zh-CN"/>
              </w:rPr>
              <w:t>设备维护过程产生的</w:t>
            </w:r>
            <w:r>
              <w:rPr>
                <w:rFonts w:hint="default" w:ascii="Times New Roman" w:hAnsi="Times New Roman" w:cs="Times New Roman"/>
                <w:color w:val="auto"/>
                <w:sz w:val="24"/>
              </w:rPr>
              <w:t>废润滑油</w:t>
            </w:r>
            <w:r>
              <w:rPr>
                <w:rFonts w:hint="eastAsia" w:ascii="Times New Roman" w:hAnsi="Times New Roman" w:cs="Times New Roman"/>
                <w:color w:val="auto"/>
                <w:sz w:val="24"/>
                <w:lang w:eastAsia="zh-CN"/>
              </w:rPr>
              <w:t>、废油桶</w:t>
            </w:r>
            <w:r>
              <w:rPr>
                <w:rFonts w:hint="eastAsia" w:ascii="Times New Roman" w:hAnsi="Times New Roman" w:cs="Times New Roman"/>
                <w:color w:val="auto"/>
                <w:sz w:val="24"/>
                <w:lang w:val="en-US" w:eastAsia="zh-CN"/>
              </w:rPr>
              <w:t>。</w:t>
            </w:r>
          </w:p>
          <w:p>
            <w:pPr>
              <w:autoSpaceDE w:val="0"/>
              <w:autoSpaceDN w:val="0"/>
              <w:adjustRightInd w:val="0"/>
              <w:spacing w:line="360" w:lineRule="auto"/>
              <w:ind w:firstLine="482" w:firstLineChars="200"/>
              <w:rPr>
                <w:rFonts w:hint="default" w:ascii="Times New Roman" w:hAnsi="Times New Roman" w:cs="Times New Roman"/>
                <w:b/>
                <w:bCs/>
                <w:color w:val="auto"/>
                <w:kern w:val="0"/>
                <w:sz w:val="24"/>
                <w:lang w:val="en-US" w:eastAsia="zh-CN"/>
              </w:rPr>
            </w:pP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2</w:t>
            </w: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风险源分布</w:t>
            </w:r>
          </w:p>
          <w:p>
            <w:pPr>
              <w:autoSpaceDE w:val="0"/>
              <w:autoSpaceDN w:val="0"/>
              <w:adjustRightInd w:val="0"/>
              <w:spacing w:line="360" w:lineRule="auto"/>
              <w:ind w:firstLine="480" w:firstLineChars="200"/>
              <w:rPr>
                <w:rFonts w:hint="eastAsia" w:ascii="Times New Roman" w:hAnsi="Times New Roman" w:cs="Times New Roman"/>
                <w:b/>
                <w:bCs/>
                <w:color w:val="auto"/>
                <w:kern w:val="0"/>
                <w:sz w:val="24"/>
                <w:lang w:eastAsia="zh-CN"/>
              </w:rPr>
            </w:pPr>
            <w:r>
              <w:rPr>
                <w:rFonts w:hint="eastAsia" w:ascii="Times New Roman" w:hAnsi="Times New Roman" w:cs="Times New Roman"/>
                <w:color w:val="auto"/>
                <w:sz w:val="24"/>
                <w:lang w:val="en-US" w:eastAsia="zh-CN"/>
              </w:rPr>
              <w:t>本项目废润滑油、废油桶贮存于厂区危险废物贮存间内</w:t>
            </w:r>
            <w:r>
              <w:rPr>
                <w:rFonts w:hint="default" w:ascii="Times New Roman" w:hAnsi="Times New Roman" w:cs="Times New Roman"/>
                <w:color w:val="auto"/>
                <w:sz w:val="24"/>
              </w:rPr>
              <w:t>。</w:t>
            </w:r>
          </w:p>
          <w:p>
            <w:pPr>
              <w:autoSpaceDE w:val="0"/>
              <w:autoSpaceDN w:val="0"/>
              <w:adjustRightInd w:val="0"/>
              <w:spacing w:line="360" w:lineRule="auto"/>
              <w:ind w:firstLine="482" w:firstLineChars="200"/>
              <w:rPr>
                <w:rFonts w:hint="default" w:ascii="Times New Roman" w:hAnsi="Times New Roman" w:cs="Times New Roman"/>
                <w:color w:val="auto"/>
                <w:kern w:val="0"/>
                <w:sz w:val="24"/>
              </w:rPr>
            </w:pP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3</w:t>
            </w: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影响途径</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1 \* GB3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①</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泄露事故引发的污染</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eastAsia" w:ascii="Times New Roman" w:hAnsi="Times New Roman" w:cs="Times New Roman"/>
                <w:color w:val="auto"/>
                <w:sz w:val="24"/>
                <w:lang w:val="en-US" w:eastAsia="zh-CN"/>
              </w:rPr>
              <w:t>废润滑油贮存于厂区危险废物贮存间内，</w:t>
            </w:r>
            <w:r>
              <w:rPr>
                <w:rFonts w:hint="default" w:ascii="Times New Roman" w:hAnsi="Times New Roman" w:cs="Times New Roman"/>
                <w:color w:val="auto"/>
                <w:kern w:val="0"/>
                <w:sz w:val="24"/>
              </w:rPr>
              <w:t>可能因为容器损坏，防渗层破裂、管理疏忽等原因导致泄漏，可能造成地下水、河流及土壤污染。</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2 \* GB3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②</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火灾</w:t>
            </w:r>
            <w:r>
              <w:rPr>
                <w:rFonts w:hint="eastAsia" w:ascii="Times New Roman" w:hAnsi="Times New Roman" w:cs="Times New Roman"/>
                <w:color w:val="auto"/>
                <w:kern w:val="0"/>
                <w:sz w:val="24"/>
                <w:lang w:val="en-US" w:eastAsia="zh-CN"/>
              </w:rPr>
              <w:t>爆炸</w:t>
            </w:r>
            <w:r>
              <w:rPr>
                <w:rFonts w:hint="default" w:ascii="Times New Roman" w:hAnsi="Times New Roman" w:cs="Times New Roman"/>
                <w:color w:val="auto"/>
                <w:kern w:val="0"/>
                <w:sz w:val="24"/>
              </w:rPr>
              <w:t>事故引发的次生污染</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泄漏的废润滑油遇明火、高热可能引</w:t>
            </w:r>
            <w:r>
              <w:rPr>
                <w:rFonts w:hint="eastAsia" w:ascii="Times New Roman" w:hAnsi="Times New Roman" w:cs="Times New Roman"/>
                <w:color w:val="auto"/>
                <w:sz w:val="24"/>
                <w:lang w:val="en-US" w:eastAsia="zh-CN" w:bidi="ar"/>
              </w:rPr>
              <w:t>发</w:t>
            </w:r>
            <w:r>
              <w:rPr>
                <w:rFonts w:hint="eastAsia" w:ascii="Times New Roman" w:hAnsi="Times New Roman"/>
                <w:color w:val="auto"/>
                <w:sz w:val="24"/>
                <w:szCs w:val="24"/>
              </w:rPr>
              <w:t>火灾、爆炸</w:t>
            </w:r>
            <w:r>
              <w:rPr>
                <w:rFonts w:hint="eastAsia" w:ascii="Times New Roman" w:hAnsi="Times New Roman"/>
                <w:color w:val="auto"/>
                <w:sz w:val="24"/>
                <w:szCs w:val="24"/>
                <w:lang w:eastAsia="zh-CN"/>
              </w:rPr>
              <w:t>等</w:t>
            </w:r>
            <w:r>
              <w:rPr>
                <w:rFonts w:hint="eastAsia" w:ascii="Times New Roman" w:hAnsi="Times New Roman"/>
                <w:color w:val="auto"/>
                <w:sz w:val="24"/>
                <w:szCs w:val="24"/>
              </w:rPr>
              <w:t>危害事故，进而引发次生环境污染事故</w:t>
            </w:r>
            <w:r>
              <w:rPr>
                <w:rFonts w:hint="default" w:ascii="Times New Roman" w:hAnsi="Times New Roman" w:cs="Times New Roman"/>
                <w:color w:val="auto"/>
                <w:sz w:val="24"/>
                <w:lang w:bidi="ar"/>
              </w:rPr>
              <w:t>，产生的污染物主要为燃烧烟气和消防废水</w:t>
            </w:r>
            <w:r>
              <w:rPr>
                <w:rFonts w:hint="eastAsia" w:ascii="Times New Roman" w:hAnsi="Times New Roman" w:cs="Times New Roman"/>
                <w:color w:val="auto"/>
                <w:sz w:val="24"/>
                <w:lang w:eastAsia="zh-CN" w:bidi="ar"/>
              </w:rPr>
              <w:t>，</w:t>
            </w:r>
            <w:r>
              <w:rPr>
                <w:rFonts w:hint="default" w:ascii="Times New Roman" w:hAnsi="Times New Roman" w:cs="Times New Roman"/>
                <w:color w:val="auto"/>
                <w:sz w:val="24"/>
                <w:lang w:bidi="ar"/>
              </w:rPr>
              <w:t>将造成区域大气、地表水环境污染。</w:t>
            </w:r>
          </w:p>
          <w:p>
            <w:pPr>
              <w:autoSpaceDE w:val="0"/>
              <w:autoSpaceDN w:val="0"/>
              <w:adjustRightInd w:val="0"/>
              <w:spacing w:line="360" w:lineRule="auto"/>
              <w:ind w:firstLine="482" w:firstLineChars="200"/>
              <w:rPr>
                <w:rFonts w:hint="default" w:ascii="Times New Roman" w:hAnsi="Times New Roman" w:cs="Times New Roman"/>
                <w:b/>
                <w:bCs/>
                <w:color w:val="auto"/>
                <w:kern w:val="0"/>
                <w:sz w:val="24"/>
                <w:lang w:eastAsia="zh-CN"/>
              </w:rPr>
            </w:pPr>
            <w:r>
              <w:rPr>
                <w:rFonts w:hint="default"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4</w:t>
            </w:r>
            <w:r>
              <w:rPr>
                <w:rFonts w:hint="default" w:ascii="Times New Roman" w:hAnsi="Times New Roman" w:cs="Times New Roman"/>
                <w:b/>
                <w:bCs/>
                <w:color w:val="auto"/>
                <w:kern w:val="0"/>
                <w:sz w:val="24"/>
                <w:lang w:eastAsia="zh-CN"/>
              </w:rPr>
              <w:t>）环境风险防范措施</w:t>
            </w:r>
          </w:p>
          <w:p>
            <w:pPr>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废润滑油贮存于厂区危险废物贮存间内</w:t>
            </w:r>
            <w:r>
              <w:rPr>
                <w:rFonts w:hint="default" w:ascii="Times New Roman" w:hAnsi="Times New Roman" w:cs="Times New Roman"/>
                <w:color w:val="auto"/>
                <w:sz w:val="24"/>
              </w:rPr>
              <w:t>，配备规定数量、质量要求</w:t>
            </w:r>
            <w:r>
              <w:rPr>
                <w:rFonts w:hint="eastAsia" w:ascii="Times New Roman" w:hAnsi="Times New Roman" w:cs="Times New Roman"/>
                <w:color w:val="auto"/>
                <w:sz w:val="24"/>
                <w:lang w:eastAsia="zh-CN"/>
              </w:rPr>
              <w:t>相同</w:t>
            </w:r>
            <w:r>
              <w:rPr>
                <w:rFonts w:hint="default" w:ascii="Times New Roman" w:hAnsi="Times New Roman" w:cs="Times New Roman"/>
                <w:color w:val="auto"/>
                <w:sz w:val="24"/>
              </w:rPr>
              <w:t>的灭火器材，并有专人负责监督；贴有危险废物标识，加强对危险废物暂存间的日常检查和定期检查。</w:t>
            </w:r>
          </w:p>
          <w:p>
            <w:pPr>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项目润滑油发生泄露遗撒事故时，短时间内溢流将存于危险废物贮存间内，长时间未发现时才溢流到危险废物贮存间外，短时间不会对环境造成污染</w:t>
            </w:r>
            <w:r>
              <w:rPr>
                <w:rFonts w:hint="eastAsia" w:ascii="Times New Roman" w:hAnsi="Times New Roman"/>
                <w:color w:val="auto"/>
                <w:sz w:val="24"/>
                <w:szCs w:val="24"/>
                <w:lang w:eastAsia="zh-CN"/>
              </w:rPr>
              <w:t>，</w:t>
            </w:r>
            <w:r>
              <w:rPr>
                <w:rFonts w:hint="eastAsia" w:ascii="Times New Roman" w:hAnsi="Times New Roman"/>
                <w:color w:val="auto"/>
                <w:sz w:val="24"/>
                <w:szCs w:val="24"/>
              </w:rPr>
              <w:t>及时收集</w:t>
            </w:r>
            <w:r>
              <w:rPr>
                <w:rFonts w:hint="eastAsia" w:ascii="Times New Roman" w:hAnsi="Times New Roman"/>
                <w:color w:val="auto"/>
                <w:sz w:val="24"/>
                <w:szCs w:val="24"/>
                <w:lang w:val="en-US" w:eastAsia="zh-CN"/>
              </w:rPr>
              <w:t>废润滑油，</w:t>
            </w:r>
            <w:r>
              <w:rPr>
                <w:rFonts w:hint="eastAsia" w:ascii="Times New Roman" w:hAnsi="Times New Roman"/>
                <w:color w:val="auto"/>
                <w:sz w:val="24"/>
                <w:szCs w:val="24"/>
              </w:rPr>
              <w:t>用吸附物质围堵，采用专门的收集装置进行收集，交由资质单位</w:t>
            </w:r>
            <w:r>
              <w:rPr>
                <w:rFonts w:hint="eastAsia" w:ascii="Times New Roman" w:hAnsi="Times New Roman"/>
                <w:color w:val="auto"/>
                <w:sz w:val="24"/>
                <w:szCs w:val="24"/>
                <w:lang w:val="en-US" w:eastAsia="zh-CN"/>
              </w:rPr>
              <w:t>处置</w:t>
            </w:r>
            <w:r>
              <w:rPr>
                <w:rFonts w:hint="eastAsia" w:ascii="Times New Roman" w:hAnsi="Times New Roman"/>
                <w:color w:val="auto"/>
                <w:sz w:val="24"/>
                <w:szCs w:val="24"/>
              </w:rPr>
              <w:t>。</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提高工作人员环境风险意识，制定各项环保制度。对从业人员进行岗位职工教育与培训，使他们均具备危险意识及如何应对危险的知识，并进行相关泄露事故的教育。建立档案和报告制度，由专门部门或人员负责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5</w:t>
            </w:r>
            <w:r>
              <w:rPr>
                <w:rFonts w:hint="default" w:ascii="Times New Roman" w:hAnsi="Times New Roman" w:cs="Times New Roman"/>
                <w:b/>
                <w:bCs/>
                <w:color w:val="auto"/>
                <w:sz w:val="24"/>
              </w:rPr>
              <w:t>）环境风险分析结论</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建设单位</w:t>
            </w:r>
            <w:r>
              <w:rPr>
                <w:rFonts w:hint="default" w:ascii="Times New Roman" w:hAnsi="Times New Roman" w:cs="Times New Roman"/>
                <w:color w:val="auto"/>
                <w:sz w:val="24"/>
              </w:rPr>
              <w:t>在加强厂区风险管理、</w:t>
            </w:r>
            <w:r>
              <w:rPr>
                <w:rFonts w:hint="eastAsia" w:ascii="Times New Roman" w:hAnsi="Times New Roman" w:cs="Times New Roman"/>
                <w:color w:val="auto"/>
                <w:sz w:val="24"/>
                <w:lang w:val="en-US" w:eastAsia="zh-CN"/>
              </w:rPr>
              <w:t>采取有效防范措施</w:t>
            </w:r>
            <w:r>
              <w:rPr>
                <w:rFonts w:hint="default" w:ascii="Times New Roman" w:hAnsi="Times New Roman" w:cs="Times New Roman"/>
                <w:color w:val="auto"/>
                <w:sz w:val="24"/>
              </w:rPr>
              <w:t>的基础上，事故发生概率较低，本项目环境风险可</w:t>
            </w:r>
            <w:r>
              <w:rPr>
                <w:rFonts w:hint="eastAsia" w:ascii="Times New Roman" w:hAnsi="Times New Roman" w:cs="Times New Roman"/>
                <w:color w:val="auto"/>
                <w:sz w:val="24"/>
                <w:lang w:val="en-US" w:eastAsia="zh-CN"/>
              </w:rPr>
              <w:t>防控。</w:t>
            </w:r>
          </w:p>
          <w:p>
            <w:pPr>
              <w:numPr>
                <w:ilvl w:val="0"/>
                <w:numId w:val="10"/>
              </w:numPr>
              <w:spacing w:line="360" w:lineRule="auto"/>
              <w:ind w:firstLine="482" w:firstLineChars="200"/>
              <w:rPr>
                <w:rFonts w:hint="default" w:ascii="Times New Roman" w:hAnsi="Times New Roman" w:cs="Times New Roman"/>
                <w:b/>
                <w:bCs/>
                <w:color w:val="auto"/>
                <w:sz w:val="24"/>
                <w:shd w:val="clear" w:color="auto" w:fill="FFFFFF"/>
              </w:rPr>
            </w:pPr>
            <w:r>
              <w:rPr>
                <w:rFonts w:hint="default" w:ascii="Times New Roman" w:hAnsi="Times New Roman" w:cs="Times New Roman"/>
                <w:b/>
                <w:bCs/>
                <w:color w:val="auto"/>
                <w:sz w:val="24"/>
                <w:shd w:val="clear" w:color="auto" w:fill="FFFFFF"/>
                <w:lang w:val="en-US" w:eastAsia="zh-CN"/>
              </w:rPr>
              <w:t>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auto"/>
                <w:sz w:val="24"/>
                <w:shd w:val="clear" w:color="auto" w:fill="FFFFFF"/>
              </w:rPr>
            </w:pPr>
            <w:r>
              <w:rPr>
                <w:rFonts w:hint="eastAsia" w:ascii="Times New Roman" w:hAnsi="Times New Roman" w:cs="Times New Roman"/>
                <w:color w:val="auto"/>
                <w:sz w:val="24"/>
                <w:lang w:val="en-US" w:eastAsia="zh-CN"/>
              </w:rPr>
              <w:t>危险废物暂存间采取防渗，防渗系数≤1×10</w:t>
            </w:r>
            <w:r>
              <w:rPr>
                <w:rFonts w:hint="eastAsia" w:ascii="Times New Roman" w:hAnsi="Times New Roman" w:cs="Times New Roman"/>
                <w:color w:val="auto"/>
                <w:sz w:val="24"/>
                <w:vertAlign w:val="superscript"/>
                <w:lang w:val="en-US" w:eastAsia="zh-CN"/>
              </w:rPr>
              <w:t>-10</w:t>
            </w:r>
            <w:r>
              <w:rPr>
                <w:rFonts w:hint="eastAsia" w:ascii="Times New Roman" w:hAnsi="Times New Roman" w:cs="Times New Roman"/>
                <w:color w:val="auto"/>
                <w:sz w:val="24"/>
                <w:lang w:val="en-US" w:eastAsia="zh-CN"/>
              </w:rPr>
              <w:t>cm/s；脱硫系统内配套的沉淀池采取防渗，防渗系数≤1×10</w:t>
            </w:r>
            <w:r>
              <w:rPr>
                <w:rFonts w:hint="eastAsia" w:ascii="Times New Roman" w:hAnsi="Times New Roman" w:cs="Times New Roman"/>
                <w:color w:val="auto"/>
                <w:sz w:val="24"/>
                <w:vertAlign w:val="superscript"/>
                <w:lang w:val="en-US" w:eastAsia="zh-CN"/>
              </w:rPr>
              <w:t>-7</w:t>
            </w:r>
            <w:r>
              <w:rPr>
                <w:rFonts w:hint="eastAsia" w:ascii="Times New Roman" w:hAnsi="Times New Roman" w:cs="Times New Roman"/>
                <w:color w:val="auto"/>
                <w:sz w:val="24"/>
                <w:lang w:val="en-US" w:eastAsia="zh-CN"/>
              </w:rPr>
              <w:t>cm/s，垂直入渗对区域地下水环境质量影响较小。</w:t>
            </w:r>
          </w:p>
          <w:p>
            <w:pPr>
              <w:numPr>
                <w:ilvl w:val="0"/>
                <w:numId w:val="10"/>
              </w:numPr>
              <w:spacing w:line="360" w:lineRule="auto"/>
              <w:ind w:firstLine="482" w:firstLineChars="200"/>
              <w:rPr>
                <w:rFonts w:hint="default" w:ascii="Times New Roman" w:hAnsi="Times New Roman" w:cs="Times New Roman"/>
                <w:b/>
                <w:bCs/>
                <w:color w:val="auto"/>
                <w:sz w:val="24"/>
                <w:shd w:val="clear" w:color="auto" w:fill="FFFFFF"/>
              </w:rPr>
            </w:pPr>
            <w:r>
              <w:rPr>
                <w:rFonts w:hint="default" w:ascii="Times New Roman" w:hAnsi="Times New Roman" w:cs="Times New Roman"/>
                <w:b/>
                <w:bCs/>
                <w:color w:val="auto"/>
                <w:sz w:val="24"/>
                <w:shd w:val="clear" w:color="auto" w:fill="FFFFFF"/>
                <w:lang w:val="en-US" w:eastAsia="zh-CN"/>
              </w:rPr>
              <w:t>土壤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eastAsia" w:ascii="Times New Roman" w:hAnsi="Times New Roman" w:cs="Times New Roman"/>
                <w:color w:val="auto"/>
                <w:sz w:val="24"/>
                <w:lang w:val="en-US" w:eastAsia="zh-CN"/>
              </w:rPr>
              <w:t>危险废物暂存间采取防渗，防渗系数≤1×10</w:t>
            </w:r>
            <w:r>
              <w:rPr>
                <w:rFonts w:hint="eastAsia" w:ascii="Times New Roman" w:hAnsi="Times New Roman" w:cs="Times New Roman"/>
                <w:color w:val="auto"/>
                <w:sz w:val="24"/>
                <w:vertAlign w:val="superscript"/>
                <w:lang w:val="en-US" w:eastAsia="zh-CN"/>
              </w:rPr>
              <w:t>-10</w:t>
            </w:r>
            <w:r>
              <w:rPr>
                <w:rFonts w:hint="eastAsia" w:ascii="Times New Roman" w:hAnsi="Times New Roman" w:cs="Times New Roman"/>
                <w:color w:val="auto"/>
                <w:sz w:val="24"/>
                <w:lang w:val="en-US" w:eastAsia="zh-CN"/>
              </w:rPr>
              <w:t>cm/s；脱硫系统内配套的沉淀池采取防渗，防渗系数≤1×10</w:t>
            </w:r>
            <w:r>
              <w:rPr>
                <w:rFonts w:hint="eastAsia" w:ascii="Times New Roman" w:hAnsi="Times New Roman" w:cs="Times New Roman"/>
                <w:color w:val="auto"/>
                <w:sz w:val="24"/>
                <w:vertAlign w:val="superscript"/>
                <w:lang w:val="en-US" w:eastAsia="zh-CN"/>
              </w:rPr>
              <w:t>-7</w:t>
            </w:r>
            <w:r>
              <w:rPr>
                <w:rFonts w:hint="eastAsia" w:ascii="Times New Roman" w:hAnsi="Times New Roman" w:cs="Times New Roman"/>
                <w:color w:val="auto"/>
                <w:sz w:val="24"/>
                <w:lang w:val="en-US" w:eastAsia="zh-CN"/>
              </w:rPr>
              <w:t>cm/s，垂直入渗对区域土壤环境质量影响较小；40t/h循环流化床燃煤锅炉废气经布袋除尘器+脱硫塔+PNCR高分子炉内脱硝后经1根45m高排气筒（DA001）排放，采取措施后颗粒物、二氧化硫、氮氧化物、汞及其化合物（以Hg计）自由沉降量较少，自由沉降对区域土壤环境质量影响较小，</w:t>
            </w:r>
            <w:r>
              <w:rPr>
                <w:rFonts w:hint="eastAsia" w:ascii="Times New Roman" w:hAnsi="Times New Roman" w:cs="Times New Roman"/>
                <w:sz w:val="24"/>
                <w:szCs w:val="24"/>
                <w:highlight w:val="none"/>
                <w:lang w:val="en-US" w:eastAsia="zh-CN"/>
              </w:rPr>
              <w:t>项目处置措施可行，对区域土壤环境质量不会造成明显的不利影响</w:t>
            </w:r>
            <w:r>
              <w:rPr>
                <w:rFonts w:hint="eastAsia" w:ascii="Times New Roman" w:hAnsi="Times New Roman" w:eastAsia="宋体" w:cs="Times New Roman"/>
                <w:sz w:val="24"/>
                <w:szCs w:val="24"/>
                <w:lang w:val="en-US" w:eastAsia="zh-CN"/>
              </w:rPr>
              <w:t>。</w:t>
            </w:r>
          </w:p>
          <w:p>
            <w:pPr>
              <w:numPr>
                <w:ilvl w:val="0"/>
                <w:numId w:val="10"/>
              </w:numPr>
              <w:spacing w:line="360" w:lineRule="auto"/>
              <w:ind w:firstLine="482" w:firstLineChars="200"/>
              <w:rPr>
                <w:rFonts w:hint="default" w:ascii="Times New Roman" w:hAnsi="Times New Roman" w:cs="Times New Roman"/>
                <w:b/>
                <w:bCs/>
                <w:color w:val="auto"/>
                <w:sz w:val="24"/>
                <w:shd w:val="clear" w:color="auto" w:fill="FFFFFF"/>
              </w:rPr>
            </w:pPr>
            <w:r>
              <w:rPr>
                <w:rFonts w:hint="default" w:ascii="Times New Roman" w:hAnsi="Times New Roman" w:cs="Times New Roman"/>
                <w:b/>
                <w:bCs/>
                <w:color w:val="auto"/>
                <w:sz w:val="24"/>
                <w:shd w:val="clear" w:color="auto" w:fill="FFFFFF"/>
                <w:lang w:val="en-US" w:eastAsia="zh-CN"/>
              </w:rPr>
              <w:t>生态</w:t>
            </w:r>
          </w:p>
          <w:p>
            <w:pPr>
              <w:pStyle w:val="14"/>
              <w:adjustRightInd w:val="0"/>
              <w:snapToGrid w:val="0"/>
              <w:spacing w:line="360" w:lineRule="auto"/>
              <w:ind w:firstLine="480" w:firstLineChars="200"/>
              <w:rPr>
                <w:rFonts w:ascii="Times New Roman" w:hAnsi="Times New Roman" w:eastAsia="宋体" w:cs="Times New Roman"/>
                <w:color w:val="333333"/>
                <w:sz w:val="24"/>
                <w:shd w:val="clear" w:color="auto" w:fill="FFFFFF"/>
              </w:rPr>
            </w:pPr>
            <w:r>
              <w:rPr>
                <w:rFonts w:hint="eastAsia" w:ascii="Times New Roman" w:hAnsi="Times New Roman" w:cs="Times New Roman"/>
                <w:color w:val="auto"/>
                <w:sz w:val="24"/>
                <w:lang w:val="en-US" w:eastAsia="zh-CN"/>
              </w:rPr>
              <w:t>本项目位于承德富龙现代农业发展有限公司内部，不涉及生态环境保护目标。</w:t>
            </w:r>
          </w:p>
        </w:tc>
      </w:tr>
    </w:tbl>
    <w:p>
      <w:pPr>
        <w:spacing w:line="360" w:lineRule="auto"/>
        <w:rPr>
          <w:rFonts w:ascii="宋体" w:hAnsi="Times New Roman" w:eastAsia="宋体" w:cs="宋体"/>
          <w:b/>
          <w:sz w:val="28"/>
          <w:szCs w:val="28"/>
          <w:lang w:bidi="ar"/>
        </w:rPr>
        <w:sectPr>
          <w:pgSz w:w="11915" w:h="16840"/>
          <w:pgMar w:top="1702" w:right="1531" w:bottom="2127" w:left="1531" w:header="851" w:footer="851" w:gutter="0"/>
          <w:cols w:space="425" w:num="1"/>
          <w:docGrid w:type="lines" w:linePitch="312" w:charSpace="0"/>
        </w:sectPr>
      </w:pPr>
    </w:p>
    <w:p>
      <w:pPr>
        <w:pStyle w:val="19"/>
        <w:spacing w:beforeAutospacing="0" w:afterAutospacing="0" w:line="360" w:lineRule="auto"/>
        <w:jc w:val="center"/>
        <w:outlineLvl w:val="0"/>
        <w:rPr>
          <w:rFonts w:hint="default" w:ascii="黑体" w:eastAsia="黑体" w:cs="黑体"/>
          <w:snapToGrid w:val="0"/>
          <w:sz w:val="30"/>
          <w:szCs w:val="30"/>
        </w:rPr>
      </w:pPr>
      <w:r>
        <w:rPr>
          <w:rFonts w:ascii="黑体" w:eastAsia="黑体" w:cs="黑体"/>
          <w:snapToGrid w:val="0"/>
          <w:sz w:val="30"/>
          <w:szCs w:val="30"/>
        </w:rPr>
        <w:t>五、</w:t>
      </w:r>
      <w:bookmarkStart w:id="2" w:name="_Hlk54167917"/>
      <w:r>
        <w:rPr>
          <w:rFonts w:ascii="黑体" w:eastAsia="黑体" w:cs="黑体"/>
          <w:snapToGrid w:val="0"/>
          <w:sz w:val="30"/>
          <w:szCs w:val="30"/>
        </w:rPr>
        <w:t>环境保护措施监督检查清单</w:t>
      </w:r>
      <w:bookmarkEnd w:id="2"/>
    </w:p>
    <w:tbl>
      <w:tblPr>
        <w:tblStyle w:val="24"/>
        <w:tblW w:w="91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605"/>
        <w:gridCol w:w="1650"/>
        <w:gridCol w:w="2220"/>
        <w:gridCol w:w="21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9" w:type="dxa"/>
            <w:tcBorders>
              <w:top w:val="single" w:color="auto" w:sz="8" w:space="0"/>
              <w:left w:val="single" w:color="auto" w:sz="8" w:space="0"/>
              <w:bottom w:val="single" w:color="auto" w:sz="4" w:space="0"/>
              <w:right w:val="single" w:color="auto" w:sz="4" w:space="0"/>
              <w:tl2br w:val="single" w:color="auto" w:sz="4" w:space="0"/>
            </w:tcBorders>
            <w:shd w:val="clear" w:color="auto" w:fill="auto"/>
          </w:tcPr>
          <w:p>
            <w:pPr>
              <w:adjustRightInd w:val="0"/>
              <w:snapToGrid w:val="0"/>
              <w:spacing w:line="240" w:lineRule="atLeast"/>
              <w:ind w:firstLine="630" w:firstLineChars="300"/>
              <w:rPr>
                <w:rFonts w:ascii="Times New Roman" w:hAnsi="Times New Roman" w:eastAsia="宋体" w:cs="Times New Roman"/>
                <w:szCs w:val="21"/>
              </w:rPr>
            </w:pPr>
            <w:r>
              <w:rPr>
                <w:rFonts w:ascii="Times New Roman" w:hAnsi="Times New Roman" w:eastAsia="宋体" w:cs="Times New Roman"/>
                <w:szCs w:val="21"/>
                <w:lang w:bidi="ar"/>
              </w:rPr>
              <w:t>内容</w:t>
            </w:r>
          </w:p>
          <w:p>
            <w:pPr>
              <w:adjustRightInd w:val="0"/>
              <w:snapToGrid w:val="0"/>
              <w:spacing w:line="240" w:lineRule="atLeast"/>
              <w:rPr>
                <w:rFonts w:ascii="Times New Roman" w:hAnsi="Times New Roman" w:eastAsia="宋体" w:cs="Times New Roman"/>
                <w:szCs w:val="21"/>
              </w:rPr>
            </w:pPr>
            <w:r>
              <w:rPr>
                <w:rFonts w:ascii="Times New Roman" w:hAnsi="Times New Roman" w:eastAsia="宋体" w:cs="Times New Roman"/>
                <w:szCs w:val="21"/>
                <w:lang w:bidi="ar"/>
              </w:rPr>
              <w:t>要素</w:t>
            </w:r>
          </w:p>
        </w:tc>
        <w:tc>
          <w:tcPr>
            <w:tcW w:w="1605"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排放口(编号、名称)/污染源</w:t>
            </w:r>
          </w:p>
        </w:tc>
        <w:tc>
          <w:tcPr>
            <w:tcW w:w="1650"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污染物项目</w:t>
            </w:r>
          </w:p>
        </w:tc>
        <w:tc>
          <w:tcPr>
            <w:tcW w:w="2220"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环境保护措施</w:t>
            </w:r>
          </w:p>
        </w:tc>
        <w:tc>
          <w:tcPr>
            <w:tcW w:w="2195"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大气环境</w:t>
            </w:r>
          </w:p>
        </w:tc>
        <w:tc>
          <w:tcPr>
            <w:tcW w:w="1605"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40t/h循环流化床燃煤锅炉废气</w:t>
            </w:r>
          </w:p>
          <w:p>
            <w:pPr>
              <w:adjustRightInd w:val="0"/>
              <w:snapToGrid w:val="0"/>
              <w:spacing w:line="240" w:lineRule="atLeast"/>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w:t>
            </w:r>
            <w:r>
              <w:rPr>
                <w:rFonts w:hint="eastAsia" w:ascii="Times New Roman" w:hAnsi="Times New Roman" w:cs="Times New Roman"/>
                <w:bCs/>
                <w:szCs w:val="21"/>
              </w:rPr>
              <w:t>DA001</w:t>
            </w:r>
            <w:r>
              <w:rPr>
                <w:rFonts w:hint="eastAsia" w:ascii="Times New Roman" w:hAnsi="Times New Roman" w:cs="Times New Roman"/>
                <w:bCs/>
                <w:szCs w:val="21"/>
                <w:lang w:eastAsia="zh-CN"/>
              </w:rPr>
              <w:t>）</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颗粒物</w:t>
            </w:r>
          </w:p>
        </w:tc>
        <w:tc>
          <w:tcPr>
            <w:tcW w:w="2220"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r>
              <w:rPr>
                <w:rFonts w:hint="eastAsia" w:ascii="Times New Roman" w:hAnsi="Times New Roman" w:cs="Times New Roman"/>
                <w:szCs w:val="21"/>
                <w:lang w:val="en-US" w:eastAsia="zh-CN"/>
              </w:rPr>
              <w:t>经布袋除尘器+脱硫塔+PNCR高分子炉内脱硝后经1根45m高排气筒（DA001）排放，并增加烟气自动在线监测设备。</w:t>
            </w:r>
          </w:p>
        </w:tc>
        <w:tc>
          <w:tcPr>
            <w:tcW w:w="2195" w:type="dxa"/>
            <w:vMerge w:val="restart"/>
            <w:tcBorders>
              <w:top w:val="single" w:color="auto" w:sz="4" w:space="0"/>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r>
              <w:rPr>
                <w:rFonts w:hint="default" w:ascii="Times New Roman" w:hAnsi="Times New Roman" w:eastAsia="宋体" w:cs="Times New Roman"/>
                <w:szCs w:val="21"/>
                <w:lang w:val="en-US" w:eastAsia="zh-CN"/>
              </w:rPr>
              <w:t>《锅炉大气污染物排放标准》（DB 13/ 5161—2020）中表1大气污染物排放限值的要求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p>
        </w:tc>
        <w:tc>
          <w:tcPr>
            <w:tcW w:w="2220" w:type="dxa"/>
            <w:vMerge w:val="continue"/>
            <w:tcBorders>
              <w:left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p>
        </w:tc>
        <w:tc>
          <w:tcPr>
            <w:tcW w:w="2195" w:type="dxa"/>
            <w:vMerge w:val="continue"/>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2220" w:type="dxa"/>
            <w:vMerge w:val="continue"/>
            <w:tcBorders>
              <w:left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p>
        </w:tc>
        <w:tc>
          <w:tcPr>
            <w:tcW w:w="2195" w:type="dxa"/>
            <w:vMerge w:val="continue"/>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 xml:space="preserve">汞及其化合物（以Hg计） </w:t>
            </w:r>
          </w:p>
        </w:tc>
        <w:tc>
          <w:tcPr>
            <w:tcW w:w="2220" w:type="dxa"/>
            <w:vMerge w:val="continue"/>
            <w:tcBorders>
              <w:left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p>
        </w:tc>
        <w:tc>
          <w:tcPr>
            <w:tcW w:w="2195" w:type="dxa"/>
            <w:vMerge w:val="continue"/>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烟气黑度</w:t>
            </w:r>
          </w:p>
        </w:tc>
        <w:tc>
          <w:tcPr>
            <w:tcW w:w="2220" w:type="dxa"/>
            <w:vMerge w:val="continue"/>
            <w:tcBorders>
              <w:left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p>
        </w:tc>
        <w:tc>
          <w:tcPr>
            <w:tcW w:w="2195" w:type="dxa"/>
            <w:vMerge w:val="continue"/>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szCs w:val="21"/>
              </w:rPr>
            </w:pPr>
            <w:r>
              <w:rPr>
                <w:rFonts w:hint="eastAsia" w:ascii="Times New Roman" w:hAnsi="Times New Roman" w:cs="Times New Roman"/>
                <w:szCs w:val="21"/>
                <w:lang w:val="en-US" w:eastAsia="zh-CN"/>
              </w:rPr>
              <w:t>锅炉制煤系统上料、破碎废气（DA002）</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hint="eastAsia" w:ascii="Times New Roman" w:hAnsi="Times New Roman" w:eastAsia="宋体" w:cs="Times New Roman"/>
                <w:kern w:val="0"/>
                <w:szCs w:val="21"/>
              </w:rPr>
            </w:pPr>
            <w:r>
              <w:rPr>
                <w:rFonts w:ascii="Times New Roman" w:hAnsi="Times New Roman" w:eastAsia="宋体" w:cs="Times New Roman"/>
                <w:szCs w:val="21"/>
              </w:rPr>
              <w:t>颗粒物</w:t>
            </w:r>
          </w:p>
        </w:tc>
        <w:tc>
          <w:tcPr>
            <w:tcW w:w="2220" w:type="dxa"/>
            <w:tcBorders>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r>
              <w:rPr>
                <w:rFonts w:hint="eastAsia" w:ascii="Times New Roman" w:hAnsi="Times New Roman" w:cs="Times New Roman"/>
                <w:szCs w:val="21"/>
                <w:lang w:val="en-US" w:eastAsia="zh-CN"/>
              </w:rPr>
              <w:t>锅炉制煤系统上料、破碎废气经集气装置收集后经1套脉冲布袋除尘器处理，处理后的废气经1根15m高排气筒（DA002）排放</w:t>
            </w:r>
          </w:p>
        </w:tc>
        <w:tc>
          <w:tcPr>
            <w:tcW w:w="2195" w:type="dxa"/>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r>
              <w:rPr>
                <w:rFonts w:hint="default" w:ascii="Times New Roman" w:hAnsi="Times New Roman" w:eastAsia="宋体" w:cs="Times New Roman"/>
                <w:szCs w:val="21"/>
                <w:lang w:val="en-US"/>
              </w:rPr>
              <w:t>《大气污染物综合排放标准》（GB16297-1996）表2</w:t>
            </w:r>
            <w:r>
              <w:rPr>
                <w:rFonts w:hint="default" w:ascii="Times New Roman" w:hAnsi="Times New Roman" w:eastAsia="宋体" w:cs="Times New Roman"/>
                <w:szCs w:val="21"/>
                <w:lang w:val="en-US" w:eastAsia="zh-CN"/>
              </w:rPr>
              <w:t>中相关限值</w:t>
            </w:r>
            <w:r>
              <w:rPr>
                <w:rFonts w:hint="default" w:ascii="Times New Roman" w:hAnsi="Times New Roman" w:eastAsia="宋体" w:cs="Times New Roman"/>
                <w:szCs w:val="21"/>
                <w:lang w:val="en-US"/>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restart"/>
            <w:tcBorders>
              <w:left w:val="single" w:color="auto" w:sz="4" w:space="0"/>
              <w:right w:val="single" w:color="auto" w:sz="4"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20t/h生物质锅炉废气（DA001）</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颗粒物</w:t>
            </w:r>
          </w:p>
        </w:tc>
        <w:tc>
          <w:tcPr>
            <w:tcW w:w="2220" w:type="dxa"/>
            <w:vMerge w:val="restart"/>
            <w:tcBorders>
              <w:left w:val="single" w:color="auto" w:sz="4" w:space="0"/>
              <w:right w:val="single" w:color="auto" w:sz="4" w:space="0"/>
            </w:tcBorders>
            <w:shd w:val="clear" w:color="auto" w:fill="auto"/>
            <w:vAlign w:val="center"/>
          </w:tcPr>
          <w:p>
            <w:pPr>
              <w:widowControl/>
              <w:snapToGrid w:val="0"/>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20t/h生物质锅炉废气经布袋除尘+低氮燃烧技术后经1根45m高排气筒（DA001）排放</w:t>
            </w:r>
          </w:p>
        </w:tc>
        <w:tc>
          <w:tcPr>
            <w:tcW w:w="2195" w:type="dxa"/>
            <w:vMerge w:val="restart"/>
            <w:tcBorders>
              <w:left w:val="single" w:color="auto" w:sz="4" w:space="0"/>
              <w:right w:val="single" w:color="auto" w:sz="8" w:space="0"/>
            </w:tcBorders>
            <w:shd w:val="clear" w:color="auto" w:fill="auto"/>
            <w:vAlign w:val="center"/>
          </w:tcPr>
          <w:p>
            <w:pPr>
              <w:spacing w:line="240" w:lineRule="atLeast"/>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eastAsia="zh-CN"/>
              </w:rPr>
              <w:t>《锅炉大气污染物排放标准》(DB13/5161—2020)中表1大气污染物排放相关限值要求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79" w:type="dxa"/>
            <w:vMerge w:val="continue"/>
            <w:tcBorders>
              <w:left w:val="single" w:color="auto" w:sz="8" w:space="0"/>
              <w:right w:val="single" w:color="auto" w:sz="4" w:space="0"/>
            </w:tcBorders>
            <w:shd w:val="clear" w:color="auto" w:fill="auto"/>
            <w:vAlign w:val="center"/>
          </w:tcPr>
          <w:p>
            <w:pPr>
              <w:topLinePunct/>
              <w:adjustRightInd w:val="0"/>
              <w:spacing w:line="260" w:lineRule="exact"/>
              <w:jc w:val="center"/>
              <w:textAlignment w:val="center"/>
            </w:pPr>
          </w:p>
        </w:tc>
        <w:tc>
          <w:tcPr>
            <w:tcW w:w="1605" w:type="dxa"/>
            <w:vMerge w:val="continue"/>
            <w:tcBorders>
              <w:left w:val="single" w:color="auto" w:sz="4" w:space="0"/>
              <w:right w:val="single" w:color="auto" w:sz="4" w:space="0"/>
            </w:tcBorders>
            <w:shd w:val="clear" w:color="auto" w:fill="auto"/>
            <w:vAlign w:val="center"/>
          </w:tcPr>
          <w:p>
            <w:pPr>
              <w:topLinePunct/>
              <w:adjustRightInd w:val="0"/>
              <w:spacing w:line="260" w:lineRule="exact"/>
              <w:jc w:val="center"/>
              <w:textAlignment w:val="cente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p>
        </w:tc>
        <w:tc>
          <w:tcPr>
            <w:tcW w:w="2220" w:type="dxa"/>
            <w:vMerge w:val="continue"/>
            <w:tcBorders>
              <w:left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2195" w:type="dxa"/>
            <w:vMerge w:val="continue"/>
            <w:tcBorders>
              <w:left w:val="single" w:color="auto" w:sz="4" w:space="0"/>
              <w:right w:val="single" w:color="auto" w:sz="8"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79" w:type="dxa"/>
            <w:vMerge w:val="continue"/>
            <w:tcBorders>
              <w:left w:val="single" w:color="auto" w:sz="8"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1605" w:type="dxa"/>
            <w:vMerge w:val="continue"/>
            <w:tcBorders>
              <w:left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2220" w:type="dxa"/>
            <w:vMerge w:val="continue"/>
            <w:tcBorders>
              <w:left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2195" w:type="dxa"/>
            <w:vMerge w:val="continue"/>
            <w:tcBorders>
              <w:left w:val="single" w:color="auto" w:sz="4" w:space="0"/>
              <w:right w:val="single" w:color="auto" w:sz="8"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79" w:type="dxa"/>
            <w:vMerge w:val="continue"/>
            <w:tcBorders>
              <w:left w:val="single" w:color="auto" w:sz="8"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1605" w:type="dxa"/>
            <w:vMerge w:val="continue"/>
            <w:tcBorders>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烟气黑度</w:t>
            </w:r>
          </w:p>
        </w:tc>
        <w:tc>
          <w:tcPr>
            <w:tcW w:w="2220" w:type="dxa"/>
            <w:vMerge w:val="continue"/>
            <w:tcBorders>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2195" w:type="dxa"/>
            <w:vMerge w:val="continue"/>
            <w:tcBorders>
              <w:left w:val="single" w:color="auto" w:sz="4" w:space="0"/>
              <w:right w:val="single" w:color="auto" w:sz="8"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锅炉除尘灰废气（DA004）排放</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220" w:type="dxa"/>
            <w:tcBorders>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锅炉除尘灰由灰仓仓顶自带低压脉冲袋式除尘器处理，处理后的废气经1根15m高排气筒（DA004）排放</w:t>
            </w:r>
          </w:p>
        </w:tc>
        <w:tc>
          <w:tcPr>
            <w:tcW w:w="2195" w:type="dxa"/>
            <w:tcBorders>
              <w:left w:val="single" w:color="auto" w:sz="4" w:space="0"/>
              <w:right w:val="single" w:color="auto" w:sz="8" w:space="0"/>
            </w:tcBorders>
            <w:shd w:val="clear" w:color="auto" w:fill="auto"/>
            <w:vAlign w:val="center"/>
          </w:tcPr>
          <w:p>
            <w:pPr>
              <w:spacing w:line="240" w:lineRule="atLeast"/>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rPr>
              <w:t>《大气污染物综合排放标准》（GB16297-1996）表2</w:t>
            </w:r>
            <w:r>
              <w:rPr>
                <w:rFonts w:hint="default" w:ascii="Times New Roman" w:hAnsi="Times New Roman" w:eastAsia="宋体" w:cs="Times New Roman"/>
                <w:szCs w:val="21"/>
                <w:lang w:val="en-US" w:eastAsia="zh-CN"/>
              </w:rPr>
              <w:t>中相关限值</w:t>
            </w:r>
            <w:r>
              <w:rPr>
                <w:rFonts w:hint="default" w:ascii="Times New Roman" w:hAnsi="Times New Roman" w:eastAsia="宋体" w:cs="Times New Roman"/>
                <w:szCs w:val="21"/>
                <w:lang w:val="en-US"/>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破碎楼、渣库、煤棚</w:t>
            </w:r>
            <w:r>
              <w:rPr>
                <w:rFonts w:hint="default" w:ascii="Times New Roman" w:hAnsi="Times New Roman" w:eastAsia="宋体" w:cs="Times New Roman"/>
                <w:color w:val="auto"/>
                <w:kern w:val="2"/>
                <w:sz w:val="21"/>
                <w:szCs w:val="21"/>
                <w:vertAlign w:val="baseline"/>
                <w:lang w:val="en-US" w:eastAsia="zh-CN" w:bidi="ar-SA"/>
              </w:rPr>
              <w:t>粉尘</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220" w:type="dxa"/>
            <w:tcBorders>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r>
              <w:rPr>
                <w:rFonts w:hint="eastAsia" w:ascii="Times New Roman" w:hAnsi="Times New Roman" w:cs="Times New Roman"/>
                <w:szCs w:val="21"/>
                <w:lang w:val="en-US" w:eastAsia="zh-CN"/>
              </w:rPr>
              <w:t>车间为封闭车间，车间内每日定期打扫，洒水降尘</w:t>
            </w:r>
          </w:p>
        </w:tc>
        <w:tc>
          <w:tcPr>
            <w:tcW w:w="2195" w:type="dxa"/>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《大气污染物综合排放标准》（GB16297-1996）表2中无组织排放监控限值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479" w:type="dxa"/>
            <w:vMerge w:val="restart"/>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地表水环境</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反渗透纯水制备废水</w:t>
            </w:r>
          </w:p>
        </w:tc>
        <w:tc>
          <w:tcPr>
            <w:tcW w:w="1650"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pH 值、化学需氧量、溶解性总固体（全盐量）</w:t>
            </w:r>
          </w:p>
        </w:tc>
        <w:tc>
          <w:tcPr>
            <w:tcW w:w="2220"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反渗透纯水制备废水作为脱硫系统用水，锅炉定期排水用于厂区洒水降尘</w:t>
            </w:r>
          </w:p>
        </w:tc>
        <w:tc>
          <w:tcPr>
            <w:tcW w:w="2195" w:type="dxa"/>
            <w:vMerge w:val="restart"/>
            <w:tcBorders>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《城市污水再生利用—城市杂用水水质》（GB/T18920-2020）中道路清扫水质标准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eastAsia" w:ascii="Times New Roman" w:hAnsi="Times New Roman" w:eastAsia="宋体" w:cs="Times New Roman"/>
                <w:szCs w:val="21"/>
                <w:lang w:bidi="ar"/>
              </w:rPr>
            </w:pP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锅炉排水</w:t>
            </w:r>
          </w:p>
        </w:tc>
        <w:tc>
          <w:tcPr>
            <w:tcW w:w="165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szCs w:val="21"/>
                <w:lang w:val="en-US" w:eastAsia="zh-CN"/>
              </w:rPr>
            </w:pPr>
          </w:p>
        </w:tc>
        <w:tc>
          <w:tcPr>
            <w:tcW w:w="222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p>
        </w:tc>
        <w:tc>
          <w:tcPr>
            <w:tcW w:w="2195" w:type="dxa"/>
            <w:vMerge w:val="continue"/>
            <w:tcBorders>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9"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声环境</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生产设备</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A声级</w:t>
            </w:r>
          </w:p>
        </w:tc>
        <w:tc>
          <w:tcPr>
            <w:tcW w:w="222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hint="default" w:ascii="Times New Roman" w:hAnsi="Times New Roman" w:eastAsia="宋体" w:cs="Times New Roman"/>
                <w:szCs w:val="21"/>
                <w:lang w:val="en-US" w:eastAsia="zh-CN"/>
              </w:rPr>
              <w:t>本项目</w:t>
            </w:r>
            <w:r>
              <w:rPr>
                <w:rFonts w:hint="eastAsia" w:ascii="Times New Roman" w:hAnsi="Times New Roman" w:eastAsia="宋体" w:cs="Times New Roman"/>
                <w:szCs w:val="21"/>
                <w:lang w:val="en-US" w:eastAsia="zh-CN"/>
              </w:rPr>
              <w:t>设备</w:t>
            </w:r>
            <w:r>
              <w:rPr>
                <w:rFonts w:hint="default" w:ascii="Times New Roman" w:hAnsi="Times New Roman" w:eastAsia="宋体" w:cs="Times New Roman"/>
                <w:szCs w:val="21"/>
                <w:lang w:val="en-US" w:eastAsia="zh-CN"/>
              </w:rPr>
              <w:t>选用低产噪设备</w:t>
            </w:r>
            <w:r>
              <w:rPr>
                <w:rFonts w:hint="eastAsia" w:ascii="Times New Roman" w:hAnsi="Times New Roman" w:eastAsia="宋体" w:cs="Times New Roman"/>
                <w:szCs w:val="21"/>
                <w:lang w:val="en-US" w:eastAsia="zh-CN"/>
              </w:rPr>
              <w:t>，并且位于</w:t>
            </w:r>
            <w:r>
              <w:rPr>
                <w:rFonts w:hint="default" w:ascii="Times New Roman" w:hAnsi="Times New Roman" w:eastAsia="宋体" w:cs="Times New Roman"/>
                <w:szCs w:val="21"/>
                <w:lang w:val="en-US" w:eastAsia="zh-CN"/>
              </w:rPr>
              <w:t>封闭</w:t>
            </w:r>
            <w:r>
              <w:rPr>
                <w:rFonts w:hint="eastAsia" w:ascii="Times New Roman" w:hAnsi="Times New Roman" w:eastAsia="宋体" w:cs="Times New Roman"/>
                <w:szCs w:val="21"/>
                <w:lang w:val="en-US" w:eastAsia="zh-CN"/>
              </w:rPr>
              <w:t>的车间内</w:t>
            </w:r>
            <w:r>
              <w:rPr>
                <w:rFonts w:hint="default" w:ascii="Times New Roman" w:hAnsi="Times New Roman" w:eastAsia="宋体" w:cs="Times New Roman"/>
                <w:szCs w:val="21"/>
                <w:lang w:val="en-US" w:eastAsia="zh-CN"/>
              </w:rPr>
              <w:t>、设备基础减振、合理布局等措施；车辆减速慢行，禁止鸣笛</w:t>
            </w:r>
          </w:p>
        </w:tc>
        <w:tc>
          <w:tcPr>
            <w:tcW w:w="2195"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cs="Times New Roman"/>
                <w:szCs w:val="21"/>
              </w:rPr>
              <w:t>《工业企业厂界环境噪声排放标准》（GB12348-2008）中</w:t>
            </w:r>
            <w:r>
              <w:rPr>
                <w:rFonts w:hint="eastAsia" w:ascii="Times New Roman" w:hAnsi="Times New Roman" w:cs="Times New Roman"/>
                <w:szCs w:val="21"/>
              </w:rPr>
              <w:t>2类</w:t>
            </w:r>
            <w:r>
              <w:rPr>
                <w:rFonts w:ascii="Times New Roman" w:hAnsi="Times New Roman" w:cs="Times New Roman"/>
                <w:szCs w:val="21"/>
              </w:rPr>
              <w:t>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79"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固体废物</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szCs w:val="21"/>
              </w:rPr>
              <w:t>锅炉炉膛</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cs="Times New Roman"/>
                <w:szCs w:val="21"/>
              </w:rPr>
              <w:t>炉渣</w:t>
            </w:r>
          </w:p>
        </w:tc>
        <w:tc>
          <w:tcPr>
            <w:tcW w:w="2220" w:type="dxa"/>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集中收集后</w:t>
            </w:r>
            <w:r>
              <w:rPr>
                <w:rFonts w:hint="eastAsia" w:ascii="Times New Roman" w:hAnsi="Times New Roman" w:eastAsia="宋体" w:cs="Times New Roman"/>
                <w:color w:val="000000" w:themeColor="text1"/>
                <w:szCs w:val="21"/>
                <w:lang w:val="en-US" w:eastAsia="zh-CN"/>
                <w14:textFill>
                  <w14:solidFill>
                    <w14:schemeClr w14:val="tx1"/>
                  </w14:solidFill>
                </w14:textFill>
              </w:rPr>
              <w:t>外售</w:t>
            </w:r>
          </w:p>
        </w:tc>
        <w:tc>
          <w:tcPr>
            <w:tcW w:w="2195" w:type="dxa"/>
            <w:vMerge w:val="restart"/>
            <w:tcBorders>
              <w:top w:val="single" w:color="auto" w:sz="4" w:space="0"/>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zCs w:val="21"/>
                <w:lang w:eastAsia="zh-CN"/>
              </w:rPr>
              <w:t>锅炉</w:t>
            </w:r>
            <w:r>
              <w:rPr>
                <w:rFonts w:hint="eastAsia" w:ascii="Times New Roman" w:hAnsi="Times New Roman" w:eastAsia="宋体" w:cs="Times New Roman"/>
                <w:szCs w:val="21"/>
              </w:rPr>
              <w:t>除尘器</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cs="Times New Roman"/>
                <w:color w:val="000000" w:themeColor="text1"/>
                <w:szCs w:val="21"/>
                <w:lang w:eastAsia="zh-CN"/>
                <w14:textFill>
                  <w14:solidFill>
                    <w14:schemeClr w14:val="tx1"/>
                  </w14:solidFill>
                </w14:textFill>
              </w:rPr>
              <w:t>锅炉</w:t>
            </w:r>
            <w:r>
              <w:rPr>
                <w:rFonts w:hint="eastAsia" w:ascii="Times New Roman" w:hAnsi="Times New Roman" w:cs="Times New Roman"/>
                <w:color w:val="000000" w:themeColor="text1"/>
                <w:szCs w:val="21"/>
                <w14:textFill>
                  <w14:solidFill>
                    <w14:schemeClr w14:val="tx1"/>
                  </w14:solidFill>
                </w14:textFill>
              </w:rPr>
              <w:t>除尘灰</w:t>
            </w:r>
          </w:p>
        </w:tc>
        <w:tc>
          <w:tcPr>
            <w:tcW w:w="2220"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color w:val="000000" w:themeColor="text1"/>
                <w:szCs w:val="21"/>
                <w14:textFill>
                  <w14:solidFill>
                    <w14:schemeClr w14:val="tx1"/>
                  </w14:solidFill>
                </w14:textFill>
              </w:rPr>
            </w:pPr>
          </w:p>
        </w:tc>
        <w:tc>
          <w:tcPr>
            <w:tcW w:w="2195" w:type="dxa"/>
            <w:vMerge w:val="continue"/>
            <w:tcBorders>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原煤破碎脉冲除尘器</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z w:val="21"/>
                <w:szCs w:val="21"/>
                <w:highlight w:val="none"/>
                <w:vertAlign w:val="baseline"/>
                <w:lang w:val="en-US" w:eastAsia="zh-CN" w:bidi="ar-SA"/>
                <w14:textFill>
                  <w14:solidFill>
                    <w14:schemeClr w14:val="tx1"/>
                  </w14:solidFill>
                </w14:textFill>
              </w:rPr>
              <w:t>除尘灰</w:t>
            </w:r>
          </w:p>
        </w:tc>
        <w:tc>
          <w:tcPr>
            <w:tcW w:w="2220" w:type="dxa"/>
            <w:tcBorders>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收集后作为燃料回用</w:t>
            </w:r>
          </w:p>
        </w:tc>
        <w:tc>
          <w:tcPr>
            <w:tcW w:w="2195" w:type="dxa"/>
            <w:tcBorders>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脱硫塔</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固形物MgSO</w:t>
            </w:r>
            <w:r>
              <w:rPr>
                <w:rFonts w:hint="eastAsia" w:ascii="Times New Roman" w:hAnsi="Times New Roman" w:cs="Times New Roman"/>
                <w:szCs w:val="21"/>
                <w:vertAlign w:val="subscript"/>
                <w:lang w:val="en-US" w:eastAsia="zh-CN"/>
              </w:rPr>
              <w:t>4</w:t>
            </w:r>
          </w:p>
        </w:tc>
        <w:tc>
          <w:tcPr>
            <w:tcW w:w="2220" w:type="dxa"/>
            <w:tcBorders>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集中收集后</w:t>
            </w:r>
            <w:r>
              <w:rPr>
                <w:rFonts w:hint="eastAsia" w:ascii="Times New Roman" w:hAnsi="Times New Roman" w:eastAsia="宋体" w:cs="Times New Roman"/>
                <w:color w:val="000000" w:themeColor="text1"/>
                <w:szCs w:val="21"/>
                <w:lang w:val="en-US" w:eastAsia="zh-CN"/>
                <w14:textFill>
                  <w14:solidFill>
                    <w14:schemeClr w14:val="tx1"/>
                  </w14:solidFill>
                </w14:textFill>
              </w:rPr>
              <w:t>外售</w:t>
            </w:r>
          </w:p>
        </w:tc>
        <w:tc>
          <w:tcPr>
            <w:tcW w:w="2195" w:type="dxa"/>
            <w:tcBorders>
              <w:left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软水制备</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olor w:val="auto"/>
                <w:sz w:val="21"/>
                <w:szCs w:val="21"/>
                <w:highlight w:val="none"/>
                <w:lang w:val="en-US" w:eastAsia="zh-CN"/>
              </w:rPr>
              <w:t>废反渗透膜</w:t>
            </w:r>
          </w:p>
        </w:tc>
        <w:tc>
          <w:tcPr>
            <w:tcW w:w="2220" w:type="dxa"/>
            <w:tcBorders>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由厂家回收</w:t>
            </w:r>
          </w:p>
        </w:tc>
        <w:tc>
          <w:tcPr>
            <w:tcW w:w="2195" w:type="dxa"/>
            <w:tcBorders>
              <w:left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restart"/>
            <w:tcBorders>
              <w:top w:val="single" w:color="auto" w:sz="4" w:space="0"/>
              <w:left w:val="single" w:color="auto" w:sz="4" w:space="0"/>
              <w:right w:val="single" w:color="auto" w:sz="4" w:space="0"/>
            </w:tcBorders>
            <w:shd w:val="clear" w:color="auto" w:fill="auto"/>
            <w:vAlign w:val="center"/>
          </w:tcPr>
          <w:p>
            <w:pPr>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lang w:eastAsia="zh-CN"/>
              </w:rPr>
              <w:t>设备维修</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废润滑油</w:t>
            </w:r>
          </w:p>
        </w:tc>
        <w:tc>
          <w:tcPr>
            <w:tcW w:w="2220" w:type="dxa"/>
            <w:vMerge w:val="restart"/>
            <w:tcBorders>
              <w:left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集中收集至危废间内，定期交由有资质单位处置</w:t>
            </w:r>
          </w:p>
        </w:tc>
        <w:tc>
          <w:tcPr>
            <w:tcW w:w="2195" w:type="dxa"/>
            <w:vMerge w:val="restart"/>
            <w:tcBorders>
              <w:left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continue"/>
            <w:tcBorders>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cs="Times New Roman" w:eastAsiaTheme="minorEastAsia"/>
                <w:kern w:val="2"/>
                <w:sz w:val="21"/>
                <w:szCs w:val="21"/>
                <w:lang w:val="en-US" w:eastAsia="zh-CN" w:bidi="ar-SA"/>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废油桶</w:t>
            </w:r>
          </w:p>
        </w:tc>
        <w:tc>
          <w:tcPr>
            <w:tcW w:w="2220"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p>
        </w:tc>
        <w:tc>
          <w:tcPr>
            <w:tcW w:w="2195" w:type="dxa"/>
            <w:vMerge w:val="continue"/>
            <w:tcBorders>
              <w:left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479" w:type="dxa"/>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土壤及地下水</w:t>
            </w:r>
          </w:p>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污染防治措施</w:t>
            </w:r>
          </w:p>
        </w:tc>
        <w:tc>
          <w:tcPr>
            <w:tcW w:w="767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cs="Times New Roman"/>
                <w:szCs w:val="21"/>
              </w:rPr>
            </w:pPr>
            <w:r>
              <w:rPr>
                <w:rFonts w:hint="eastAsia" w:ascii="Times New Roman" w:hAnsi="Times New Roman" w:cs="Times New Roman"/>
                <w:color w:val="auto"/>
                <w:sz w:val="21"/>
                <w:szCs w:val="21"/>
                <w:vertAlign w:val="baseline"/>
                <w:lang w:val="en-US" w:eastAsia="zh-CN"/>
              </w:rPr>
              <w:t>危险废物暂存间采取防渗，防渗系数≤1×10</w:t>
            </w:r>
            <w:r>
              <w:rPr>
                <w:rFonts w:hint="eastAsia" w:ascii="Times New Roman" w:hAnsi="Times New Roman" w:cs="Times New Roman"/>
                <w:color w:val="auto"/>
                <w:sz w:val="21"/>
                <w:szCs w:val="21"/>
                <w:vertAlign w:val="superscript"/>
                <w:lang w:val="en-US" w:eastAsia="zh-CN"/>
              </w:rPr>
              <w:t>-10</w:t>
            </w:r>
            <w:r>
              <w:rPr>
                <w:rFonts w:hint="eastAsia" w:ascii="Times New Roman" w:hAnsi="Times New Roman" w:cs="Times New Roman"/>
                <w:color w:val="auto"/>
                <w:sz w:val="21"/>
                <w:szCs w:val="21"/>
                <w:vertAlign w:val="baseline"/>
                <w:lang w:val="en-US" w:eastAsia="zh-CN"/>
              </w:rPr>
              <w:t>cm/s；脱硫系统内配套的沉淀池采取防渗，防渗系数≤1×10</w:t>
            </w:r>
            <w:r>
              <w:rPr>
                <w:rFonts w:hint="eastAsia" w:ascii="Times New Roman" w:hAnsi="Times New Roman" w:cs="Times New Roman"/>
                <w:color w:val="auto"/>
                <w:sz w:val="21"/>
                <w:szCs w:val="21"/>
                <w:vertAlign w:val="superscript"/>
                <w:lang w:val="en-US" w:eastAsia="zh-CN"/>
              </w:rPr>
              <w:t>-10</w:t>
            </w:r>
            <w:r>
              <w:rPr>
                <w:rFonts w:hint="eastAsia" w:ascii="Times New Roman" w:hAnsi="Times New Roman" w:cs="Times New Roman"/>
                <w:color w:val="auto"/>
                <w:sz w:val="21"/>
                <w:szCs w:val="21"/>
                <w:vertAlign w:val="baseline"/>
                <w:lang w:val="en-US" w:eastAsia="zh-CN"/>
              </w:rPr>
              <w:t>cm/s，垂直渗透对区域地下水质量和土壤环境质量影响较小；40t/h循环流化床燃煤锅炉废气经布袋除尘器+脱硫塔+PNCR高分子炉内脱硝后经1根45m高排气筒（DA001）排放，采取措施后颗粒物、二氧化硫、氮氧化物、汞及其化合物（以Hg计）自由沉降量较少，自由沉降对区域土壤环境质量影响较小，对区域土壤以及地下水环境质量不会造成明显的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479" w:type="dxa"/>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生态保护措施</w:t>
            </w:r>
          </w:p>
        </w:tc>
        <w:tc>
          <w:tcPr>
            <w:tcW w:w="767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479" w:type="dxa"/>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环境风险防范措施</w:t>
            </w:r>
          </w:p>
        </w:tc>
        <w:tc>
          <w:tcPr>
            <w:tcW w:w="767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color w:val="auto"/>
                <w:szCs w:val="21"/>
              </w:rPr>
              <w:t>加强危废管理，制定危险废物突发环境事件应急预案</w:t>
            </w:r>
            <w:r>
              <w:rPr>
                <w:rFonts w:hint="eastAsia" w:ascii="Times New Roman" w:hAnsi="Times New Roman" w:cs="Times New Roman"/>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其他环境管理要求</w:t>
            </w:r>
          </w:p>
        </w:tc>
        <w:tc>
          <w:tcPr>
            <w:tcW w:w="767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1、污染防治设施须与主体工程实现“三同时”，试运行后，建设单位应对项目配套建设的环境保护设施进行自主竣工验收。 </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2、根据《固定污染源排污许可分类管理名录》（2019 年版）规定，本项目属于排污许可</w:t>
            </w:r>
            <w:r>
              <w:rPr>
                <w:rFonts w:hint="eastAsia" w:cs="Times New Roman"/>
                <w:color w:val="auto"/>
                <w:kern w:val="0"/>
                <w:sz w:val="21"/>
                <w:szCs w:val="21"/>
                <w:lang w:val="en-US" w:eastAsia="zh-CN" w:bidi="ar"/>
              </w:rPr>
              <w:t>重点管理</w:t>
            </w:r>
            <w:r>
              <w:rPr>
                <w:rFonts w:hint="default" w:ascii="Times New Roman" w:hAnsi="Times New Roman" w:eastAsia="宋体" w:cs="Times New Roman"/>
                <w:color w:val="auto"/>
                <w:kern w:val="0"/>
                <w:sz w:val="21"/>
                <w:szCs w:val="21"/>
                <w:lang w:val="en-US" w:eastAsia="zh-CN" w:bidi="ar"/>
              </w:rPr>
              <w:t>，在竣工验收前应取得排污许可证。</w:t>
            </w:r>
          </w:p>
          <w:p>
            <w:pPr>
              <w:adjustRightInd w:val="0"/>
              <w:snapToGrid w:val="0"/>
              <w:spacing w:line="240" w:lineRule="atLeast"/>
              <w:jc w:val="both"/>
              <w:rPr>
                <w:rFonts w:hint="eastAsia" w:ascii="Times New Roman" w:hAnsi="Times New Roman" w:cs="Times New Roman" w:eastAsiaTheme="minorEastAsia"/>
                <w:szCs w:val="21"/>
                <w:lang w:val="en-US" w:eastAsia="zh-CN"/>
              </w:rPr>
            </w:pPr>
            <w:r>
              <w:rPr>
                <w:rFonts w:hint="default" w:ascii="Times New Roman" w:hAnsi="Times New Roman" w:eastAsia="宋体" w:cs="Times New Roman"/>
                <w:color w:val="auto"/>
                <w:kern w:val="0"/>
                <w:sz w:val="21"/>
                <w:szCs w:val="21"/>
                <w:lang w:val="en-US" w:eastAsia="zh-CN" w:bidi="ar"/>
              </w:rPr>
              <w:t>3、排污口标志牌应按照《危险废物识别标志设置技术规范》（HJ1276-2022）、《环境保护图形标志-固体废物贮存（处置）场》（GB15562.2-1995）等规范化设置，根据《固定污染源废气低浓度排放监测技术规范》（DB37-T-2706-2015）规范采样平台、采样口和爬梯。</w:t>
            </w:r>
          </w:p>
        </w:tc>
      </w:tr>
    </w:tbl>
    <w:p>
      <w:pPr>
        <w:pStyle w:val="19"/>
        <w:spacing w:beforeAutospacing="0" w:afterAutospacing="0" w:line="360" w:lineRule="auto"/>
        <w:jc w:val="center"/>
        <w:outlineLvl w:val="0"/>
        <w:rPr>
          <w:rFonts w:hint="default" w:ascii="黑体" w:eastAsia="黑体" w:cs="黑体"/>
          <w:sz w:val="30"/>
          <w:szCs w:val="30"/>
        </w:rPr>
      </w:pPr>
      <w:r>
        <w:rPr>
          <w:snapToGrid w:val="0"/>
          <w:lang w:bidi="ar"/>
        </w:rPr>
        <w:br w:type="page"/>
      </w:r>
      <w:r>
        <w:rPr>
          <w:rFonts w:ascii="黑体" w:eastAsia="黑体" w:cs="黑体"/>
          <w:snapToGrid w:val="0"/>
          <w:sz w:val="30"/>
          <w:szCs w:val="30"/>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vAlign w:val="center"/>
          </w:tcPr>
          <w:p>
            <w:pPr>
              <w:snapToGrid w:val="0"/>
              <w:spacing w:before="156" w:beforeLines="50" w:line="360" w:lineRule="auto"/>
              <w:rPr>
                <w:rFonts w:ascii="Times New Roman" w:hAnsi="Times New Roman" w:cs="Times New Roman"/>
                <w:b/>
                <w:bCs/>
                <w:sz w:val="24"/>
              </w:rPr>
            </w:pPr>
            <w:r>
              <w:rPr>
                <w:rFonts w:ascii="Times New Roman" w:hAnsi="Times New Roman" w:cs="Times New Roman"/>
                <w:b/>
                <w:bCs/>
                <w:sz w:val="24"/>
              </w:rPr>
              <w:t>结论：</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从环境保护的角度，</w:t>
            </w:r>
            <w:r>
              <w:rPr>
                <w:rFonts w:hint="eastAsia" w:ascii="Times New Roman" w:hAnsi="Times New Roman" w:cs="Times New Roman"/>
                <w:sz w:val="24"/>
              </w:rPr>
              <w:t>建设项目环境影响可行</w:t>
            </w:r>
            <w:r>
              <w:rPr>
                <w:rFonts w:ascii="Times New Roman" w:hAnsi="Times New Roman" w:cs="Times New Roman"/>
                <w:sz w:val="24"/>
              </w:rPr>
              <w:t>。</w:t>
            </w: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pacing w:line="360" w:lineRule="auto"/>
              <w:rPr>
                <w:rFonts w:ascii="Times New Roman" w:hAnsi="Times New Roman" w:eastAsia="宋体" w:cs="Times New Roman"/>
                <w:sz w:val="24"/>
              </w:rPr>
            </w:pPr>
          </w:p>
        </w:tc>
      </w:tr>
    </w:tbl>
    <w:p>
      <w:pPr>
        <w:rPr>
          <w:rFonts w:ascii="宋体" w:hAnsi="Times New Roman" w:eastAsia="宋体" w:cs="Times New Roman"/>
          <w:lang w:bidi="ar"/>
        </w:rPr>
        <w:sectPr>
          <w:pgSz w:w="11906" w:h="16838"/>
          <w:pgMar w:top="1702" w:right="1531" w:bottom="1702" w:left="1531" w:header="851" w:footer="851" w:gutter="0"/>
          <w:cols w:space="425" w:num="1"/>
          <w:docGrid w:type="lines" w:linePitch="312" w:charSpace="0"/>
        </w:sectPr>
      </w:pPr>
    </w:p>
    <w:p>
      <w:pPr>
        <w:rPr>
          <w:rFonts w:ascii="黑体" w:hAnsi="黑体" w:eastAsia="黑体" w:cs="黑体"/>
          <w:sz w:val="32"/>
          <w:szCs w:val="40"/>
        </w:rPr>
      </w:pPr>
      <w:r>
        <w:rPr>
          <w:rFonts w:hint="eastAsia" w:ascii="黑体" w:hAnsi="黑体" w:eastAsia="黑体" w:cs="黑体"/>
          <w:sz w:val="32"/>
          <w:szCs w:val="40"/>
        </w:rPr>
        <w:t>附表</w:t>
      </w:r>
    </w:p>
    <w:p>
      <w:pPr>
        <w:pStyle w:val="19"/>
        <w:adjustRightInd w:val="0"/>
        <w:snapToGrid w:val="0"/>
        <w:spacing w:beforeAutospacing="0" w:afterAutospacing="0"/>
        <w:jc w:val="center"/>
        <w:outlineLvl w:val="0"/>
        <w:rPr>
          <w:rFonts w:hint="default" w:ascii="方正小标宋_GBK" w:eastAsia="方正小标宋_GBK" w:cs="方正小标宋_GBK"/>
          <w:sz w:val="38"/>
          <w:szCs w:val="38"/>
        </w:rPr>
      </w:pPr>
      <w:r>
        <w:rPr>
          <w:rFonts w:ascii="方正小标宋_GBK" w:eastAsia="方正小标宋_GBK" w:cs="方正小标宋_GBK"/>
          <w:snapToGrid w:val="0"/>
          <w:sz w:val="38"/>
          <w:szCs w:val="38"/>
        </w:rPr>
        <w:t>建设项目污染物排放量汇总表</w:t>
      </w:r>
    </w:p>
    <w:tbl>
      <w:tblPr>
        <w:tblStyle w:val="24"/>
        <w:tblW w:w="1379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2"/>
        <w:gridCol w:w="1276"/>
        <w:gridCol w:w="1702"/>
        <w:gridCol w:w="1559"/>
        <w:gridCol w:w="1382"/>
        <w:gridCol w:w="1689"/>
        <w:gridCol w:w="14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pPr>
              <w:pStyle w:val="43"/>
              <w:widowControl/>
              <w:spacing w:before="31" w:after="31" w:line="240" w:lineRule="auto"/>
              <w:jc w:val="right"/>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项目</w:t>
            </w:r>
          </w:p>
          <w:p>
            <w:pPr>
              <w:pStyle w:val="43"/>
              <w:widowControl/>
              <w:spacing w:before="31" w:after="31" w:line="240" w:lineRule="auto"/>
              <w:jc w:val="left"/>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分类</w:t>
            </w:r>
          </w:p>
        </w:tc>
        <w:tc>
          <w:tcPr>
            <w:tcW w:w="1417"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污染物名称</w:t>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现有工程</w:t>
            </w:r>
          </w:p>
          <w:p>
            <w:pPr>
              <w:pStyle w:val="43"/>
              <w:widowControl/>
              <w:spacing w:before="31" w:after="31" w:line="240" w:lineRule="auto"/>
              <w:rPr>
                <w:rFonts w:hint="default" w:ascii="Times New Roman" w:eastAsia="黑体"/>
                <w:snapToGrid w:val="0"/>
                <w:color w:val="000000"/>
                <w:spacing w:val="-6"/>
                <w:kern w:val="21"/>
                <w:szCs w:val="21"/>
              </w:rPr>
            </w:pPr>
            <w:r>
              <w:rPr>
                <w:rFonts w:hint="default" w:ascii="Times New Roman" w:eastAsia="黑体"/>
                <w:snapToGrid w:val="0"/>
                <w:color w:val="000000"/>
                <w:spacing w:val="-6"/>
                <w:kern w:val="21"/>
                <w:szCs w:val="21"/>
              </w:rPr>
              <w:t>排放量（固体废物产生量）</w:t>
            </w:r>
            <w:r>
              <w:rPr>
                <w:rFonts w:hint="default" w:ascii="Times New Roman" w:eastAsia="黑体"/>
                <w:color w:val="000000"/>
                <w:spacing w:val="-6"/>
                <w:kern w:val="21"/>
                <w:szCs w:val="21"/>
              </w:rPr>
              <w:fldChar w:fldCharType="begin"/>
            </w:r>
            <w:r>
              <w:rPr>
                <w:rFonts w:hint="default" w:ascii="Times New Roman" w:eastAsia="黑体"/>
                <w:snapToGrid w:val="0"/>
                <w:color w:val="000000"/>
                <w:spacing w:val="-6"/>
                <w:kern w:val="21"/>
                <w:szCs w:val="21"/>
              </w:rPr>
              <w:instrText xml:space="preserve"> = 1 \* GB3 \* MERGEFORMAT </w:instrText>
            </w:r>
            <w:r>
              <w:rPr>
                <w:rFonts w:hint="default" w:ascii="Times New Roman" w:eastAsia="黑体"/>
                <w:color w:val="000000"/>
                <w:spacing w:val="-6"/>
                <w:kern w:val="21"/>
                <w:szCs w:val="21"/>
              </w:rPr>
              <w:fldChar w:fldCharType="separate"/>
            </w:r>
            <w:r>
              <w:rPr>
                <w:rFonts w:hint="default" w:ascii="Times New Roman" w:eastAsia="黑体"/>
                <w:kern w:val="2"/>
                <w:szCs w:val="21"/>
              </w:rPr>
              <w:t>①</w:t>
            </w:r>
            <w:r>
              <w:rPr>
                <w:rFonts w:hint="default" w:ascii="Times New Roman" w:eastAsia="黑体"/>
                <w:color w:val="000000"/>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现有工程</w:t>
            </w:r>
          </w:p>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许可排放量</w:t>
            </w:r>
          </w:p>
          <w:p>
            <w:pPr>
              <w:pStyle w:val="43"/>
              <w:widowControl/>
              <w:spacing w:before="31" w:after="31"/>
              <w:rPr>
                <w:rFonts w:hint="default" w:ascii="Times New Roman" w:eastAsia="黑体"/>
                <w:snapToGrid w:val="0"/>
                <w:color w:val="000000"/>
                <w:spacing w:val="-6"/>
                <w:kern w:val="21"/>
                <w:szCs w:val="21"/>
              </w:rPr>
            </w:pPr>
            <w:r>
              <w:rPr>
                <w:rFonts w:hint="default" w:ascii="Times New Roman" w:eastAsia="黑体"/>
                <w:color w:val="000000"/>
                <w:spacing w:val="-6"/>
                <w:kern w:val="21"/>
                <w:szCs w:val="21"/>
              </w:rPr>
              <w:fldChar w:fldCharType="begin"/>
            </w:r>
            <w:r>
              <w:rPr>
                <w:rFonts w:hint="default" w:ascii="Times New Roman" w:eastAsia="黑体"/>
                <w:color w:val="000000"/>
                <w:spacing w:val="-6"/>
                <w:kern w:val="21"/>
                <w:szCs w:val="21"/>
              </w:rPr>
              <w:instrText xml:space="preserve"> </w:instrText>
            </w:r>
            <w:r>
              <w:rPr>
                <w:rFonts w:hint="default" w:ascii="Times New Roman" w:eastAsia="黑体"/>
                <w:snapToGrid w:val="0"/>
                <w:color w:val="000000"/>
                <w:spacing w:val="-6"/>
                <w:kern w:val="21"/>
                <w:szCs w:val="21"/>
              </w:rPr>
              <w:instrText xml:space="preserve">= 2 \* GB3 \* MERGEFORMAT </w:instrText>
            </w:r>
            <w:r>
              <w:rPr>
                <w:rFonts w:hint="default" w:ascii="Times New Roman" w:eastAsia="黑体"/>
                <w:color w:val="000000"/>
                <w:spacing w:val="-6"/>
                <w:kern w:val="21"/>
                <w:szCs w:val="21"/>
              </w:rPr>
              <w:fldChar w:fldCharType="separate"/>
            </w:r>
            <w:r>
              <w:rPr>
                <w:rFonts w:hint="default" w:ascii="Times New Roman" w:eastAsia="黑体"/>
                <w:snapToGrid w:val="0"/>
                <w:color w:val="000000"/>
                <w:spacing w:val="-6"/>
                <w:kern w:val="21"/>
                <w:szCs w:val="21"/>
              </w:rPr>
              <w:t>②</w:t>
            </w:r>
            <w:r>
              <w:rPr>
                <w:rFonts w:hint="default" w:ascii="Times New Roman" w:eastAsia="黑体"/>
                <w:color w:val="000000"/>
                <w:spacing w:val="-6"/>
                <w:kern w:val="21"/>
                <w:szCs w:val="21"/>
              </w:rPr>
              <w:fldChar w:fldCharType="end"/>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在建工程</w:t>
            </w:r>
          </w:p>
          <w:p>
            <w:pPr>
              <w:pStyle w:val="43"/>
              <w:widowControl/>
              <w:spacing w:before="31" w:after="31" w:line="240" w:lineRule="auto"/>
              <w:rPr>
                <w:rFonts w:hint="default" w:ascii="Times New Roman" w:eastAsia="黑体"/>
                <w:snapToGrid w:val="0"/>
                <w:color w:val="000000"/>
                <w:spacing w:val="-6"/>
                <w:kern w:val="21"/>
                <w:szCs w:val="21"/>
              </w:rPr>
            </w:pPr>
            <w:r>
              <w:rPr>
                <w:rFonts w:hint="default" w:ascii="Times New Roman" w:eastAsia="黑体"/>
                <w:snapToGrid w:val="0"/>
                <w:color w:val="000000"/>
                <w:spacing w:val="-6"/>
                <w:kern w:val="21"/>
                <w:szCs w:val="21"/>
              </w:rPr>
              <w:t>排放量（固体废物产生量）</w:t>
            </w:r>
            <w:r>
              <w:rPr>
                <w:rFonts w:hint="default" w:ascii="Times New Roman" w:eastAsia="黑体"/>
                <w:color w:val="000000"/>
                <w:spacing w:val="-6"/>
                <w:kern w:val="21"/>
                <w:szCs w:val="21"/>
              </w:rPr>
              <w:fldChar w:fldCharType="begin"/>
            </w:r>
            <w:r>
              <w:rPr>
                <w:rFonts w:hint="default" w:ascii="Times New Roman" w:eastAsia="黑体"/>
                <w:snapToGrid w:val="0"/>
                <w:color w:val="000000"/>
                <w:spacing w:val="-6"/>
                <w:kern w:val="21"/>
                <w:szCs w:val="21"/>
              </w:rPr>
              <w:instrText xml:space="preserve"> = 3 \* GB3 \* MERGEFORMAT </w:instrText>
            </w:r>
            <w:r>
              <w:rPr>
                <w:rFonts w:hint="default" w:ascii="Times New Roman" w:eastAsia="黑体"/>
                <w:color w:val="000000"/>
                <w:spacing w:val="-6"/>
                <w:kern w:val="21"/>
                <w:szCs w:val="21"/>
              </w:rPr>
              <w:fldChar w:fldCharType="separate"/>
            </w:r>
            <w:r>
              <w:rPr>
                <w:rFonts w:hint="default" w:ascii="Times New Roman" w:eastAsia="黑体"/>
                <w:kern w:val="2"/>
                <w:szCs w:val="21"/>
              </w:rPr>
              <w:t>③</w:t>
            </w:r>
            <w:r>
              <w:rPr>
                <w:rFonts w:hint="default" w:ascii="Times New Roman" w:eastAsia="黑体"/>
                <w:color w:val="000000"/>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auto"/>
                <w:spacing w:val="-6"/>
                <w:kern w:val="21"/>
                <w:szCs w:val="21"/>
              </w:rPr>
            </w:pPr>
            <w:r>
              <w:rPr>
                <w:rFonts w:hint="default" w:ascii="Times New Roman" w:eastAsia="黑体"/>
                <w:snapToGrid w:val="0"/>
                <w:color w:val="auto"/>
                <w:spacing w:val="-6"/>
                <w:kern w:val="21"/>
                <w:szCs w:val="21"/>
              </w:rPr>
              <w:t>本项目</w:t>
            </w:r>
          </w:p>
          <w:p>
            <w:pPr>
              <w:pStyle w:val="43"/>
              <w:widowControl/>
              <w:spacing w:before="31" w:after="31" w:line="240" w:lineRule="auto"/>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排放量（固体废物产生量）</w:t>
            </w:r>
            <w:r>
              <w:rPr>
                <w:rFonts w:hint="default" w:ascii="Times New Roman" w:eastAsia="黑体"/>
                <w:color w:val="auto"/>
                <w:spacing w:val="-6"/>
                <w:kern w:val="21"/>
                <w:szCs w:val="21"/>
              </w:rPr>
              <w:fldChar w:fldCharType="begin"/>
            </w:r>
            <w:r>
              <w:rPr>
                <w:rFonts w:hint="default" w:ascii="Times New Roman" w:eastAsia="黑体"/>
                <w:snapToGrid w:val="0"/>
                <w:color w:val="auto"/>
                <w:spacing w:val="-6"/>
                <w:kern w:val="21"/>
                <w:szCs w:val="21"/>
              </w:rPr>
              <w:instrText xml:space="preserve"> = 4 \* GB3 \* MERGEFORMAT </w:instrText>
            </w:r>
            <w:r>
              <w:rPr>
                <w:rFonts w:hint="default" w:ascii="Times New Roman" w:eastAsia="黑体"/>
                <w:color w:val="auto"/>
                <w:spacing w:val="-6"/>
                <w:kern w:val="21"/>
                <w:szCs w:val="21"/>
              </w:rPr>
              <w:fldChar w:fldCharType="separate"/>
            </w:r>
            <w:r>
              <w:rPr>
                <w:rFonts w:hint="default" w:ascii="Times New Roman" w:eastAsia="黑体"/>
                <w:color w:val="auto"/>
                <w:kern w:val="2"/>
                <w:szCs w:val="21"/>
              </w:rPr>
              <w:t>④</w:t>
            </w:r>
            <w:r>
              <w:rPr>
                <w:rFonts w:hint="default" w:ascii="Times New Roman" w:eastAsia="黑体"/>
                <w:color w:val="auto"/>
                <w:spacing w:val="-6"/>
                <w:kern w:val="21"/>
                <w:szCs w:val="21"/>
              </w:rPr>
              <w:fldChar w:fldCharType="end"/>
            </w:r>
          </w:p>
        </w:tc>
        <w:tc>
          <w:tcPr>
            <w:tcW w:w="138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16"/>
                <w:kern w:val="21"/>
                <w:szCs w:val="21"/>
              </w:rPr>
            </w:pPr>
            <w:r>
              <w:rPr>
                <w:rFonts w:hint="default" w:ascii="Times New Roman" w:eastAsia="黑体"/>
                <w:snapToGrid w:val="0"/>
                <w:color w:val="000000"/>
                <w:spacing w:val="-16"/>
                <w:kern w:val="21"/>
                <w:szCs w:val="21"/>
              </w:rPr>
              <w:t>以新带老削减量</w:t>
            </w:r>
          </w:p>
          <w:p>
            <w:pPr>
              <w:pStyle w:val="43"/>
              <w:widowControl/>
              <w:spacing w:before="31" w:after="31" w:line="240" w:lineRule="auto"/>
              <w:rPr>
                <w:rFonts w:hint="default" w:ascii="Times New Roman" w:eastAsia="黑体"/>
                <w:snapToGrid w:val="0"/>
                <w:color w:val="000000"/>
                <w:spacing w:val="-16"/>
                <w:kern w:val="21"/>
                <w:szCs w:val="21"/>
              </w:rPr>
            </w:pPr>
            <w:r>
              <w:rPr>
                <w:rFonts w:hint="default" w:ascii="Times New Roman" w:eastAsia="黑体"/>
                <w:snapToGrid w:val="0"/>
                <w:color w:val="000000"/>
                <w:spacing w:val="-16"/>
                <w:kern w:val="21"/>
                <w:szCs w:val="21"/>
              </w:rPr>
              <w:t>（新建项目不填）</w:t>
            </w:r>
            <w:r>
              <w:rPr>
                <w:rFonts w:hint="default" w:ascii="Times New Roman" w:eastAsia="黑体"/>
                <w:color w:val="000000"/>
                <w:spacing w:val="-16"/>
                <w:kern w:val="21"/>
                <w:szCs w:val="21"/>
              </w:rPr>
              <w:fldChar w:fldCharType="begin"/>
            </w:r>
            <w:r>
              <w:rPr>
                <w:rFonts w:hint="default" w:ascii="Times New Roman" w:eastAsia="黑体"/>
                <w:snapToGrid w:val="0"/>
                <w:color w:val="000000"/>
                <w:spacing w:val="-16"/>
                <w:kern w:val="21"/>
                <w:szCs w:val="21"/>
              </w:rPr>
              <w:instrText xml:space="preserve"> = 5 \* GB3 \* MERGEFORMAT </w:instrText>
            </w:r>
            <w:r>
              <w:rPr>
                <w:rFonts w:hint="default" w:ascii="Times New Roman" w:eastAsia="黑体"/>
                <w:color w:val="000000"/>
                <w:spacing w:val="-16"/>
                <w:kern w:val="21"/>
                <w:szCs w:val="21"/>
              </w:rPr>
              <w:fldChar w:fldCharType="separate"/>
            </w:r>
            <w:r>
              <w:rPr>
                <w:rFonts w:hint="default" w:ascii="Times New Roman" w:eastAsia="黑体"/>
                <w:kern w:val="2"/>
                <w:szCs w:val="21"/>
              </w:rPr>
              <w:t>⑤</w:t>
            </w:r>
            <w:r>
              <w:rPr>
                <w:rFonts w:hint="default" w:ascii="Times New Roman" w:eastAsia="黑体"/>
                <w:color w:val="000000"/>
                <w:spacing w:val="-16"/>
                <w:kern w:val="21"/>
                <w:szCs w:val="21"/>
              </w:rPr>
              <w:fldChar w:fldCharType="end"/>
            </w:r>
          </w:p>
        </w:tc>
        <w:tc>
          <w:tcPr>
            <w:tcW w:w="168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16"/>
                <w:kern w:val="21"/>
                <w:szCs w:val="21"/>
              </w:rPr>
            </w:pPr>
            <w:r>
              <w:rPr>
                <w:rFonts w:hint="default" w:ascii="Times New Roman" w:eastAsia="黑体"/>
                <w:snapToGrid w:val="0"/>
                <w:color w:val="000000"/>
                <w:spacing w:val="-16"/>
                <w:kern w:val="21"/>
                <w:szCs w:val="21"/>
              </w:rPr>
              <w:t>本项目建成后</w:t>
            </w:r>
          </w:p>
          <w:p>
            <w:pPr>
              <w:pStyle w:val="43"/>
              <w:widowControl/>
              <w:spacing w:before="31" w:after="31" w:line="240" w:lineRule="auto"/>
              <w:rPr>
                <w:rFonts w:hint="default" w:ascii="Times New Roman" w:eastAsia="黑体"/>
                <w:snapToGrid w:val="0"/>
                <w:color w:val="000000"/>
                <w:spacing w:val="-16"/>
                <w:kern w:val="21"/>
                <w:szCs w:val="21"/>
              </w:rPr>
            </w:pPr>
            <w:r>
              <w:rPr>
                <w:rFonts w:hint="default" w:ascii="Times New Roman" w:eastAsia="黑体"/>
                <w:snapToGrid w:val="0"/>
                <w:color w:val="000000"/>
                <w:spacing w:val="-16"/>
                <w:kern w:val="21"/>
                <w:szCs w:val="21"/>
              </w:rPr>
              <w:t>全厂排放量（固体废物产生量）</w:t>
            </w:r>
            <w:r>
              <w:rPr>
                <w:rFonts w:hint="default" w:ascii="Times New Roman" w:eastAsia="黑体"/>
                <w:color w:val="000000"/>
                <w:spacing w:val="-16"/>
                <w:kern w:val="21"/>
                <w:szCs w:val="21"/>
              </w:rPr>
              <w:fldChar w:fldCharType="begin"/>
            </w:r>
            <w:r>
              <w:rPr>
                <w:rFonts w:hint="default" w:ascii="Times New Roman" w:eastAsia="黑体"/>
                <w:snapToGrid w:val="0"/>
                <w:color w:val="000000"/>
                <w:spacing w:val="-16"/>
                <w:kern w:val="21"/>
                <w:szCs w:val="21"/>
              </w:rPr>
              <w:instrText xml:space="preserve"> = 6 \* GB3 \* MERGEFORMAT </w:instrText>
            </w:r>
            <w:r>
              <w:rPr>
                <w:rFonts w:hint="default" w:ascii="Times New Roman" w:eastAsia="黑体"/>
                <w:color w:val="000000"/>
                <w:spacing w:val="-16"/>
                <w:kern w:val="21"/>
                <w:szCs w:val="21"/>
              </w:rPr>
              <w:fldChar w:fldCharType="separate"/>
            </w:r>
            <w:r>
              <w:rPr>
                <w:rFonts w:hint="default" w:ascii="Times New Roman" w:eastAsia="黑体"/>
                <w:kern w:val="2"/>
                <w:szCs w:val="21"/>
              </w:rPr>
              <w:t>⑥</w:t>
            </w:r>
            <w:r>
              <w:rPr>
                <w:rFonts w:hint="default" w:ascii="Times New Roman" w:eastAsia="黑体"/>
                <w:color w:val="000000"/>
                <w:spacing w:val="-16"/>
                <w:kern w:val="21"/>
                <w:szCs w:val="21"/>
              </w:rPr>
              <w:fldChar w:fldCharType="end"/>
            </w:r>
          </w:p>
        </w:tc>
        <w:tc>
          <w:tcPr>
            <w:tcW w:w="1475"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变化量</w:t>
            </w:r>
          </w:p>
          <w:p>
            <w:pPr>
              <w:pStyle w:val="43"/>
              <w:widowControl/>
              <w:spacing w:before="31" w:after="31" w:line="240" w:lineRule="auto"/>
              <w:rPr>
                <w:rFonts w:hint="default" w:ascii="Times New Roman" w:eastAsia="黑体"/>
                <w:snapToGrid w:val="0"/>
                <w:color w:val="000000"/>
                <w:spacing w:val="-6"/>
                <w:kern w:val="21"/>
                <w:szCs w:val="21"/>
              </w:rPr>
            </w:pPr>
            <w:r>
              <w:rPr>
                <w:rFonts w:hint="default" w:ascii="Times New Roman" w:eastAsia="黑体"/>
                <w:color w:val="000000"/>
                <w:spacing w:val="-6"/>
                <w:kern w:val="21"/>
                <w:szCs w:val="21"/>
              </w:rPr>
              <w:fldChar w:fldCharType="begin"/>
            </w:r>
            <w:r>
              <w:rPr>
                <w:rFonts w:hint="default" w:ascii="Times New Roman" w:eastAsia="黑体"/>
                <w:color w:val="000000"/>
                <w:spacing w:val="-6"/>
                <w:kern w:val="21"/>
                <w:szCs w:val="21"/>
              </w:rPr>
              <w:instrText xml:space="preserve"> </w:instrText>
            </w:r>
            <w:r>
              <w:rPr>
                <w:rFonts w:hint="default" w:ascii="Times New Roman" w:eastAsia="黑体"/>
                <w:snapToGrid w:val="0"/>
                <w:color w:val="000000"/>
                <w:spacing w:val="-6"/>
                <w:kern w:val="21"/>
                <w:szCs w:val="21"/>
              </w:rPr>
              <w:instrText xml:space="preserve">= 7 \* GB3 \* MERGEFORMAT </w:instrText>
            </w:r>
            <w:r>
              <w:rPr>
                <w:rFonts w:hint="default" w:ascii="Times New Roman" w:eastAsia="黑体"/>
                <w:color w:val="000000"/>
                <w:spacing w:val="-6"/>
                <w:kern w:val="21"/>
                <w:szCs w:val="21"/>
              </w:rPr>
              <w:fldChar w:fldCharType="separate"/>
            </w:r>
            <w:r>
              <w:rPr>
                <w:rFonts w:hint="default" w:ascii="Times New Roman" w:eastAsia="黑体"/>
                <w:kern w:val="2"/>
                <w:szCs w:val="21"/>
              </w:rPr>
              <w:t>⑦</w:t>
            </w:r>
            <w:r>
              <w:rPr>
                <w:rFonts w:hint="default" w:ascii="Times New Roman" w:eastAsia="黑体"/>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color w:val="auto"/>
                <w:kern w:val="21"/>
                <w:szCs w:val="21"/>
              </w:rPr>
            </w:pPr>
            <w:r>
              <w:rPr>
                <w:rFonts w:hint="default" w:ascii="Times New Roman"/>
                <w:snapToGrid w:val="0"/>
                <w:color w:val="auto"/>
                <w:kern w:val="21"/>
                <w:szCs w:val="21"/>
              </w:rPr>
              <w:t>废气</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000000" w:themeColor="text1"/>
                <w:kern w:val="21"/>
                <w:szCs w:val="21"/>
                <w14:textFill>
                  <w14:solidFill>
                    <w14:schemeClr w14:val="tx1"/>
                  </w14:solidFill>
                </w14:textFill>
              </w:rPr>
            </w:pPr>
            <w:r>
              <w:rPr>
                <w:rFonts w:hint="default" w:ascii="Times New Roman"/>
                <w:snapToGrid w:val="0"/>
                <w:color w:val="000000" w:themeColor="text1"/>
                <w:kern w:val="21"/>
                <w:szCs w:val="21"/>
                <w14:textFill>
                  <w14:solidFill>
                    <w14:schemeClr w14:val="tx1"/>
                  </w14:solidFill>
                </w14:textFill>
              </w:rPr>
              <w:t>颗粒物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bCs/>
                <w:color w:val="auto"/>
                <w:sz w:val="21"/>
                <w:szCs w:val="21"/>
                <w:lang w:val="en-US" w:eastAsia="zh-CN"/>
              </w:rPr>
              <w:t>0.54t/a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000000" w:themeColor="text1"/>
                <w:kern w:val="21"/>
                <w:szCs w:val="21"/>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2.698t/a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bCs/>
                <w:color w:val="auto"/>
                <w:sz w:val="21"/>
                <w:szCs w:val="21"/>
                <w:lang w:val="en-US" w:eastAsia="zh-CN"/>
              </w:rPr>
              <w:t>0.54t/a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snapToGrid w:val="0"/>
                <w:color w:val="000000" w:themeColor="text1"/>
                <w:kern w:val="21"/>
                <w:szCs w:val="21"/>
                <w14:textFill>
                  <w14:solidFill>
                    <w14:schemeClr w14:val="tx1"/>
                  </w14:solidFill>
                </w14:textFill>
              </w:rPr>
            </w:pPr>
            <w:r>
              <w:rPr>
                <w:rFonts w:hint="default" w:ascii="Times New Roman"/>
                <w:snapToGrid w:val="0"/>
                <w:color w:val="000000" w:themeColor="text1"/>
                <w:kern w:val="21"/>
                <w:szCs w:val="21"/>
                <w:lang w:val="en-US" w:eastAsia="zh-CN"/>
                <w14:textFill>
                  <w14:solidFill>
                    <w14:schemeClr w14:val="tx1"/>
                  </w14:solidFill>
                </w14:textFill>
              </w:rPr>
              <w:t>2.698t/a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Theme="minorEastAsia" w:cstheme="minorBidi"/>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2.158</w:t>
            </w:r>
            <w:r>
              <w:rPr>
                <w:rFonts w:hint="default" w:ascii="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SO</w:t>
            </w:r>
            <w:r>
              <w:rPr>
                <w:rFonts w:ascii="Times New Roman" w:hAnsi="Times New Roman" w:cs="Times New Roman"/>
                <w:color w:val="000000" w:themeColor="text1"/>
                <w:szCs w:val="21"/>
                <w:vertAlign w:val="subscript"/>
                <w14:textFill>
                  <w14:solidFill>
                    <w14:schemeClr w14:val="tx1"/>
                  </w14:solidFill>
                </w14:textFill>
              </w:rPr>
              <w:t>2</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bCs/>
                <w:color w:val="auto"/>
                <w:sz w:val="21"/>
                <w:szCs w:val="21"/>
                <w:lang w:val="en-US" w:eastAsia="zh-CN"/>
              </w:rPr>
              <w:t>1.618t/a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000000" w:themeColor="text1"/>
                <w:kern w:val="21"/>
                <w:szCs w:val="21"/>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4.739t/a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bCs/>
                <w:color w:val="auto"/>
                <w:sz w:val="21"/>
                <w:szCs w:val="21"/>
                <w:lang w:val="en-US" w:eastAsia="zh-CN"/>
              </w:rPr>
              <w:t>1.618t/a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color w:val="000000" w:themeColor="text1"/>
                <w:szCs w:val="21"/>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4.739t/a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3.1</w:t>
            </w:r>
            <w:r>
              <w:rPr>
                <w:rFonts w:hint="eastAsia" w:ascii="Times New Roman" w:hAnsi="Times New Roman" w:eastAsia="宋体" w:cs="Times New Roman"/>
                <w:i w:val="0"/>
                <w:iCs w:val="0"/>
                <w:color w:val="000000"/>
                <w:kern w:val="0"/>
                <w:sz w:val="21"/>
                <w:szCs w:val="21"/>
                <w:u w:val="none"/>
                <w:lang w:val="en-US" w:eastAsia="zh-CN" w:bidi="ar"/>
              </w:rPr>
              <w:t>21</w:t>
            </w:r>
            <w:r>
              <w:rPr>
                <w:rFonts w:hint="default" w:ascii="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NOx</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bCs/>
                <w:color w:val="auto"/>
                <w:sz w:val="21"/>
                <w:szCs w:val="21"/>
                <w:lang w:val="en-US" w:eastAsia="zh-CN"/>
              </w:rPr>
              <w:t>4.3t/a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000000" w:themeColor="text1"/>
                <w:kern w:val="21"/>
                <w:szCs w:val="21"/>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7.841t/a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bCs/>
                <w:color w:val="auto"/>
                <w:sz w:val="21"/>
                <w:szCs w:val="21"/>
                <w:lang w:val="en-US" w:eastAsia="zh-CN"/>
              </w:rPr>
              <w:t>4.3t/a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snapToGrid w:val="0"/>
                <w:color w:val="000000" w:themeColor="text1"/>
                <w:kern w:val="21"/>
                <w:szCs w:val="21"/>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7.841t/a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3.541</w:t>
            </w:r>
            <w:r>
              <w:rPr>
                <w:rFonts w:hint="default" w:ascii="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color w:val="auto"/>
                <w:kern w:val="21"/>
                <w:szCs w:val="21"/>
              </w:rPr>
            </w:pPr>
            <w:r>
              <w:rPr>
                <w:rFonts w:hint="default" w:ascii="Times New Roman"/>
                <w:snapToGrid w:val="0"/>
                <w:color w:val="auto"/>
                <w:kern w:val="21"/>
                <w:szCs w:val="21"/>
              </w:rPr>
              <w:t>一般工业</w:t>
            </w:r>
          </w:p>
          <w:p>
            <w:pPr>
              <w:pStyle w:val="43"/>
              <w:widowControl/>
              <w:spacing w:before="31" w:after="31" w:line="240" w:lineRule="auto"/>
              <w:rPr>
                <w:rFonts w:hint="default" w:ascii="Times New Roman"/>
                <w:color w:val="auto"/>
                <w:kern w:val="21"/>
                <w:szCs w:val="21"/>
              </w:rPr>
            </w:pPr>
            <w:r>
              <w:rPr>
                <w:rFonts w:hint="default" w:ascii="Times New Roman"/>
                <w:snapToGrid w:val="0"/>
                <w:color w:val="auto"/>
                <w:kern w:val="21"/>
                <w:szCs w:val="21"/>
              </w:rPr>
              <w:t>固体废物</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炉渣</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10t/a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snapToGrid w:val="0"/>
                <w:color w:val="auto"/>
                <w:kern w:val="21"/>
                <w:szCs w:val="21"/>
              </w:rPr>
            </w:pPr>
            <w:r>
              <w:rPr>
                <w:rFonts w:hint="eastAsia" w:ascii="Times New Roman" w:hAnsi="Times New Roman" w:cs="Times New Roman"/>
                <w:color w:val="auto"/>
                <w:szCs w:val="21"/>
                <w:lang w:val="en-US" w:eastAsia="zh-CN"/>
              </w:rPr>
              <w:t>899</w:t>
            </w:r>
            <w:r>
              <w:rPr>
                <w:rFonts w:hint="eastAsia" w:ascii="Times New Roman" w:hAnsi="Times New Roman" w:cs="Times New Roman"/>
                <w:color w:val="auto"/>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r>
              <w:rPr>
                <w:rFonts w:hint="eastAsia" w:ascii="Times New Roman"/>
                <w:snapToGrid w:val="0"/>
                <w:color w:val="auto"/>
                <w:kern w:val="21"/>
                <w:szCs w:val="21"/>
                <w:lang w:val="en-US" w:eastAsia="zh-CN"/>
              </w:rPr>
              <w:t>10t/a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eastAsiaTheme="minorEastAsia"/>
                <w:snapToGrid w:val="0"/>
                <w:color w:val="auto"/>
                <w:kern w:val="21"/>
                <w:szCs w:val="21"/>
              </w:rPr>
            </w:pPr>
            <w:r>
              <w:rPr>
                <w:rFonts w:hint="eastAsia" w:ascii="Times New Roman" w:hAnsi="Times New Roman" w:cs="Times New Roman"/>
                <w:color w:val="auto"/>
                <w:szCs w:val="21"/>
                <w:lang w:val="en-US" w:eastAsia="zh-CN"/>
              </w:rPr>
              <w:t>899</w:t>
            </w:r>
            <w:r>
              <w:rPr>
                <w:rFonts w:hint="eastAsia" w:ascii="Times New Roman" w:hAnsi="Times New Roman" w:cs="Times New Roman"/>
                <w:color w:val="auto"/>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hint="default" w:ascii="Times New Roman"/>
                <w:snapToGrid w:val="0"/>
                <w:color w:val="000000"/>
                <w:kern w:val="21"/>
                <w:szCs w:val="21"/>
              </w:rPr>
            </w:pPr>
            <w:r>
              <w:rPr>
                <w:rFonts w:hint="eastAsia" w:ascii="Times New Roman" w:hAnsi="Times New Roman" w:cs="Times New Roman"/>
                <w:szCs w:val="21"/>
                <w:lang w:val="en-US" w:eastAsia="zh-CN"/>
              </w:rPr>
              <w:t>+889</w:t>
            </w:r>
            <w:r>
              <w:rPr>
                <w:rFonts w:hint="eastAsia" w:ascii="Times New Roman" w:hAnsi="Times New Roman" w:cs="Times New Roman"/>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锅炉</w:t>
            </w:r>
            <w:r>
              <w:rPr>
                <w:rFonts w:hint="eastAsia" w:ascii="Times New Roman" w:hAnsi="Times New Roman" w:cs="Times New Roman"/>
                <w:color w:val="auto"/>
                <w:szCs w:val="21"/>
              </w:rPr>
              <w:t>除尘灰</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3t/a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snapToGrid w:val="0"/>
                <w:color w:val="auto"/>
                <w:kern w:val="21"/>
                <w:szCs w:val="21"/>
              </w:rPr>
            </w:pPr>
            <w:r>
              <w:rPr>
                <w:rFonts w:hint="eastAsia" w:ascii="Times New Roman" w:hAnsi="Times New Roman" w:cs="Times New Roman"/>
                <w:color w:val="auto"/>
                <w:szCs w:val="21"/>
                <w:lang w:val="en-US" w:eastAsia="zh-CN"/>
              </w:rPr>
              <w:t>1142t/a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r>
              <w:rPr>
                <w:rFonts w:hint="eastAsia" w:ascii="Times New Roman"/>
                <w:snapToGrid w:val="0"/>
                <w:color w:val="auto"/>
                <w:kern w:val="21"/>
                <w:szCs w:val="21"/>
                <w:lang w:val="en-US" w:eastAsia="zh-CN"/>
              </w:rPr>
              <w:t>3t/a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1142t/a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+1139t/a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mallCaps w:val="0"/>
                <w:color w:val="auto"/>
                <w:kern w:val="2"/>
                <w:sz w:val="21"/>
                <w:szCs w:val="21"/>
                <w:highlight w:val="none"/>
                <w:vertAlign w:val="baseline"/>
                <w:lang w:val="en-US" w:eastAsia="zh-CN" w:bidi="ar-SA"/>
              </w:rPr>
            </w:pPr>
            <w:r>
              <w:rPr>
                <w:rFonts w:hint="eastAsia" w:ascii="Times New Roman" w:hAnsi="Times New Roman"/>
                <w:color w:val="auto"/>
                <w:sz w:val="21"/>
                <w:szCs w:val="21"/>
                <w:highlight w:val="none"/>
                <w:lang w:val="en-US" w:eastAsia="zh-CN"/>
              </w:rPr>
              <w:t>除尘器</w:t>
            </w:r>
            <w:r>
              <w:rPr>
                <w:rFonts w:hint="default" w:ascii="Times New Roman" w:hAnsi="Times New Roman" w:eastAsia="宋体" w:cs="Times New Roman"/>
                <w:smallCaps w:val="0"/>
                <w:color w:val="auto"/>
                <w:sz w:val="21"/>
                <w:szCs w:val="21"/>
                <w:highlight w:val="none"/>
                <w:vertAlign w:val="baseline"/>
                <w:lang w:val="en-US" w:eastAsia="zh-CN" w:bidi="ar-SA"/>
              </w:rPr>
              <w:t>除尘灰</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hAnsi="Times New Roman" w:eastAsia="宋体" w:cs="Times New Roman"/>
                <w:snapToGrid w:val="0"/>
                <w:color w:val="auto"/>
                <w:kern w:val="21"/>
                <w:sz w:val="21"/>
                <w:szCs w:val="21"/>
                <w:lang w:val="en-US" w:eastAsia="zh-CN" w:bidi="ar-SA"/>
              </w:rPr>
            </w:pPr>
            <w:r>
              <w:rPr>
                <w:rFonts w:ascii="Times New Roman"/>
                <w:color w:val="auto"/>
                <w:szCs w:val="21"/>
              </w:rPr>
              <w:t>0</w:t>
            </w:r>
            <w:r>
              <w:rPr>
                <w:rFonts w:hint="default" w:ascii="Times New Roman"/>
                <w:color w:val="auto"/>
                <w:szCs w:val="21"/>
              </w:rPr>
              <w:t>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snapToGrid w:val="0"/>
                <w:color w:val="auto"/>
                <w:kern w:val="21"/>
                <w:szCs w:val="21"/>
              </w:rPr>
            </w:pPr>
            <w:r>
              <w:rPr>
                <w:rFonts w:hint="eastAsia" w:ascii="Times New Roman" w:hAnsi="Times New Roman" w:cs="Times New Roman"/>
                <w:color w:val="auto"/>
                <w:szCs w:val="21"/>
                <w:lang w:val="en-US" w:eastAsia="zh-CN"/>
              </w:rPr>
              <w:t>1.035t/a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r>
              <w:rPr>
                <w:rFonts w:ascii="Times New Roman"/>
                <w:color w:val="auto"/>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1.035t/a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+1.035t/a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固形物MgSO</w:t>
            </w:r>
            <w:r>
              <w:rPr>
                <w:rFonts w:hint="eastAsia" w:ascii="Times New Roman" w:hAnsi="Times New Roman" w:cs="Times New Roman"/>
                <w:color w:val="auto"/>
                <w:szCs w:val="21"/>
                <w:vertAlign w:val="subscript"/>
                <w:lang w:val="en-US" w:eastAsia="zh-CN"/>
              </w:rPr>
              <w:t>4</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0</w:t>
            </w:r>
            <w:r>
              <w:rPr>
                <w:rFonts w:hint="default" w:ascii="Times New Roman"/>
                <w:color w:val="auto"/>
                <w:szCs w:val="21"/>
              </w:rPr>
              <w:t>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auto"/>
                <w:szCs w:val="21"/>
              </w:rPr>
            </w:pPr>
            <w:r>
              <w:rPr>
                <w:rFonts w:hint="eastAsia" w:ascii="Times New Roman" w:hAnsi="Times New Roman" w:cs="Times New Roman"/>
                <w:color w:val="auto"/>
                <w:szCs w:val="21"/>
                <w:lang w:val="en-US" w:eastAsia="zh-CN"/>
              </w:rPr>
              <w:t>258t/a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auto"/>
                <w:szCs w:val="21"/>
              </w:rPr>
            </w:pPr>
            <w:r>
              <w:rPr>
                <w:rFonts w:hint="eastAsia" w:ascii="Times New Roman" w:hAnsi="Times New Roman" w:cs="Times New Roman"/>
                <w:color w:val="auto"/>
                <w:szCs w:val="21"/>
                <w:lang w:val="en-US" w:eastAsia="zh-CN"/>
              </w:rPr>
              <w:t>258t/a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szCs w:val="21"/>
              </w:rPr>
            </w:pPr>
            <w:r>
              <w:rPr>
                <w:rFonts w:hint="eastAsia" w:ascii="Times New Roman" w:hAnsi="Times New Roman" w:cs="Times New Roman"/>
                <w:color w:val="000000"/>
                <w:szCs w:val="21"/>
              </w:rPr>
              <w:t>+</w:t>
            </w:r>
            <w:r>
              <w:rPr>
                <w:rFonts w:hint="eastAsia" w:ascii="Times New Roman" w:hAnsi="Times New Roman" w:cs="Times New Roman"/>
                <w:szCs w:val="21"/>
                <w:lang w:val="en-US" w:eastAsia="zh-CN"/>
              </w:rPr>
              <w:t>258t/a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olor w:val="auto"/>
                <w:sz w:val="21"/>
                <w:szCs w:val="21"/>
                <w:highlight w:val="none"/>
                <w:lang w:val="en-US" w:eastAsia="zh-CN"/>
              </w:rPr>
              <w:t>废反渗透膜</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hAnsi="Times New Roman" w:eastAsia="宋体" w:cs="Times New Roman"/>
                <w:snapToGrid w:val="0"/>
                <w:color w:val="auto"/>
                <w:kern w:val="21"/>
                <w:sz w:val="21"/>
                <w:szCs w:val="21"/>
                <w:lang w:val="en-US" w:eastAsia="zh-CN" w:bidi="ar-SA"/>
              </w:rPr>
            </w:pPr>
            <w:r>
              <w:rPr>
                <w:rFonts w:ascii="Times New Roman"/>
                <w:color w:val="auto"/>
                <w:szCs w:val="21"/>
              </w:rPr>
              <w:t>0</w:t>
            </w:r>
            <w:r>
              <w:rPr>
                <w:rFonts w:hint="default" w:ascii="Times New Roman"/>
                <w:color w:val="auto"/>
                <w:szCs w:val="21"/>
              </w:rPr>
              <w:t>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auto"/>
                <w:szCs w:val="21"/>
              </w:rPr>
            </w:pPr>
            <w:r>
              <w:rPr>
                <w:rFonts w:hint="eastAsia" w:ascii="Times New Roman" w:hAnsi="Times New Roman" w:cs="Times New Roman"/>
                <w:color w:val="auto"/>
                <w:szCs w:val="21"/>
                <w:lang w:val="en-US" w:eastAsia="zh-CN"/>
              </w:rPr>
              <w:t>1t/a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hAnsi="Times New Roman" w:eastAsia="宋体" w:cs="Times New Roman"/>
                <w:snapToGrid w:val="0"/>
                <w:color w:val="auto"/>
                <w:kern w:val="21"/>
                <w:sz w:val="21"/>
                <w:szCs w:val="21"/>
                <w:lang w:val="en-US" w:eastAsia="zh-CN" w:bidi="ar-SA"/>
              </w:rPr>
            </w:pPr>
            <w:r>
              <w:rPr>
                <w:rFonts w:ascii="Times New Roman"/>
                <w:color w:val="auto"/>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auto"/>
                <w:szCs w:val="21"/>
              </w:rPr>
            </w:pPr>
            <w:r>
              <w:rPr>
                <w:rFonts w:hint="eastAsia" w:ascii="Times New Roman" w:hAnsi="Times New Roman" w:cs="Times New Roman"/>
                <w:color w:val="auto"/>
                <w:szCs w:val="21"/>
                <w:lang w:val="en-US" w:eastAsia="zh-CN"/>
              </w:rPr>
              <w:t>1t/a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szCs w:val="21"/>
              </w:rPr>
            </w:pPr>
            <w:r>
              <w:rPr>
                <w:rFonts w:hint="eastAsia" w:ascii="Times New Roman" w:hAnsi="Times New Roman" w:cs="Times New Roman"/>
                <w:color w:val="000000"/>
                <w:szCs w:val="21"/>
              </w:rPr>
              <w:t>+</w:t>
            </w:r>
            <w:r>
              <w:rPr>
                <w:rFonts w:hint="eastAsia" w:ascii="Times New Roman" w:hAnsi="Times New Roman" w:cs="Times New Roman"/>
                <w:szCs w:val="21"/>
                <w:lang w:val="en-US" w:eastAsia="zh-CN"/>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水浴除尘池底固形物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0.47t/a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eastAsia="宋体" w:cs="Times New Roman"/>
                <w:snapToGrid w:val="0"/>
                <w:color w:val="auto"/>
                <w:kern w:val="21"/>
                <w:sz w:val="21"/>
                <w:szCs w:val="21"/>
                <w:lang w:val="en-US" w:eastAsia="zh-CN" w:bidi="ar-SA"/>
              </w:rPr>
            </w:pPr>
            <w:r>
              <w:rPr>
                <w:rFonts w:ascii="Times New Roman"/>
                <w:color w:val="auto"/>
                <w:szCs w:val="21"/>
              </w:rPr>
              <w:t>0</w:t>
            </w:r>
            <w:r>
              <w:rPr>
                <w:rFonts w:hint="default" w:ascii="Times New Roman"/>
                <w:color w:val="auto"/>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ascii="Times New Roman"/>
                <w:color w:val="auto"/>
                <w:szCs w:val="21"/>
              </w:rPr>
            </w:pPr>
            <w:r>
              <w:rPr>
                <w:rFonts w:ascii="Times New Roman"/>
                <w:color w:val="auto"/>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cs="Times New Roman"/>
                <w:color w:val="auto"/>
                <w:szCs w:val="21"/>
                <w:lang w:val="en-US" w:eastAsia="zh-CN"/>
              </w:rPr>
            </w:pPr>
            <w:r>
              <w:rPr>
                <w:rFonts w:ascii="Times New Roman"/>
                <w:color w:val="auto"/>
                <w:szCs w:val="21"/>
              </w:rPr>
              <w:t>0</w:t>
            </w:r>
            <w:r>
              <w:rPr>
                <w:rFonts w:hint="default" w:ascii="Times New Roman"/>
                <w:color w:val="auto"/>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3"/>
              <w:widowControl/>
              <w:spacing w:before="31" w:after="31" w:line="240" w:lineRule="auto"/>
              <w:rPr>
                <w:rFonts w:hint="default" w:ascii="Times New Roman" w:hAnsi="Times New Roman" w:cs="Times New Roman" w:eastAsiaTheme="minorEastAsia"/>
                <w:color w:val="000000"/>
                <w:szCs w:val="21"/>
                <w:lang w:val="en-US" w:eastAsia="zh-CN"/>
              </w:rPr>
            </w:pPr>
            <w:r>
              <w:rPr>
                <w:rFonts w:hint="eastAsia" w:ascii="Times New Roman"/>
                <w:snapToGrid w:val="0"/>
                <w:color w:val="auto"/>
                <w:kern w:val="21"/>
                <w:szCs w:val="21"/>
                <w:lang w:val="en-US" w:eastAsia="zh-CN"/>
              </w:rPr>
              <w:t>-0.47t/a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生物质燃料废包装袋</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0.5t/a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0</w:t>
            </w:r>
            <w:r>
              <w:rPr>
                <w:rFonts w:hint="default" w:ascii="Times New Roman"/>
                <w:color w:val="auto"/>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ascii="Times New Roman"/>
                <w:color w:val="auto"/>
                <w:szCs w:val="21"/>
              </w:rPr>
            </w:pPr>
            <w:r>
              <w:rPr>
                <w:rFonts w:ascii="Times New Roman"/>
                <w:snapToGrid w:val="0"/>
                <w:color w:val="auto"/>
                <w:kern w:val="21"/>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cs="Times New Roman"/>
                <w:color w:val="auto"/>
                <w:szCs w:val="21"/>
                <w:lang w:val="en-US" w:eastAsia="zh-CN"/>
              </w:rPr>
            </w:pPr>
            <w:r>
              <w:rPr>
                <w:rFonts w:ascii="Times New Roman"/>
                <w:snapToGrid w:val="0"/>
                <w:color w:val="auto"/>
                <w:kern w:val="21"/>
                <w:szCs w:val="21"/>
              </w:rPr>
              <w:t>0</w:t>
            </w:r>
            <w:r>
              <w:rPr>
                <w:rFonts w:hint="default" w:ascii="Times New Roman"/>
                <w:color w:val="auto"/>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3"/>
              <w:widowControl/>
              <w:spacing w:before="31" w:after="31" w:line="240" w:lineRule="auto"/>
              <w:rPr>
                <w:rFonts w:hint="eastAsia" w:ascii="Times New Roman" w:hAnsi="Times New Roman" w:cs="Times New Roman"/>
                <w:color w:val="000000"/>
                <w:szCs w:val="21"/>
              </w:rPr>
            </w:pPr>
            <w:r>
              <w:rPr>
                <w:rFonts w:hint="eastAsia" w:ascii="Times New Roman"/>
                <w:snapToGrid w:val="0"/>
                <w:color w:val="auto"/>
                <w:kern w:val="21"/>
                <w:szCs w:val="21"/>
                <w:lang w:val="en-US" w:eastAsia="zh-CN"/>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废离子交换树脂</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0.1t/a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eastAsia="宋体" w:cs="Times New Roman"/>
                <w:snapToGrid w:val="0"/>
                <w:color w:val="auto"/>
                <w:kern w:val="21"/>
                <w:sz w:val="21"/>
                <w:szCs w:val="21"/>
                <w:lang w:val="en-US" w:eastAsia="zh-CN" w:bidi="ar-SA"/>
              </w:rPr>
            </w:pPr>
            <w:r>
              <w:rPr>
                <w:rFonts w:ascii="Times New Roman"/>
                <w:color w:val="auto"/>
                <w:szCs w:val="21"/>
              </w:rPr>
              <w:t>0</w:t>
            </w:r>
            <w:r>
              <w:rPr>
                <w:rFonts w:hint="default" w:ascii="Times New Roman"/>
                <w:color w:val="auto"/>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ascii="Times New Roman"/>
                <w:color w:val="auto"/>
                <w:szCs w:val="21"/>
              </w:rPr>
            </w:pPr>
            <w:r>
              <w:rPr>
                <w:rFonts w:ascii="Times New Roman"/>
                <w:color w:val="auto"/>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cs="Times New Roman"/>
                <w:color w:val="auto"/>
                <w:szCs w:val="21"/>
                <w:lang w:val="en-US" w:eastAsia="zh-CN"/>
              </w:rPr>
            </w:pPr>
            <w:r>
              <w:rPr>
                <w:rFonts w:ascii="Times New Roman"/>
                <w:color w:val="auto"/>
                <w:szCs w:val="21"/>
              </w:rPr>
              <w:t>0</w:t>
            </w:r>
            <w:r>
              <w:rPr>
                <w:rFonts w:hint="default" w:ascii="Times New Roman"/>
                <w:color w:val="auto"/>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3"/>
              <w:widowControl/>
              <w:spacing w:before="31" w:after="31" w:line="240" w:lineRule="auto"/>
              <w:rPr>
                <w:rFonts w:hint="eastAsia" w:ascii="Times New Roman" w:hAnsi="Times New Roman" w:cs="Times New Roman"/>
                <w:color w:val="000000"/>
                <w:szCs w:val="21"/>
              </w:rPr>
            </w:pPr>
            <w:r>
              <w:rPr>
                <w:rFonts w:hint="eastAsia" w:ascii="Times New Roman"/>
                <w:snapToGrid w:val="0"/>
                <w:color w:val="auto"/>
                <w:kern w:val="21"/>
                <w:szCs w:val="21"/>
                <w:lang w:val="en-US" w:eastAsia="zh-CN"/>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color w:val="auto"/>
                <w:kern w:val="21"/>
                <w:szCs w:val="21"/>
              </w:rPr>
            </w:pPr>
            <w:r>
              <w:rPr>
                <w:rFonts w:hint="default" w:ascii="Times New Roman"/>
                <w:snapToGrid w:val="0"/>
                <w:color w:val="auto"/>
                <w:kern w:val="21"/>
                <w:szCs w:val="21"/>
              </w:rPr>
              <w:t>危险废物</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rPr>
              <w:t>废润滑油</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31" w:after="31" w:line="240" w:lineRule="auto"/>
              <w:jc w:val="center"/>
              <w:rPr>
                <w:rFonts w:hint="default" w:ascii="Times New Roman"/>
                <w:snapToGrid w:val="0"/>
                <w:color w:val="auto"/>
                <w:kern w:val="21"/>
                <w:szCs w:val="21"/>
              </w:rPr>
            </w:pPr>
            <w:r>
              <w:rPr>
                <w:rFonts w:ascii="Times New Roman"/>
                <w:snapToGrid w:val="0"/>
                <w:color w:val="auto"/>
                <w:kern w:val="21"/>
                <w:szCs w:val="21"/>
              </w:rPr>
              <w:t>0</w:t>
            </w:r>
            <w:r>
              <w:rPr>
                <w:rFonts w:hint="default" w:ascii="Times New Roman"/>
                <w:color w:val="auto"/>
                <w:szCs w:val="21"/>
              </w:rPr>
              <w:t>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snapToGrid w:val="0"/>
                <w:color w:val="auto"/>
                <w:kern w:val="21"/>
                <w:szCs w:val="21"/>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2</w:t>
            </w:r>
            <w:r>
              <w:rPr>
                <w:rFonts w:hint="eastAsia" w:ascii="Times New Roman" w:hAnsi="Times New Roman" w:cs="Times New Roman"/>
                <w:color w:val="auto"/>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r>
              <w:rPr>
                <w:rFonts w:ascii="Times New Roman"/>
                <w:snapToGrid w:val="0"/>
                <w:color w:val="auto"/>
                <w:kern w:val="21"/>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hint="default" w:ascii="Times New Roman"/>
                <w:snapToGrid w:val="0"/>
                <w:color w:val="auto"/>
                <w:kern w:val="21"/>
                <w:szCs w:val="21"/>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2</w:t>
            </w:r>
            <w:r>
              <w:rPr>
                <w:rFonts w:hint="eastAsia" w:ascii="Times New Roman" w:hAnsi="Times New Roman" w:cs="Times New Roman"/>
                <w:color w:val="auto"/>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napToGrid w:val="0"/>
              <w:jc w:val="center"/>
              <w:rPr>
                <w:rFonts w:ascii="Times New Roman"/>
                <w:snapToGrid w:val="0"/>
                <w:color w:val="000000"/>
                <w:kern w:val="21"/>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2</w:t>
            </w:r>
            <w:r>
              <w:rPr>
                <w:rFonts w:hint="eastAsia" w:ascii="Times New Roman" w:hAnsi="Times New Roman" w:cs="Times New Roman"/>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8" w:space="0"/>
              <w:bottom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8" w:space="0"/>
              <w:right w:val="single" w:color="auto" w:sz="4" w:space="0"/>
            </w:tcBorders>
            <w:shd w:val="clear" w:color="auto" w:fill="auto"/>
            <w:vAlign w:val="center"/>
          </w:tcPr>
          <w:p>
            <w:pPr>
              <w:jc w:val="center"/>
              <w:rPr>
                <w:rFonts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rPr>
              <w:t>废油桶</w:t>
            </w:r>
          </w:p>
        </w:tc>
        <w:tc>
          <w:tcPr>
            <w:tcW w:w="170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before="31" w:after="31" w:line="240" w:lineRule="auto"/>
              <w:jc w:val="center"/>
              <w:rPr>
                <w:rFonts w:hint="default" w:ascii="Times New Roman"/>
                <w:snapToGrid w:val="0"/>
                <w:color w:val="auto"/>
                <w:kern w:val="21"/>
                <w:szCs w:val="21"/>
              </w:rPr>
            </w:pPr>
            <w:r>
              <w:rPr>
                <w:rFonts w:ascii="Times New Roman"/>
                <w:snapToGrid w:val="0"/>
                <w:color w:val="auto"/>
                <w:kern w:val="21"/>
                <w:szCs w:val="21"/>
              </w:rPr>
              <w:t>0</w:t>
            </w:r>
            <w:r>
              <w:rPr>
                <w:rFonts w:hint="default" w:ascii="Times New Roman"/>
                <w:color w:val="auto"/>
                <w:szCs w:val="21"/>
              </w:rPr>
              <w:t>t/a</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8" w:space="0"/>
              <w:right w:val="single" w:color="auto" w:sz="4" w:space="0"/>
            </w:tcBorders>
            <w:shd w:val="clear" w:color="auto" w:fill="auto"/>
            <w:vAlign w:val="center"/>
          </w:tcPr>
          <w:p>
            <w:pPr>
              <w:snapToGrid w:val="0"/>
              <w:jc w:val="center"/>
              <w:rPr>
                <w:rFonts w:ascii="Times New Roman"/>
                <w:snapToGrid w:val="0"/>
                <w:color w:val="auto"/>
                <w:kern w:val="21"/>
                <w:szCs w:val="21"/>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1</w:t>
            </w:r>
            <w:r>
              <w:rPr>
                <w:rFonts w:hint="eastAsia" w:ascii="Times New Roman" w:hAnsi="Times New Roman" w:cs="Times New Roman"/>
                <w:color w:val="auto"/>
                <w:szCs w:val="21"/>
              </w:rPr>
              <w:t>t/a</w:t>
            </w:r>
          </w:p>
        </w:tc>
        <w:tc>
          <w:tcPr>
            <w:tcW w:w="1382"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r>
              <w:rPr>
                <w:rFonts w:ascii="Times New Roman"/>
                <w:color w:val="auto"/>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8" w:space="0"/>
              <w:right w:val="single" w:color="auto" w:sz="4" w:space="0"/>
            </w:tcBorders>
            <w:shd w:val="clear" w:color="auto" w:fill="auto"/>
            <w:vAlign w:val="center"/>
          </w:tcPr>
          <w:p>
            <w:pPr>
              <w:snapToGrid w:val="0"/>
              <w:jc w:val="center"/>
              <w:rPr>
                <w:rFonts w:hint="default" w:ascii="Times New Roman"/>
                <w:snapToGrid w:val="0"/>
                <w:color w:val="auto"/>
                <w:kern w:val="21"/>
                <w:szCs w:val="21"/>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1</w:t>
            </w:r>
            <w:r>
              <w:rPr>
                <w:rFonts w:hint="eastAsia" w:ascii="Times New Roman" w:hAnsi="Times New Roman" w:cs="Times New Roman"/>
                <w:color w:val="auto"/>
                <w:szCs w:val="21"/>
              </w:rPr>
              <w:t>t/a</w:t>
            </w:r>
          </w:p>
        </w:tc>
        <w:tc>
          <w:tcPr>
            <w:tcW w:w="1475" w:type="dxa"/>
            <w:tcBorders>
              <w:top w:val="single" w:color="auto" w:sz="4" w:space="0"/>
              <w:left w:val="single" w:color="auto" w:sz="4" w:space="0"/>
              <w:bottom w:val="single" w:color="auto" w:sz="8" w:space="0"/>
              <w:right w:val="single" w:color="auto" w:sz="8" w:space="0"/>
            </w:tcBorders>
            <w:shd w:val="clear" w:color="auto" w:fill="auto"/>
            <w:vAlign w:val="center"/>
          </w:tcPr>
          <w:p>
            <w:pPr>
              <w:snapToGrid w:val="0"/>
              <w:jc w:val="center"/>
              <w:rPr>
                <w:rFonts w:ascii="Times New Roman"/>
                <w:snapToGrid w:val="0"/>
                <w:color w:val="000000"/>
                <w:kern w:val="21"/>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1</w:t>
            </w:r>
            <w:r>
              <w:rPr>
                <w:rFonts w:hint="eastAsia" w:ascii="Times New Roman" w:hAnsi="Times New Roman" w:cs="Times New Roman"/>
                <w:color w:val="000000"/>
                <w:szCs w:val="21"/>
              </w:rPr>
              <w:t>t/a</w:t>
            </w:r>
          </w:p>
        </w:tc>
      </w:tr>
    </w:tbl>
    <w:p>
      <w:pPr>
        <w:pStyle w:val="43"/>
        <w:widowControl/>
        <w:spacing w:before="249" w:beforeLines="80" w:after="31"/>
        <w:jc w:val="left"/>
        <w:rPr>
          <w:rFonts w:hAnsi="宋体"/>
          <w:color w:val="000000"/>
          <w:spacing w:val="-6"/>
          <w:kern w:val="21"/>
          <w:szCs w:val="21"/>
        </w:rPr>
        <w:sectPr>
          <w:footerReference r:id="rId4" w:type="default"/>
          <w:pgSz w:w="16838" w:h="11906" w:orient="landscape"/>
          <w:pgMar w:top="1531" w:right="1702" w:bottom="1531" w:left="1702" w:header="851" w:footer="851" w:gutter="0"/>
          <w:cols w:space="425" w:num="1"/>
          <w:docGrid w:type="lines" w:linePitch="312" w:charSpace="0"/>
        </w:sectPr>
      </w:pPr>
      <w:r>
        <w:rPr>
          <w:rFonts w:hAnsi="宋体"/>
          <w:snapToGrid w:val="0"/>
          <w:color w:val="000000"/>
          <w:kern w:val="21"/>
          <w:szCs w:val="21"/>
        </w:rPr>
        <w:t>注：</w:t>
      </w:r>
      <w:r>
        <w:rPr>
          <w:rFonts w:hAnsi="宋体"/>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color w:val="000000"/>
          <w:spacing w:val="-16"/>
          <w:kern w:val="21"/>
          <w:szCs w:val="21"/>
        </w:rPr>
        <w:fldChar w:fldCharType="separate"/>
      </w:r>
      <w:r>
        <w:rPr>
          <w:rFonts w:hAnsi="宋体"/>
          <w:szCs w:val="21"/>
        </w:rPr>
        <w:t>⑥</w:t>
      </w:r>
      <w:r>
        <w:rPr>
          <w:rFonts w:hAnsi="宋体"/>
          <w:color w:val="000000"/>
          <w:spacing w:val="-16"/>
          <w:kern w:val="21"/>
          <w:szCs w:val="21"/>
        </w:rPr>
        <w:fldChar w:fldCharType="end"/>
      </w:r>
      <w:r>
        <w:rPr>
          <w:rFonts w:hAnsi="宋体"/>
          <w:snapToGrid w:val="0"/>
          <w:color w:val="000000"/>
          <w:spacing w:val="-1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color w:val="000000"/>
          <w:spacing w:val="-6"/>
          <w:kern w:val="21"/>
          <w:szCs w:val="21"/>
        </w:rPr>
        <w:fldChar w:fldCharType="separate"/>
      </w:r>
      <w:r>
        <w:rPr>
          <w:rFonts w:hAnsi="宋体"/>
          <w:szCs w:val="21"/>
        </w:rPr>
        <w:t>①</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color w:val="000000"/>
          <w:spacing w:val="-6"/>
          <w:kern w:val="21"/>
          <w:szCs w:val="21"/>
        </w:rPr>
        <w:fldChar w:fldCharType="separate"/>
      </w:r>
      <w:r>
        <w:rPr>
          <w:rFonts w:hAnsi="宋体"/>
          <w:szCs w:val="21"/>
        </w:rPr>
        <w:t>③</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color w:val="000000"/>
          <w:spacing w:val="-6"/>
          <w:kern w:val="21"/>
          <w:szCs w:val="21"/>
        </w:rPr>
        <w:fldChar w:fldCharType="separate"/>
      </w:r>
      <w:r>
        <w:rPr>
          <w:rFonts w:hAnsi="宋体"/>
          <w:szCs w:val="21"/>
        </w:rPr>
        <w:t>④</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color w:val="000000"/>
          <w:spacing w:val="-16"/>
          <w:kern w:val="21"/>
          <w:szCs w:val="21"/>
        </w:rPr>
        <w:fldChar w:fldCharType="separate"/>
      </w:r>
      <w:r>
        <w:rPr>
          <w:rFonts w:hAnsi="宋体"/>
          <w:szCs w:val="21"/>
        </w:rPr>
        <w:t>⑤</w:t>
      </w:r>
      <w:r>
        <w:rPr>
          <w:rFonts w:hAnsi="宋体"/>
          <w:color w:val="000000"/>
          <w:spacing w:val="-16"/>
          <w:kern w:val="21"/>
          <w:szCs w:val="21"/>
        </w:rPr>
        <w:fldChar w:fldCharType="end"/>
      </w:r>
      <w:r>
        <w:rPr>
          <w:rFonts w:hAnsi="宋体"/>
          <w:snapToGrid w:val="0"/>
          <w:color w:val="000000"/>
          <w:spacing w:val="-1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color w:val="000000"/>
          <w:spacing w:val="-6"/>
          <w:kern w:val="21"/>
          <w:szCs w:val="21"/>
        </w:rPr>
        <w:fldChar w:fldCharType="separate"/>
      </w:r>
      <w:r>
        <w:rPr>
          <w:rFonts w:hAnsi="宋体"/>
          <w:szCs w:val="21"/>
        </w:rPr>
        <w:t>⑦</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color w:val="000000"/>
          <w:spacing w:val="-16"/>
          <w:kern w:val="21"/>
          <w:szCs w:val="21"/>
        </w:rPr>
        <w:fldChar w:fldCharType="separate"/>
      </w:r>
      <w:r>
        <w:rPr>
          <w:rFonts w:hAnsi="宋体"/>
          <w:szCs w:val="21"/>
        </w:rPr>
        <w:t>⑥</w:t>
      </w:r>
      <w:r>
        <w:rPr>
          <w:rFonts w:hAnsi="宋体"/>
          <w:color w:val="000000"/>
          <w:spacing w:val="-16"/>
          <w:kern w:val="21"/>
          <w:szCs w:val="21"/>
        </w:rPr>
        <w:fldChar w:fldCharType="end"/>
      </w:r>
      <w:r>
        <w:rPr>
          <w:rFonts w:hAnsi="宋体"/>
          <w:snapToGrid w:val="0"/>
          <w:color w:val="000000"/>
          <w:spacing w:val="-1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color w:val="000000"/>
          <w:spacing w:val="-6"/>
          <w:kern w:val="21"/>
          <w:szCs w:val="21"/>
        </w:rPr>
        <w:fldChar w:fldCharType="separate"/>
      </w:r>
      <w:r>
        <w:rPr>
          <w:rFonts w:hAnsi="宋体"/>
          <w:szCs w:val="21"/>
        </w:rPr>
        <w:t>①</w:t>
      </w:r>
      <w:r>
        <w:rPr>
          <w:rFonts w:hAnsi="宋体"/>
          <w:color w:val="000000"/>
          <w:spacing w:val="-6"/>
          <w:kern w:val="21"/>
          <w:szCs w:val="21"/>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rPr>
      </w:pPr>
      <w:r>
        <w:rPr>
          <w:rFonts w:ascii="Times New Roman" w:hAnsi="Times New Roman" w:cs="Times New Roman"/>
          <w:sz w:val="24"/>
        </w:rPr>
        <w:t>附图</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1</w:t>
      </w:r>
      <w:r>
        <w:rPr>
          <w:rFonts w:ascii="Times New Roman" w:hAnsi="Times New Roman" w:cs="Times New Roman"/>
          <w:sz w:val="24"/>
        </w:rPr>
        <w:t xml:space="preserve"> </w:t>
      </w:r>
      <w:r>
        <w:rPr>
          <w:rFonts w:hint="eastAsia" w:ascii="Times New Roman" w:hAnsi="Times New Roman" w:cs="Times New Roman"/>
          <w:sz w:val="24"/>
        </w:rPr>
        <w:t>项目所在地理位置图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rPr>
      </w:pPr>
      <w:r>
        <w:rPr>
          <w:rFonts w:hint="eastAsia" w:ascii="Times New Roman" w:hAnsi="Times New Roman" w:cs="Times New Roman"/>
          <w:sz w:val="24"/>
        </w:rPr>
        <w:t>附图</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2 项目平面布置图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rPr>
      </w:pPr>
      <w:r>
        <w:rPr>
          <w:rFonts w:hint="eastAsia" w:ascii="Times New Roman" w:hAnsi="Times New Roman" w:cs="Times New Roman"/>
          <w:sz w:val="24"/>
        </w:rPr>
        <w:t>附图</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3 项目与生态保护红线位置关系图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rPr>
      </w:pPr>
      <w:r>
        <w:rPr>
          <w:rFonts w:hint="eastAsia" w:ascii="Times New Roman" w:hAnsi="Times New Roman" w:cs="Times New Roman"/>
          <w:sz w:val="24"/>
        </w:rPr>
        <w:t>附图</w:t>
      </w:r>
      <w:r>
        <w:rPr>
          <w:rFonts w:hint="eastAsia" w:ascii="Times New Roman" w:hAnsi="Times New Roman" w:cs="Times New Roman"/>
          <w:sz w:val="24"/>
          <w:lang w:val="en-US" w:eastAsia="zh-CN"/>
        </w:rPr>
        <w:t xml:space="preserve"> 4</w:t>
      </w:r>
      <w:r>
        <w:rPr>
          <w:rFonts w:hint="eastAsia" w:ascii="Times New Roman" w:hAnsi="Times New Roman" w:cs="Times New Roman"/>
          <w:sz w:val="24"/>
        </w:rPr>
        <w:t xml:space="preserve"> 项目</w:t>
      </w:r>
      <w:r>
        <w:rPr>
          <w:rFonts w:hint="eastAsia" w:ascii="Times New Roman" w:hAnsi="Times New Roman" w:cs="Times New Roman"/>
          <w:sz w:val="24"/>
          <w:lang w:eastAsia="zh-CN"/>
        </w:rPr>
        <w:t>四邻</w:t>
      </w:r>
      <w:r>
        <w:rPr>
          <w:rFonts w:hint="eastAsia" w:ascii="Times New Roman" w:hAnsi="Times New Roman" w:cs="Times New Roman"/>
          <w:sz w:val="24"/>
        </w:rPr>
        <w:t>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附图 5 建设项目环境保护目标分布图（500m）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val="en-US" w:eastAsia="zh-CN"/>
        </w:rPr>
        <w:sectPr>
          <w:pgSz w:w="11906" w:h="16838"/>
          <w:pgMar w:top="1702" w:right="1531" w:bottom="1702" w:left="1531" w:header="851" w:footer="851" w:gutter="0"/>
          <w:cols w:space="425" w:num="1"/>
          <w:docGrid w:type="lines" w:linePitch="312" w:charSpace="0"/>
        </w:sectPr>
      </w:pPr>
      <w:r>
        <w:rPr>
          <w:rFonts w:hint="eastAsia" w:ascii="Times New Roman" w:hAnsi="Times New Roman" w:cs="Times New Roman"/>
          <w:sz w:val="24"/>
          <w:lang w:val="en-US" w:eastAsia="zh-CN"/>
        </w:rPr>
        <w:t>附图 6 建设项目环境保护目标分布图（50m）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rPr>
        <w:t>1</w:t>
      </w:r>
      <w:r>
        <w:rPr>
          <w:rFonts w:ascii="Times New Roman" w:hAnsi="Times New Roman" w:cs="Times New Roman"/>
          <w:sz w:val="24"/>
        </w:rPr>
        <w:t xml:space="preserve"> </w:t>
      </w:r>
      <w:r>
        <w:rPr>
          <w:rFonts w:hint="eastAsia" w:ascii="Times New Roman" w:hAnsi="Times New Roman" w:cs="Times New Roman"/>
          <w:sz w:val="24"/>
          <w:lang w:eastAsia="zh-CN"/>
        </w:rPr>
        <w:t>备案证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2</w:t>
      </w:r>
      <w:r>
        <w:rPr>
          <w:rFonts w:ascii="Times New Roman" w:hAnsi="Times New Roman" w:cs="Times New Roman"/>
          <w:sz w:val="24"/>
        </w:rPr>
        <w:t xml:space="preserve"> </w:t>
      </w:r>
      <w:r>
        <w:rPr>
          <w:rFonts w:hint="eastAsia" w:ascii="Times New Roman" w:hAnsi="Times New Roman" w:cs="Times New Roman"/>
          <w:sz w:val="24"/>
          <w:lang w:eastAsia="zh-CN"/>
        </w:rPr>
        <w:t>承德市发展和改革委员会《关于木兰皇家农业综合示范区用煤项目新增用煤指标的划拨意见》（能耗划拨</w:t>
      </w:r>
      <w:r>
        <w:rPr>
          <w:rFonts w:hint="eastAsia" w:ascii="Times New Roman" w:hAnsi="Times New Roman" w:cs="Times New Roman"/>
          <w:sz w:val="24"/>
          <w:lang w:val="en-US" w:eastAsia="zh-CN"/>
        </w:rPr>
        <w:t>2022-01</w:t>
      </w:r>
      <w:r>
        <w:rPr>
          <w:rFonts w:hint="eastAsia" w:ascii="Times New Roman" w:hAnsi="Times New Roman" w:cs="Times New Roman"/>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3</w:t>
      </w:r>
      <w:r>
        <w:rPr>
          <w:rFonts w:hint="eastAsia" w:ascii="Times New Roman" w:hAnsi="Times New Roman" w:cs="Times New Roman"/>
          <w:sz w:val="24"/>
          <w:lang w:eastAsia="zh-CN"/>
        </w:rPr>
        <w:t>煤质检验报告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4</w:t>
      </w:r>
      <w:r>
        <w:rPr>
          <w:rFonts w:ascii="Times New Roman" w:hAnsi="Times New Roman" w:cs="Times New Roman"/>
          <w:sz w:val="24"/>
        </w:rPr>
        <w:t xml:space="preserve"> </w:t>
      </w:r>
      <w:r>
        <w:rPr>
          <w:rFonts w:hint="eastAsia" w:ascii="Times New Roman" w:hAnsi="Times New Roman" w:cs="Times New Roman"/>
          <w:sz w:val="24"/>
          <w:lang w:eastAsia="zh-CN"/>
        </w:rPr>
        <w:t>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5</w:t>
      </w:r>
      <w:r>
        <w:rPr>
          <w:rFonts w:hint="eastAsia" w:ascii="Times New Roman" w:hAnsi="Times New Roman" w:cs="Times New Roman"/>
          <w:sz w:val="24"/>
        </w:rPr>
        <w:t xml:space="preserve"> </w:t>
      </w:r>
      <w:r>
        <w:rPr>
          <w:rFonts w:hint="eastAsia" w:ascii="Times New Roman" w:hAnsi="Times New Roman" w:cs="Times New Roman"/>
          <w:sz w:val="24"/>
          <w:lang w:eastAsia="zh-CN"/>
        </w:rPr>
        <w:t>关于《承德富龙现代农业发展有限公司马铃薯深加工项目环境影响报告表（附水环境影响评价专项报告）》批复</w:t>
      </w:r>
      <w:r>
        <w:rPr>
          <w:rFonts w:hint="eastAsia" w:ascii="Times New Roman" w:hAnsi="Times New Roman" w:cs="Times New Roman"/>
          <w:bCs/>
          <w:sz w:val="24"/>
          <w:lang w:val="en-US" w:eastAsia="zh-CN"/>
        </w:rPr>
        <w:t>（承环评【2012】122号）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6</w:t>
      </w:r>
      <w:r>
        <w:rPr>
          <w:rFonts w:hint="eastAsia" w:ascii="Times New Roman" w:hAnsi="Times New Roman" w:cs="Times New Roman"/>
          <w:sz w:val="24"/>
        </w:rPr>
        <w:t xml:space="preserve"> </w:t>
      </w:r>
      <w:r>
        <w:rPr>
          <w:rFonts w:hint="eastAsia" w:ascii="Times New Roman" w:hAnsi="Times New Roman" w:cs="Times New Roman"/>
          <w:sz w:val="24"/>
          <w:lang w:eastAsia="zh-CN"/>
        </w:rPr>
        <w:t>关于《《承德富龙现代农业发展有限公司马铃薯深加工项目》验收意见</w:t>
      </w:r>
      <w:r>
        <w:rPr>
          <w:rFonts w:hint="eastAsia" w:ascii="Times New Roman" w:hAnsi="Times New Roman" w:cs="Times New Roman"/>
          <w:bCs/>
          <w:sz w:val="24"/>
          <w:lang w:val="en-US" w:eastAsia="zh-CN"/>
        </w:rPr>
        <w:t>（承环验【2016】26号）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z w:val="24"/>
          <w:lang w:eastAsia="zh-CN"/>
        </w:rPr>
      </w:pPr>
      <w:r>
        <w:rPr>
          <w:rFonts w:hint="eastAsia" w:ascii="Times New Roman" w:hAnsi="Times New Roman" w:cs="Times New Roman"/>
          <w:sz w:val="24"/>
          <w:lang w:val="en-US" w:eastAsia="zh-CN"/>
        </w:rPr>
        <w:t>附件7</w:t>
      </w:r>
      <w:r>
        <w:rPr>
          <w:rFonts w:hint="eastAsia" w:ascii="Times New Roman" w:hAnsi="Times New Roman" w:cs="Times New Roman"/>
          <w:sz w:val="24"/>
        </w:rPr>
        <w:t xml:space="preserve"> </w:t>
      </w:r>
      <w:r>
        <w:rPr>
          <w:rFonts w:hint="eastAsia" w:ascii="Times New Roman" w:hAnsi="Times New Roman" w:cs="Times New Roman"/>
          <w:sz w:val="24"/>
          <w:lang w:eastAsia="zh-CN"/>
        </w:rPr>
        <w:t>木兰皇家农业综合示范区集中供热承德富龙现代农业发展有限公司锅炉升级改造项目竣工环境环境保护验收工作组验收意见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val="en-US" w:eastAsia="zh-CN"/>
        </w:rPr>
        <w:t xml:space="preserve">附件8 </w:t>
      </w:r>
      <w:r>
        <w:rPr>
          <w:rFonts w:hint="eastAsia" w:ascii="Times New Roman" w:hAnsi="Times New Roman" w:cs="Times New Roman"/>
          <w:sz w:val="24"/>
          <w:lang w:eastAsia="zh-CN"/>
        </w:rPr>
        <w:t>承德富龙现代农业发展有限公司突发环境事件应急预案备案表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val="en-US" w:eastAsia="zh-CN"/>
        </w:rPr>
        <w:t xml:space="preserve">附件9 </w:t>
      </w:r>
      <w:r>
        <w:rPr>
          <w:rFonts w:hint="eastAsia" w:ascii="Times New Roman" w:hAnsi="Times New Roman" w:cs="Times New Roman"/>
          <w:sz w:val="24"/>
          <w:lang w:eastAsia="zh-CN"/>
        </w:rPr>
        <w:t>承德富龙现代农业发展有限公司排污许可证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val="en-US" w:eastAsia="zh-CN"/>
        </w:rPr>
        <w:t xml:space="preserve">附件10 </w:t>
      </w:r>
      <w:r>
        <w:rPr>
          <w:rFonts w:hint="eastAsia" w:ascii="Times New Roman" w:hAnsi="Times New Roman" w:cs="Times New Roman"/>
          <w:sz w:val="24"/>
          <w:lang w:eastAsia="zh-CN"/>
        </w:rPr>
        <w:t>承德富龙现代农业发展有限公司危险废物收集转运技术服务合同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 xml:space="preserve">附件11 </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木兰皇家农业综合示范园区集中供热承德富龙现代农业发展有限公司锅炉升级改造项目</w:t>
      </w:r>
      <w:r>
        <w:rPr>
          <w:rFonts w:hint="default" w:ascii="Times New Roman" w:hAnsi="Times New Roman" w:eastAsia="宋体" w:cs="Times New Roman"/>
          <w:bCs/>
          <w:color w:val="auto"/>
          <w:sz w:val="24"/>
          <w:lang w:val="en-US" w:eastAsia="zh-CN"/>
        </w:rPr>
        <w:t>竣工环境保护验收报告</w:t>
      </w:r>
      <w:r>
        <w:rPr>
          <w:rFonts w:hint="eastAsia" w:ascii="Times New Roman" w:hAnsi="Times New Roman" w:eastAsia="宋体" w:cs="Times New Roman"/>
          <w:bCs/>
          <w:color w:val="auto"/>
          <w:sz w:val="24"/>
          <w:lang w:val="en-US" w:eastAsia="zh-CN"/>
        </w:rPr>
        <w:t>》</w:t>
      </w:r>
      <w:r>
        <w:rPr>
          <w:rFonts w:hint="eastAsia" w:ascii="Times New Roman" w:hAnsi="Times New Roman" w:eastAsia="宋体" w:cs="Times New Roman"/>
          <w:b w:val="0"/>
          <w:bCs w:val="0"/>
          <w:color w:val="auto"/>
          <w:sz w:val="24"/>
          <w:lang w:val="en-US" w:eastAsia="zh-CN"/>
        </w:rPr>
        <w:t>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附件12 《木兰皇家农业综合示范区蒸汽供给项目环境质量现状监测》检测报告（字PY2302218-001号）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 xml:space="preserve"> </w:t>
      </w:r>
    </w:p>
    <w:p>
      <w:pPr>
        <w:pStyle w:val="33"/>
        <w:numPr>
          <w:ilvl w:val="4"/>
          <w:numId w:val="0"/>
        </w:numPr>
        <w:ind w:leftChars="0"/>
        <w:jc w:val="both"/>
        <w:rPr>
          <w:rFonts w:hint="default"/>
        </w:rPr>
        <w:sectPr>
          <w:pgSz w:w="11906" w:h="16838"/>
          <w:pgMar w:top="1702" w:right="1531" w:bottom="1702" w:left="1531" w:header="851" w:footer="851" w:gutter="0"/>
          <w:cols w:space="425" w:num="1"/>
          <w:docGrid w:type="lines" w:linePitch="312" w:charSpace="0"/>
        </w:sectPr>
      </w:pPr>
    </w:p>
    <w:p>
      <w:pPr>
        <w:jc w:val="center"/>
        <w:rPr>
          <w:rFonts w:hint="eastAsia"/>
          <w:lang w:val="en-US" w:eastAsia="zh-CN"/>
        </w:rPr>
      </w:pPr>
      <w:r>
        <mc:AlternateContent>
          <mc:Choice Requires="wpg">
            <w:drawing>
              <wp:anchor distT="0" distB="0" distL="114300" distR="114300" simplePos="0" relativeHeight="251664384" behindDoc="0" locked="0" layoutInCell="1" allowOverlap="1">
                <wp:simplePos x="0" y="0"/>
                <wp:positionH relativeFrom="column">
                  <wp:posOffset>4218940</wp:posOffset>
                </wp:positionH>
                <wp:positionV relativeFrom="paragraph">
                  <wp:posOffset>2971800</wp:posOffset>
                </wp:positionV>
                <wp:extent cx="1146810" cy="360045"/>
                <wp:effectExtent l="12065" t="4445" r="22225" b="16510"/>
                <wp:wrapNone/>
                <wp:docPr id="129" name="组合 129"/>
                <wp:cNvGraphicFramePr/>
                <a:graphic xmlns:a="http://schemas.openxmlformats.org/drawingml/2006/main">
                  <a:graphicData uri="http://schemas.microsoft.com/office/word/2010/wordprocessingGroup">
                    <wpg:wgp>
                      <wpg:cNvGrpSpPr/>
                      <wpg:grpSpPr>
                        <a:xfrm flipH="1" flipV="1">
                          <a:off x="0" y="0"/>
                          <a:ext cx="1146810" cy="360045"/>
                          <a:chOff x="2663" y="804257"/>
                          <a:chExt cx="1667" cy="529"/>
                        </a:xfrm>
                      </wpg:grpSpPr>
                      <wps:wsp>
                        <wps:cNvPr id="119" name="任意多边形 119"/>
                        <wps:cNvSpPr/>
                        <wps:spPr>
                          <a:xfrm>
                            <a:off x="4223" y="804257"/>
                            <a:ext cx="107" cy="107"/>
                          </a:xfrm>
                          <a:custGeom>
                            <a:avLst/>
                            <a:gdLst/>
                            <a:ahLst/>
                            <a:cxnLst>
                              <a:cxn ang="16187392">
                                <a:pos x="53" y="0"/>
                              </a:cxn>
                              <a:cxn ang="10747904">
                                <a:pos x="0" y="40"/>
                              </a:cxn>
                              <a:cxn ang="5373952">
                                <a:pos x="20" y="106"/>
                              </a:cxn>
                              <a:cxn ang="5373952">
                                <a:pos x="86" y="106"/>
                              </a:cxn>
                              <a:cxn ang="0">
                                <a:pos x="106" y="40"/>
                              </a:cxn>
                            </a:cxnLst>
                            <a:rect l="0" t="0" r="0" b="0"/>
                            <a:pathLst>
                              <a:path w="107" h="107">
                                <a:moveTo>
                                  <a:pt x="0" y="40"/>
                                </a:moveTo>
                                <a:lnTo>
                                  <a:pt x="40" y="40"/>
                                </a:lnTo>
                                <a:lnTo>
                                  <a:pt x="53" y="0"/>
                                </a:lnTo>
                                <a:lnTo>
                                  <a:pt x="66" y="40"/>
                                </a:lnTo>
                                <a:lnTo>
                                  <a:pt x="106" y="40"/>
                                </a:lnTo>
                                <a:lnTo>
                                  <a:pt x="73" y="66"/>
                                </a:lnTo>
                                <a:lnTo>
                                  <a:pt x="86" y="106"/>
                                </a:lnTo>
                                <a:lnTo>
                                  <a:pt x="53" y="81"/>
                                </a:lnTo>
                                <a:lnTo>
                                  <a:pt x="20" y="106"/>
                                </a:lnTo>
                                <a:lnTo>
                                  <a:pt x="33" y="66"/>
                                </a:lnTo>
                                <a:close/>
                              </a:path>
                            </a:pathLst>
                          </a:custGeom>
                          <a:solidFill>
                            <a:srgbClr val="C0504D"/>
                          </a:solidFill>
                          <a:ln w="25400" cap="flat" cmpd="sng">
                            <a:solidFill>
                              <a:srgbClr val="FF0000"/>
                            </a:solidFill>
                            <a:prstDash val="solid"/>
                            <a:round/>
                            <a:headEnd type="none" w="med" len="med"/>
                            <a:tailEnd type="none" w="med" len="med"/>
                          </a:ln>
                        </wps:spPr>
                        <wps:bodyPr anchor="ctr" anchorCtr="0" upright="1"/>
                      </wps:wsp>
                      <wps:wsp>
                        <wps:cNvPr id="120" name="圆角矩形标注 120"/>
                        <wps:cNvSpPr/>
                        <wps:spPr>
                          <a:xfrm>
                            <a:off x="2663" y="804317"/>
                            <a:ext cx="1384" cy="469"/>
                          </a:xfrm>
                          <a:prstGeom prst="wedgeRoundRectCallout">
                            <a:avLst>
                              <a:gd name="adj1" fmla="val 62139"/>
                              <a:gd name="adj2" fmla="val -4594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0" w:lineRule="atLeast"/>
                                <w:ind w:left="0" w:leftChars="0" w:firstLine="0" w:firstLineChars="0"/>
                                <w:jc w:val="both"/>
                                <w:rPr>
                                  <w:rFonts w:eastAsia="宋体"/>
                                  <w:b/>
                                  <w:color w:val="FF0000"/>
                                  <w:sz w:val="24"/>
                                </w:rPr>
                              </w:pPr>
                              <w:r>
                                <w:rPr>
                                  <w:rFonts w:hint="eastAsia" w:hAnsi="宋体"/>
                                  <w:b/>
                                  <w:color w:val="FF0000"/>
                                  <w:sz w:val="24"/>
                                </w:rPr>
                                <w:t>建设项目</w:t>
                              </w:r>
                            </w:p>
                          </w:txbxContent>
                        </wps:txbx>
                        <wps:bodyPr upright="1"/>
                      </wps:wsp>
                    </wpg:wgp>
                  </a:graphicData>
                </a:graphic>
              </wp:anchor>
            </w:drawing>
          </mc:Choice>
          <mc:Fallback>
            <w:pict>
              <v:group id="_x0000_s1026" o:spid="_x0000_s1026" o:spt="203" style="position:absolute;left:0pt;flip:x y;margin-left:332.2pt;margin-top:234pt;height:28.35pt;width:90.3pt;z-index:251664384;mso-width-relative:page;mso-height-relative:page;" coordorigin="2663,804257" coordsize="1667,529" o:gfxdata="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BJel1E2wAAAAsBAAAPAAAAAAAAAAEAIAAAACIAAABkcnMvZG93bnJldi54bWxQSwECFAAU&#10;AAAACACHTuJARxHChygEAAByCwAADgAAAAAAAAABACAAAAAqAQAAZHJzL2Uyb0RvYy54bWxQSwUG&#10;AAAAAAYABgBZAQAAxAcAAAAA&#10;">
                <o:lock v:ext="edit" aspectratio="f"/>
                <v:shape id="_x0000_s1026" o:spid="_x0000_s1026" o:spt="100" style="position:absolute;left:4223;top:804257;height:107;width:107;v-text-anchor:middle;" fillcolor="#C0504D" filled="t" stroked="t" coordsize="107,107" o:gfxdata="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FqCbsAAADc&#10;AAAADwAAAAAAAAABACAAAAAiAAAAZHJzL2Rvd25yZXYueG1sUEsBAhQAFAAAAAgAh07iQDMvBZ47&#10;AAAAOQAAABAAAAAAAAAAAQAgAAAACgEAAGRycy9zaGFwZXhtbC54bWxQSwUGAAAAAAYABgBbAQAA&#10;tAMAAAAA&#10;" path="m0,40l40,40,53,0,66,40,106,40,73,66,86,106,53,81,20,106,33,66xe">
                  <v:path o:connectlocs="53,0;0,40;20,106;86,106;106,40" o:connectangles="247,164,82,82,0"/>
                  <v:fill on="t" focussize="0,0"/>
                  <v:stroke weight="2pt" color="#FF0000" joinstyle="round"/>
                  <v:imagedata o:title=""/>
                  <o:lock v:ext="edit" aspectratio="f"/>
                </v:shape>
                <v:shape id="_x0000_s1026" o:spid="_x0000_s1026" o:spt="62" type="#_x0000_t62" style="position:absolute;left:2663;top:804317;height:469;width:1384;" fillcolor="#FFFFFF" filled="t" stroked="t" coordsize="21600,21600" o:gfxdata="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KZovQAA&#10;ANwAAAAPAAAAAAAAAAEAIAAAACIAAABkcnMvZG93bnJldi54bWxQSwECFAAUAAAACACHTuJAMy8F&#10;njsAAAA5AAAAEAAAAAAAAAABACAAAAAMAQAAZHJzL3NoYXBleG1sLnhtbFBLBQYAAAAABgAGAFsB&#10;AAC2AwAAAAA=&#10;" adj="24222,875,14400">
                  <v:fill on="t" focussize="0,0"/>
                  <v:stroke color="#FF0000" joinstyle="miter"/>
                  <v:imagedata o:title=""/>
                  <o:lock v:ext="edit" aspectratio="f"/>
                  <v:textbox>
                    <w:txbxContent>
                      <w:p>
                        <w:pPr>
                          <w:spacing w:line="0" w:lineRule="atLeast"/>
                          <w:ind w:left="0" w:leftChars="0" w:firstLine="0" w:firstLineChars="0"/>
                          <w:jc w:val="both"/>
                          <w:rPr>
                            <w:rFonts w:eastAsia="宋体"/>
                            <w:b/>
                            <w:color w:val="FF0000"/>
                            <w:sz w:val="24"/>
                          </w:rPr>
                        </w:pPr>
                        <w:r>
                          <w:rPr>
                            <w:rFonts w:hint="eastAsia" w:hAnsi="宋体"/>
                            <w:b/>
                            <w:color w:val="FF0000"/>
                            <w:sz w:val="24"/>
                          </w:rPr>
                          <w:t>建设项目</w:t>
                        </w:r>
                      </w:p>
                    </w:txbxContent>
                  </v:textbox>
                </v:shape>
              </v:group>
            </w:pict>
          </mc:Fallback>
        </mc:AlternateContent>
      </w:r>
      <w:r>
        <w:rPr>
          <w:rFonts w:hint="eastAsia"/>
          <w:lang w:val="en-US" w:eastAsia="zh-CN"/>
        </w:rPr>
        <w:drawing>
          <wp:inline distT="0" distB="0" distL="114300" distR="114300">
            <wp:extent cx="6938010" cy="5284470"/>
            <wp:effectExtent l="0" t="0" r="15240" b="11430"/>
            <wp:docPr id="11" name="图片 11" descr="围场满族蒙古族自治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围场满族蒙古族自治县"/>
                    <pic:cNvPicPr>
                      <a:picLocks noChangeAspect="1"/>
                    </pic:cNvPicPr>
                  </pic:nvPicPr>
                  <pic:blipFill>
                    <a:blip r:embed="rId19"/>
                    <a:srcRect l="128" t="7814" r="14122" b="-181"/>
                    <a:stretch>
                      <a:fillRect/>
                    </a:stretch>
                  </pic:blipFill>
                  <pic:spPr>
                    <a:xfrm>
                      <a:off x="0" y="0"/>
                      <a:ext cx="6938010" cy="5284470"/>
                    </a:xfrm>
                    <a:prstGeom prst="rect">
                      <a:avLst/>
                    </a:prstGeom>
                  </pic:spPr>
                </pic:pic>
              </a:graphicData>
            </a:graphic>
          </wp:inline>
        </w:drawing>
      </w:r>
    </w:p>
    <w:p>
      <w:pPr>
        <w:jc w:val="center"/>
        <w:rPr>
          <w:rFonts w:ascii="Times New Roman" w:hAnsi="Times New Roman" w:cs="Times New Roman"/>
          <w:b/>
          <w:bCs/>
        </w:rPr>
      </w:pPr>
      <w:r>
        <w:rPr>
          <w:rFonts w:ascii="Times New Roman" w:hAnsi="Times New Roman" w:cs="Times New Roman"/>
          <w:b/>
          <w:bCs/>
        </w:rPr>
        <w:t>附图</w:t>
      </w:r>
      <w:r>
        <w:rPr>
          <w:rFonts w:hint="eastAsia" w:ascii="Times New Roman" w:hAnsi="Times New Roman" w:cs="Times New Roman"/>
          <w:b/>
          <w:bCs/>
        </w:rPr>
        <w:t>1</w:t>
      </w:r>
      <w:r>
        <w:rPr>
          <w:rFonts w:ascii="Times New Roman" w:hAnsi="Times New Roman" w:cs="Times New Roman"/>
          <w:b/>
          <w:bCs/>
        </w:rPr>
        <w:t xml:space="preserve"> </w:t>
      </w:r>
      <w:r>
        <w:rPr>
          <w:rFonts w:hint="eastAsia" w:ascii="Times New Roman" w:hAnsi="Times New Roman" w:cs="Times New Roman"/>
          <w:b/>
          <w:bCs/>
        </w:rPr>
        <w:t>项目所在地理位置图</w:t>
      </w:r>
    </w:p>
    <w:p>
      <w:pPr>
        <w:jc w:val="center"/>
        <w:rPr>
          <w:rFonts w:hint="default"/>
          <w:lang w:val="en-US"/>
        </w:rPr>
        <w:sectPr>
          <w:pgSz w:w="16838" w:h="11906" w:orient="landscape"/>
          <w:pgMar w:top="1531" w:right="1702" w:bottom="1531" w:left="1702" w:header="851" w:footer="851" w:gutter="0"/>
          <w:cols w:space="425" w:num="1"/>
          <w:docGrid w:type="lines" w:linePitch="312" w:charSpace="0"/>
        </w:sectPr>
      </w:pPr>
    </w:p>
    <w:p>
      <w:pPr>
        <w:jc w:val="center"/>
      </w:pPr>
    </w:p>
    <w:p>
      <w:pPr>
        <w:jc w:val="center"/>
      </w:pPr>
      <w:r>
        <w:drawing>
          <wp:inline distT="0" distB="0" distL="114300" distR="114300">
            <wp:extent cx="7593965" cy="5093335"/>
            <wp:effectExtent l="0" t="0" r="6985"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7593965" cy="5093335"/>
                    </a:xfrm>
                    <a:prstGeom prst="rect">
                      <a:avLst/>
                    </a:prstGeom>
                    <a:noFill/>
                    <a:ln>
                      <a:noFill/>
                    </a:ln>
                  </pic:spPr>
                </pic:pic>
              </a:graphicData>
            </a:graphic>
          </wp:inline>
        </w:drawing>
      </w:r>
    </w:p>
    <w:p>
      <w:pPr>
        <w:jc w:val="center"/>
        <w:rPr>
          <w:rFonts w:ascii="Times New Roman" w:hAnsi="Times New Roman" w:cs="Times New Roman"/>
          <w:b/>
          <w:bCs/>
        </w:rPr>
      </w:pPr>
      <w:r>
        <w:rPr>
          <w:rFonts w:ascii="Times New Roman" w:hAnsi="Times New Roman" w:cs="Times New Roman"/>
          <w:b/>
          <w:bCs/>
        </w:rPr>
        <w:t>附图</w:t>
      </w:r>
      <w:r>
        <w:rPr>
          <w:rFonts w:hint="eastAsia" w:ascii="Times New Roman" w:hAnsi="Times New Roman" w:cs="Times New Roman"/>
          <w:b/>
          <w:bCs/>
        </w:rPr>
        <w:t>2</w:t>
      </w:r>
      <w:r>
        <w:rPr>
          <w:rFonts w:ascii="Times New Roman" w:hAnsi="Times New Roman" w:cs="Times New Roman"/>
          <w:b/>
          <w:bCs/>
        </w:rPr>
        <w:t xml:space="preserve"> </w:t>
      </w:r>
      <w:r>
        <w:rPr>
          <w:rFonts w:hint="eastAsia" w:ascii="Times New Roman" w:hAnsi="Times New Roman" w:cs="Times New Roman"/>
          <w:b/>
          <w:bCs/>
        </w:rPr>
        <w:t>项目平面布置图</w:t>
      </w:r>
    </w:p>
    <w:p>
      <w:pPr>
        <w:jc w:val="center"/>
        <w:sectPr>
          <w:pgSz w:w="16838" w:h="11906" w:orient="landscape"/>
          <w:pgMar w:top="1531" w:right="1702" w:bottom="1531" w:left="1702" w:header="851" w:footer="851" w:gutter="0"/>
          <w:cols w:space="425" w:num="1"/>
          <w:docGrid w:type="lines" w:linePitch="312" w:charSpace="0"/>
        </w:sectPr>
      </w:pPr>
    </w:p>
    <w:p>
      <w:pPr>
        <w:pStyle w:val="43"/>
        <w:widowControl/>
        <w:spacing w:before="249" w:beforeLines="80" w:after="31"/>
        <w:jc w:val="center"/>
        <w:rPr>
          <w:rFonts w:hint="default"/>
        </w:rPr>
      </w:pPr>
      <w:r>
        <w:drawing>
          <wp:inline distT="0" distB="0" distL="114300" distR="114300">
            <wp:extent cx="7595235" cy="5196205"/>
            <wp:effectExtent l="0" t="0" r="5715"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7595235" cy="5196205"/>
                    </a:xfrm>
                    <a:prstGeom prst="rect">
                      <a:avLst/>
                    </a:prstGeom>
                    <a:noFill/>
                    <a:ln>
                      <a:noFill/>
                    </a:ln>
                  </pic:spPr>
                </pic:pic>
              </a:graphicData>
            </a:graphic>
          </wp:inline>
        </w:drawing>
      </w:r>
    </w:p>
    <w:p>
      <w:pPr>
        <w:jc w:val="center"/>
        <w:rPr>
          <w:rFonts w:ascii="Times New Roman" w:hAnsi="Times New Roman" w:cs="Times New Roman"/>
          <w:b/>
          <w:bCs/>
        </w:rPr>
      </w:pPr>
      <w:r>
        <w:rPr>
          <w:rFonts w:ascii="Times New Roman" w:hAnsi="Times New Roman" w:cs="Times New Roman"/>
          <w:b/>
          <w:bCs/>
        </w:rPr>
        <w:t xml:space="preserve">附图3 </w:t>
      </w:r>
      <w:r>
        <w:rPr>
          <w:rFonts w:hint="eastAsia" w:ascii="Times New Roman" w:hAnsi="Times New Roman" w:cs="Times New Roman"/>
          <w:b/>
          <w:bCs/>
        </w:rPr>
        <w:t>项目与生态保护红线位置关系图</w:t>
      </w:r>
    </w:p>
    <w:p>
      <w:pPr>
        <w:pStyle w:val="43"/>
        <w:keepNext w:val="0"/>
        <w:keepLines w:val="0"/>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bCs/>
        </w:rPr>
      </w:pPr>
      <w:r>
        <w:rPr>
          <w:color w:val="auto"/>
        </w:rPr>
        <w:drawing>
          <wp:inline distT="0" distB="0" distL="114300" distR="114300">
            <wp:extent cx="8378825" cy="4872990"/>
            <wp:effectExtent l="0" t="0" r="3175" b="381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22"/>
                    <a:stretch>
                      <a:fillRect/>
                    </a:stretch>
                  </pic:blipFill>
                  <pic:spPr>
                    <a:xfrm>
                      <a:off x="0" y="0"/>
                      <a:ext cx="8378825" cy="4872990"/>
                    </a:xfrm>
                    <a:prstGeom prst="rect">
                      <a:avLst/>
                    </a:prstGeom>
                    <a:noFill/>
                    <a:ln>
                      <a:noFill/>
                    </a:ln>
                  </pic:spPr>
                </pic:pic>
              </a:graphicData>
            </a:graphic>
          </wp:inline>
        </w:drawing>
      </w:r>
      <w:r>
        <w:rPr>
          <w:rFonts w:ascii="Times New Roman" w:hAnsi="Times New Roman" w:cs="Times New Roman"/>
          <w:b/>
          <w:bCs/>
        </w:rPr>
        <w:t>附图</w:t>
      </w:r>
      <w:r>
        <w:rPr>
          <w:rFonts w:hint="eastAsia" w:ascii="Times New Roman" w:hAnsi="Times New Roman" w:cs="Times New Roman"/>
          <w:b/>
          <w:bCs/>
          <w:lang w:val="en-US" w:eastAsia="zh-CN"/>
        </w:rPr>
        <w:t>4</w:t>
      </w:r>
      <w:r>
        <w:rPr>
          <w:rFonts w:ascii="Times New Roman" w:hAnsi="Times New Roman" w:cs="Times New Roman"/>
          <w:b/>
          <w:bCs/>
        </w:rPr>
        <w:t xml:space="preserve"> </w:t>
      </w:r>
      <w:r>
        <w:rPr>
          <w:rFonts w:hint="eastAsia" w:ascii="Times New Roman" w:hAnsi="Times New Roman" w:cs="Times New Roman"/>
          <w:b/>
          <w:bCs/>
        </w:rPr>
        <w:t>项目</w:t>
      </w:r>
      <w:r>
        <w:rPr>
          <w:rFonts w:hint="eastAsia" w:ascii="Times New Roman" w:cs="Times New Roman"/>
          <w:b/>
          <w:bCs/>
          <w:lang w:eastAsia="zh-CN"/>
        </w:rPr>
        <w:t>四邻</w:t>
      </w:r>
      <w:r>
        <w:rPr>
          <w:rFonts w:hint="eastAsia" w:ascii="Times New Roman" w:hAnsi="Times New Roman" w:cs="Times New Roman"/>
          <w:b/>
          <w:bCs/>
        </w:rPr>
        <w:t>关系图</w:t>
      </w:r>
    </w:p>
    <w:p>
      <w:pPr>
        <w:rPr>
          <w:rFonts w:hint="default"/>
        </w:rPr>
      </w:pPr>
    </w:p>
    <w:p>
      <w:pPr>
        <w:bidi w:val="0"/>
        <w:jc w:val="center"/>
      </w:pPr>
      <w:r>
        <w:drawing>
          <wp:inline distT="0" distB="0" distL="114300" distR="114300">
            <wp:extent cx="7175500" cy="4812030"/>
            <wp:effectExtent l="0" t="0" r="6350" b="762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a:stretch>
                      <a:fillRect/>
                    </a:stretch>
                  </pic:blipFill>
                  <pic:spPr>
                    <a:xfrm>
                      <a:off x="0" y="0"/>
                      <a:ext cx="7175500" cy="4812030"/>
                    </a:xfrm>
                    <a:prstGeom prst="rect">
                      <a:avLst/>
                    </a:prstGeom>
                    <a:noFill/>
                    <a:ln>
                      <a:noFill/>
                    </a:ln>
                  </pic:spPr>
                </pic:pic>
              </a:graphicData>
            </a:graphic>
          </wp:inline>
        </w:drawing>
      </w:r>
    </w:p>
    <w:p>
      <w:pPr>
        <w:bidi w:val="0"/>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附图 5 建设项目环境保护目标分布图（500m）</w:t>
      </w:r>
    </w:p>
    <w:p>
      <w:pPr>
        <w:bidi w:val="0"/>
        <w:jc w:val="center"/>
      </w:pPr>
      <w:r>
        <w:drawing>
          <wp:inline distT="0" distB="0" distL="114300" distR="114300">
            <wp:extent cx="6598285" cy="5185410"/>
            <wp:effectExtent l="0" t="0" r="12065" b="152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4"/>
                    <a:stretch>
                      <a:fillRect/>
                    </a:stretch>
                  </pic:blipFill>
                  <pic:spPr>
                    <a:xfrm>
                      <a:off x="0" y="0"/>
                      <a:ext cx="6598285" cy="5185410"/>
                    </a:xfrm>
                    <a:prstGeom prst="rect">
                      <a:avLst/>
                    </a:prstGeom>
                    <a:noFill/>
                    <a:ln>
                      <a:noFill/>
                    </a:ln>
                  </pic:spPr>
                </pic:pic>
              </a:graphicData>
            </a:graphic>
          </wp:inline>
        </w:drawing>
      </w:r>
    </w:p>
    <w:p>
      <w:pPr>
        <w:bidi w:val="0"/>
        <w:jc w:val="center"/>
        <w:rPr>
          <w:rFonts w:hint="default"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附图 6 建设</w:t>
      </w:r>
      <w:r>
        <w:rPr>
          <w:rFonts w:hint="default" w:ascii="Times New Roman" w:hAnsi="Times New Roman" w:eastAsia="宋体" w:cs="Times New Roman"/>
          <w:b/>
          <w:bCs/>
          <w:kern w:val="0"/>
          <w:sz w:val="21"/>
          <w:szCs w:val="20"/>
          <w:lang w:val="en-US" w:eastAsia="zh-CN" w:bidi="ar-SA"/>
        </w:rPr>
        <w:t>项目</w:t>
      </w:r>
      <w:r>
        <w:rPr>
          <w:rFonts w:hint="eastAsia" w:ascii="Times New Roman" w:hAnsi="Times New Roman" w:eastAsia="宋体" w:cs="Times New Roman"/>
          <w:b/>
          <w:bCs/>
          <w:kern w:val="0"/>
          <w:sz w:val="21"/>
          <w:szCs w:val="20"/>
          <w:lang w:val="en-US" w:eastAsia="zh-CN" w:bidi="ar-SA"/>
        </w:rPr>
        <w:t>环境保护目标分布</w:t>
      </w:r>
      <w:r>
        <w:rPr>
          <w:rFonts w:hint="default" w:ascii="Times New Roman" w:hAnsi="Times New Roman" w:eastAsia="宋体" w:cs="Times New Roman"/>
          <w:b/>
          <w:bCs/>
          <w:kern w:val="0"/>
          <w:sz w:val="21"/>
          <w:szCs w:val="20"/>
          <w:lang w:val="en-US" w:eastAsia="zh-CN" w:bidi="ar-SA"/>
        </w:rPr>
        <w:t>图</w:t>
      </w:r>
      <w:r>
        <w:rPr>
          <w:rFonts w:hint="eastAsia" w:ascii="Times New Roman" w:hAnsi="Times New Roman" w:eastAsia="宋体" w:cs="Times New Roman"/>
          <w:b/>
          <w:bCs/>
          <w:kern w:val="0"/>
          <w:sz w:val="21"/>
          <w:szCs w:val="20"/>
          <w:lang w:val="en-US" w:eastAsia="zh-CN" w:bidi="ar-SA"/>
        </w:rPr>
        <w:t>（50m）</w:t>
      </w:r>
    </w:p>
    <w:sectPr>
      <w:pgSz w:w="16838" w:h="11906" w:orient="landscape"/>
      <w:pgMar w:top="1531" w:right="1702" w:bottom="1531" w:left="1702"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方正小标宋_GBK">
    <w:altName w:val="微软雅黑"/>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BD1D71"/>
    <w:multiLevelType w:val="singleLevel"/>
    <w:tmpl w:val="99BD1D71"/>
    <w:lvl w:ilvl="0" w:tentative="0">
      <w:start w:val="5"/>
      <w:numFmt w:val="decimal"/>
      <w:suff w:val="nothing"/>
      <w:lvlText w:val="%1、"/>
      <w:lvlJc w:val="left"/>
    </w:lvl>
  </w:abstractNum>
  <w:abstractNum w:abstractNumId="1">
    <w:nsid w:val="C1B4A333"/>
    <w:multiLevelType w:val="singleLevel"/>
    <w:tmpl w:val="C1B4A333"/>
    <w:lvl w:ilvl="0" w:tentative="0">
      <w:start w:val="2"/>
      <w:numFmt w:val="decimal"/>
      <w:suff w:val="nothing"/>
      <w:lvlText w:val="%1、"/>
      <w:lvlJc w:val="left"/>
    </w:lvl>
  </w:abstractNum>
  <w:abstractNum w:abstractNumId="2">
    <w:nsid w:val="C8769DE9"/>
    <w:multiLevelType w:val="singleLevel"/>
    <w:tmpl w:val="C8769DE9"/>
    <w:lvl w:ilvl="0" w:tentative="0">
      <w:start w:val="2"/>
      <w:numFmt w:val="decimal"/>
      <w:suff w:val="nothing"/>
      <w:lvlText w:val="（%1）"/>
      <w:lvlJc w:val="left"/>
    </w:lvl>
  </w:abstractNum>
  <w:abstractNum w:abstractNumId="3">
    <w:nsid w:val="04E356F8"/>
    <w:multiLevelType w:val="singleLevel"/>
    <w:tmpl w:val="04E356F8"/>
    <w:lvl w:ilvl="0" w:tentative="0">
      <w:start w:val="1"/>
      <w:numFmt w:val="decimal"/>
      <w:suff w:val="nothing"/>
      <w:lvlText w:val="%1、"/>
      <w:lvlJc w:val="left"/>
    </w:lvl>
  </w:abstractNum>
  <w:abstractNum w:abstractNumId="4">
    <w:nsid w:val="0F432353"/>
    <w:multiLevelType w:val="multilevel"/>
    <w:tmpl w:val="0F432353"/>
    <w:lvl w:ilvl="0" w:tentative="0">
      <w:start w:val="1"/>
      <w:numFmt w:val="decimal"/>
      <w:isLgl/>
      <w:suff w:val="space"/>
      <w:lvlText w:val="第%1章"/>
      <w:lvlJc w:val="center"/>
      <w:pPr>
        <w:ind w:left="0" w:firstLine="0"/>
      </w:pPr>
      <w:rPr>
        <w:rFonts w:hint="eastAsia"/>
      </w:rPr>
    </w:lvl>
    <w:lvl w:ilvl="1" w:tentative="0">
      <w:start w:val="1"/>
      <w:numFmt w:val="decimal"/>
      <w:isLgl/>
      <w:suff w:val="space"/>
      <w:lvlText w:val="%1.%2"/>
      <w:lvlJc w:val="left"/>
      <w:pPr>
        <w:ind w:left="0" w:firstLine="0"/>
      </w:pPr>
      <w:rPr>
        <w:rFonts w:hint="eastAsia" w:ascii="Times New Roman" w:hAnsi="Times New Roman" w:cs="Times New Roman"/>
        <w:b w:val="0"/>
        <w:bCs w:val="0"/>
        <w:i w:val="0"/>
        <w:iCs w:val="0"/>
        <w:caps w:val="0"/>
        <w:smallCaps w:val="0"/>
        <w:strike w:val="0"/>
        <w:dstrike w:val="0"/>
        <w:vanish w:val="0"/>
        <w:spacing w:val="0"/>
        <w:kern w:val="0"/>
        <w:position w:val="0"/>
        <w:u w:val="none"/>
        <w:vertAlign w:val="baseline"/>
      </w:rPr>
    </w:lvl>
    <w:lvl w:ilvl="2" w:tentative="0">
      <w:start w:val="1"/>
      <w:numFmt w:val="decimal"/>
      <w:isLgl/>
      <w:suff w:val="nothing"/>
      <w:lvlText w:val="%1.%2.%3"/>
      <w:lvlJc w:val="left"/>
      <w:pPr>
        <w:ind w:left="0" w:firstLine="0"/>
      </w:pPr>
      <w:rPr>
        <w:rFonts w:hint="eastAsia"/>
      </w:rPr>
    </w:lvl>
    <w:lvl w:ilvl="3" w:tentative="0">
      <w:start w:val="1"/>
      <w:numFmt w:val="decimal"/>
      <w:isLgl/>
      <w:suff w:val="nothing"/>
      <w:lvlText w:val="%1.%2.%3.%4"/>
      <w:lvlJc w:val="left"/>
      <w:pPr>
        <w:ind w:left="0" w:firstLine="0"/>
      </w:pPr>
      <w:rPr>
        <w:rFonts w:hint="eastAsia"/>
      </w:rPr>
    </w:lvl>
    <w:lvl w:ilvl="4" w:tentative="0">
      <w:start w:val="1"/>
      <w:numFmt w:val="decimal"/>
      <w:lvlRestart w:val="2"/>
      <w:pStyle w:val="36"/>
      <w:isLgl/>
      <w:suff w:val="nothing"/>
      <w:lvlText w:val="表%1.%2-%5"/>
      <w:lvlJc w:val="center"/>
      <w:pPr>
        <w:ind w:left="0" w:firstLine="0"/>
      </w:p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5">
    <w:nsid w:val="1049AB53"/>
    <w:multiLevelType w:val="singleLevel"/>
    <w:tmpl w:val="1049AB53"/>
    <w:lvl w:ilvl="0" w:tentative="0">
      <w:start w:val="2"/>
      <w:numFmt w:val="decimal"/>
      <w:suff w:val="nothing"/>
      <w:lvlText w:val="（%1）"/>
      <w:lvlJc w:val="left"/>
    </w:lvl>
  </w:abstractNum>
  <w:abstractNum w:abstractNumId="6">
    <w:nsid w:val="5595CF87"/>
    <w:multiLevelType w:val="singleLevel"/>
    <w:tmpl w:val="5595CF87"/>
    <w:lvl w:ilvl="0" w:tentative="0">
      <w:start w:val="1"/>
      <w:numFmt w:val="decimal"/>
      <w:suff w:val="nothing"/>
      <w:lvlText w:val="%1、"/>
      <w:lvlJc w:val="left"/>
    </w:lvl>
  </w:abstractNum>
  <w:abstractNum w:abstractNumId="7">
    <w:nsid w:val="5A4A69E1"/>
    <w:multiLevelType w:val="singleLevel"/>
    <w:tmpl w:val="5A4A69E1"/>
    <w:lvl w:ilvl="0" w:tentative="0">
      <w:start w:val="1"/>
      <w:numFmt w:val="decimal"/>
      <w:suff w:val="nothing"/>
      <w:lvlText w:val="（%1）"/>
      <w:lvlJc w:val="left"/>
    </w:lvl>
  </w:abstractNum>
  <w:abstractNum w:abstractNumId="8">
    <w:nsid w:val="6F7892B5"/>
    <w:multiLevelType w:val="singleLevel"/>
    <w:tmpl w:val="6F7892B5"/>
    <w:lvl w:ilvl="0" w:tentative="0">
      <w:start w:val="5"/>
      <w:numFmt w:val="decimal"/>
      <w:suff w:val="nothing"/>
      <w:lvlText w:val="%1、"/>
      <w:lvlJc w:val="left"/>
    </w:lvl>
  </w:abstractNum>
  <w:abstractNum w:abstractNumId="9">
    <w:nsid w:val="7084B00C"/>
    <w:multiLevelType w:val="singleLevel"/>
    <w:tmpl w:val="7084B00C"/>
    <w:lvl w:ilvl="0" w:tentative="0">
      <w:start w:val="1"/>
      <w:numFmt w:val="decimal"/>
      <w:suff w:val="space"/>
      <w:lvlText w:val="%1."/>
      <w:lvlJc w:val="left"/>
    </w:lvl>
  </w:abstractNum>
  <w:num w:numId="1">
    <w:abstractNumId w:val="4"/>
  </w:num>
  <w:num w:numId="2">
    <w:abstractNumId w:val="9"/>
  </w:num>
  <w:num w:numId="3">
    <w:abstractNumId w:val="1"/>
  </w:num>
  <w:num w:numId="4">
    <w:abstractNumId w:val="0"/>
  </w:num>
  <w:num w:numId="5">
    <w:abstractNumId w:val="2"/>
  </w:num>
  <w:num w:numId="6">
    <w:abstractNumId w:val="3"/>
  </w:num>
  <w:num w:numId="7">
    <w:abstractNumId w:val="5"/>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lNDhkZTc0NjRhMjU1NjU1Y2NkNTk0NDgxZWRjZDYifQ=="/>
  </w:docVars>
  <w:rsids>
    <w:rsidRoot w:val="00172A27"/>
    <w:rsid w:val="000267AE"/>
    <w:rsid w:val="00124C8C"/>
    <w:rsid w:val="001361EA"/>
    <w:rsid w:val="00172A27"/>
    <w:rsid w:val="001B1371"/>
    <w:rsid w:val="001B745B"/>
    <w:rsid w:val="001E4111"/>
    <w:rsid w:val="002E0985"/>
    <w:rsid w:val="002E1C35"/>
    <w:rsid w:val="002E4461"/>
    <w:rsid w:val="002F0D65"/>
    <w:rsid w:val="00324016"/>
    <w:rsid w:val="00391867"/>
    <w:rsid w:val="003B6C45"/>
    <w:rsid w:val="003D1863"/>
    <w:rsid w:val="003F704E"/>
    <w:rsid w:val="00424E96"/>
    <w:rsid w:val="00440030"/>
    <w:rsid w:val="004558AE"/>
    <w:rsid w:val="00501949"/>
    <w:rsid w:val="005764F8"/>
    <w:rsid w:val="005C487F"/>
    <w:rsid w:val="005F77E0"/>
    <w:rsid w:val="00602A1A"/>
    <w:rsid w:val="00630B97"/>
    <w:rsid w:val="00636397"/>
    <w:rsid w:val="00687B62"/>
    <w:rsid w:val="00691B89"/>
    <w:rsid w:val="006C2F0F"/>
    <w:rsid w:val="007169F5"/>
    <w:rsid w:val="00724E10"/>
    <w:rsid w:val="00735F5E"/>
    <w:rsid w:val="00787F8A"/>
    <w:rsid w:val="007B2DAF"/>
    <w:rsid w:val="00833D74"/>
    <w:rsid w:val="00863DC4"/>
    <w:rsid w:val="008961CA"/>
    <w:rsid w:val="008D194B"/>
    <w:rsid w:val="0098118A"/>
    <w:rsid w:val="00A14891"/>
    <w:rsid w:val="00A47E8D"/>
    <w:rsid w:val="00A56EED"/>
    <w:rsid w:val="00B16749"/>
    <w:rsid w:val="00B705EC"/>
    <w:rsid w:val="00B71A62"/>
    <w:rsid w:val="00BC62F3"/>
    <w:rsid w:val="00BE48D3"/>
    <w:rsid w:val="00BF2DBF"/>
    <w:rsid w:val="00C14EEB"/>
    <w:rsid w:val="00C17A47"/>
    <w:rsid w:val="00C31CCC"/>
    <w:rsid w:val="00C31CCF"/>
    <w:rsid w:val="00CD1657"/>
    <w:rsid w:val="00CE43C7"/>
    <w:rsid w:val="00D973C4"/>
    <w:rsid w:val="00DE2238"/>
    <w:rsid w:val="00E11CF5"/>
    <w:rsid w:val="00E86630"/>
    <w:rsid w:val="00F036C9"/>
    <w:rsid w:val="00FB53A6"/>
    <w:rsid w:val="00FD154A"/>
    <w:rsid w:val="00FD59ED"/>
    <w:rsid w:val="01161381"/>
    <w:rsid w:val="017B0945"/>
    <w:rsid w:val="01A74369"/>
    <w:rsid w:val="01D02643"/>
    <w:rsid w:val="020C2D47"/>
    <w:rsid w:val="021D673F"/>
    <w:rsid w:val="0253791C"/>
    <w:rsid w:val="027D34DE"/>
    <w:rsid w:val="02C600A3"/>
    <w:rsid w:val="02E97ACB"/>
    <w:rsid w:val="02F44E16"/>
    <w:rsid w:val="03221C82"/>
    <w:rsid w:val="033B7533"/>
    <w:rsid w:val="0349117B"/>
    <w:rsid w:val="037618EA"/>
    <w:rsid w:val="03AB35A6"/>
    <w:rsid w:val="03AC50FA"/>
    <w:rsid w:val="03CD095B"/>
    <w:rsid w:val="03CE2876"/>
    <w:rsid w:val="03D0646F"/>
    <w:rsid w:val="03E91A81"/>
    <w:rsid w:val="046E6310"/>
    <w:rsid w:val="04B8054C"/>
    <w:rsid w:val="05693FB9"/>
    <w:rsid w:val="05A905FC"/>
    <w:rsid w:val="05C51C57"/>
    <w:rsid w:val="05ED245D"/>
    <w:rsid w:val="0659554A"/>
    <w:rsid w:val="06A93CA3"/>
    <w:rsid w:val="06D53FF1"/>
    <w:rsid w:val="0713480B"/>
    <w:rsid w:val="07231E69"/>
    <w:rsid w:val="07256189"/>
    <w:rsid w:val="077C1770"/>
    <w:rsid w:val="07986BBB"/>
    <w:rsid w:val="079C5571"/>
    <w:rsid w:val="0854010A"/>
    <w:rsid w:val="089723B1"/>
    <w:rsid w:val="08AD1C45"/>
    <w:rsid w:val="08E97A22"/>
    <w:rsid w:val="092D370C"/>
    <w:rsid w:val="09A37453"/>
    <w:rsid w:val="09AE6285"/>
    <w:rsid w:val="09BE532C"/>
    <w:rsid w:val="09CC2C7E"/>
    <w:rsid w:val="09E2115C"/>
    <w:rsid w:val="09EB5BAD"/>
    <w:rsid w:val="0A0F17B5"/>
    <w:rsid w:val="0A3D64E4"/>
    <w:rsid w:val="0A4C39A4"/>
    <w:rsid w:val="0A6434B4"/>
    <w:rsid w:val="0A8D1088"/>
    <w:rsid w:val="0B03120A"/>
    <w:rsid w:val="0B2C0A43"/>
    <w:rsid w:val="0B4E14EF"/>
    <w:rsid w:val="0B524481"/>
    <w:rsid w:val="0B6769AD"/>
    <w:rsid w:val="0C0974EF"/>
    <w:rsid w:val="0C584CFC"/>
    <w:rsid w:val="0CE0170C"/>
    <w:rsid w:val="0CEC5053"/>
    <w:rsid w:val="0D50011D"/>
    <w:rsid w:val="0D6E60A1"/>
    <w:rsid w:val="0DAC2BE0"/>
    <w:rsid w:val="0DC53159"/>
    <w:rsid w:val="0DDF1F5D"/>
    <w:rsid w:val="0DF04D08"/>
    <w:rsid w:val="0DF87710"/>
    <w:rsid w:val="0E217F0E"/>
    <w:rsid w:val="0E4D6224"/>
    <w:rsid w:val="0E5326FC"/>
    <w:rsid w:val="0E8D12AC"/>
    <w:rsid w:val="0E8D6B3D"/>
    <w:rsid w:val="0ED339BE"/>
    <w:rsid w:val="0F090680"/>
    <w:rsid w:val="0F111912"/>
    <w:rsid w:val="0F15352F"/>
    <w:rsid w:val="0F1D534F"/>
    <w:rsid w:val="0F4E0AEF"/>
    <w:rsid w:val="0FD2474F"/>
    <w:rsid w:val="101D170C"/>
    <w:rsid w:val="1028024E"/>
    <w:rsid w:val="107C3FFB"/>
    <w:rsid w:val="10A11133"/>
    <w:rsid w:val="10AD2B28"/>
    <w:rsid w:val="10CB2243"/>
    <w:rsid w:val="10D174C3"/>
    <w:rsid w:val="10F43DD4"/>
    <w:rsid w:val="113F1490"/>
    <w:rsid w:val="11476CAA"/>
    <w:rsid w:val="116C7CAB"/>
    <w:rsid w:val="118F60CF"/>
    <w:rsid w:val="11D93757"/>
    <w:rsid w:val="11DB2F82"/>
    <w:rsid w:val="11E607D2"/>
    <w:rsid w:val="11F748B7"/>
    <w:rsid w:val="121B1287"/>
    <w:rsid w:val="123B3CA3"/>
    <w:rsid w:val="123D018D"/>
    <w:rsid w:val="1264486D"/>
    <w:rsid w:val="128A0105"/>
    <w:rsid w:val="12984039"/>
    <w:rsid w:val="12B0189F"/>
    <w:rsid w:val="13031039"/>
    <w:rsid w:val="133B5D22"/>
    <w:rsid w:val="136B1323"/>
    <w:rsid w:val="139978A7"/>
    <w:rsid w:val="1423559E"/>
    <w:rsid w:val="143D1736"/>
    <w:rsid w:val="144638D4"/>
    <w:rsid w:val="149A490B"/>
    <w:rsid w:val="15442E15"/>
    <w:rsid w:val="15BA227C"/>
    <w:rsid w:val="15F95A83"/>
    <w:rsid w:val="16A6046E"/>
    <w:rsid w:val="16BD73D6"/>
    <w:rsid w:val="16C904F5"/>
    <w:rsid w:val="16EC061C"/>
    <w:rsid w:val="170027A2"/>
    <w:rsid w:val="17151A29"/>
    <w:rsid w:val="17391BA1"/>
    <w:rsid w:val="17681A7D"/>
    <w:rsid w:val="17AA3CB7"/>
    <w:rsid w:val="17B10F10"/>
    <w:rsid w:val="17BD66AA"/>
    <w:rsid w:val="183E348C"/>
    <w:rsid w:val="18644DCF"/>
    <w:rsid w:val="1880075E"/>
    <w:rsid w:val="18DE1F23"/>
    <w:rsid w:val="18EB4163"/>
    <w:rsid w:val="19C16692"/>
    <w:rsid w:val="1A311066"/>
    <w:rsid w:val="1AD10BBC"/>
    <w:rsid w:val="1AE40C5E"/>
    <w:rsid w:val="1B4B6E4F"/>
    <w:rsid w:val="1B760452"/>
    <w:rsid w:val="1BDD3667"/>
    <w:rsid w:val="1BF46F59"/>
    <w:rsid w:val="1BF65ECC"/>
    <w:rsid w:val="1C0B2BAF"/>
    <w:rsid w:val="1D094185"/>
    <w:rsid w:val="1D0D782F"/>
    <w:rsid w:val="1D115A7C"/>
    <w:rsid w:val="1D357B45"/>
    <w:rsid w:val="1D992860"/>
    <w:rsid w:val="1D9D525C"/>
    <w:rsid w:val="1D9D5E45"/>
    <w:rsid w:val="1DE1772C"/>
    <w:rsid w:val="1DFD7970"/>
    <w:rsid w:val="1EC473B4"/>
    <w:rsid w:val="1F041D46"/>
    <w:rsid w:val="1F086AFE"/>
    <w:rsid w:val="1F097A07"/>
    <w:rsid w:val="1F1B448B"/>
    <w:rsid w:val="1F7638D9"/>
    <w:rsid w:val="1F7B0466"/>
    <w:rsid w:val="1F885B44"/>
    <w:rsid w:val="1FC6153F"/>
    <w:rsid w:val="1FE3361D"/>
    <w:rsid w:val="1FEB6733"/>
    <w:rsid w:val="2009596F"/>
    <w:rsid w:val="201B4437"/>
    <w:rsid w:val="20354EDA"/>
    <w:rsid w:val="205145E4"/>
    <w:rsid w:val="206369CD"/>
    <w:rsid w:val="20826828"/>
    <w:rsid w:val="20854FA7"/>
    <w:rsid w:val="20A67279"/>
    <w:rsid w:val="20A9091F"/>
    <w:rsid w:val="20D74BF7"/>
    <w:rsid w:val="20D97BFC"/>
    <w:rsid w:val="20EF7729"/>
    <w:rsid w:val="210466A8"/>
    <w:rsid w:val="21447812"/>
    <w:rsid w:val="220B4608"/>
    <w:rsid w:val="22280453"/>
    <w:rsid w:val="227527C2"/>
    <w:rsid w:val="22796D32"/>
    <w:rsid w:val="22A46395"/>
    <w:rsid w:val="22DE2C70"/>
    <w:rsid w:val="231B4F3B"/>
    <w:rsid w:val="23E038A2"/>
    <w:rsid w:val="23E05708"/>
    <w:rsid w:val="23F92E98"/>
    <w:rsid w:val="241E6014"/>
    <w:rsid w:val="24D203B7"/>
    <w:rsid w:val="25290BDE"/>
    <w:rsid w:val="25645C2C"/>
    <w:rsid w:val="256F7A98"/>
    <w:rsid w:val="258A2AF7"/>
    <w:rsid w:val="266863F9"/>
    <w:rsid w:val="26B90FA9"/>
    <w:rsid w:val="27006272"/>
    <w:rsid w:val="27077D9F"/>
    <w:rsid w:val="270F0DA7"/>
    <w:rsid w:val="272C1B70"/>
    <w:rsid w:val="281933DC"/>
    <w:rsid w:val="284762ED"/>
    <w:rsid w:val="28632F63"/>
    <w:rsid w:val="286A0B75"/>
    <w:rsid w:val="28DD3586"/>
    <w:rsid w:val="28F434A6"/>
    <w:rsid w:val="292508D7"/>
    <w:rsid w:val="295D3B08"/>
    <w:rsid w:val="29BD2746"/>
    <w:rsid w:val="29F061F8"/>
    <w:rsid w:val="2A614B6C"/>
    <w:rsid w:val="2A7E7D38"/>
    <w:rsid w:val="2AC364BE"/>
    <w:rsid w:val="2AEA31DB"/>
    <w:rsid w:val="2AF72B16"/>
    <w:rsid w:val="2AF85308"/>
    <w:rsid w:val="2AFB5029"/>
    <w:rsid w:val="2B294E5B"/>
    <w:rsid w:val="2B4B0019"/>
    <w:rsid w:val="2B5B2654"/>
    <w:rsid w:val="2B5B5219"/>
    <w:rsid w:val="2B982C80"/>
    <w:rsid w:val="2BB03438"/>
    <w:rsid w:val="2BB3445D"/>
    <w:rsid w:val="2BC76C50"/>
    <w:rsid w:val="2BDD06EA"/>
    <w:rsid w:val="2C4B13FD"/>
    <w:rsid w:val="2C702EFB"/>
    <w:rsid w:val="2CB74F17"/>
    <w:rsid w:val="2CBB6970"/>
    <w:rsid w:val="2D610802"/>
    <w:rsid w:val="2D8F2691"/>
    <w:rsid w:val="2D99141A"/>
    <w:rsid w:val="2DA062D3"/>
    <w:rsid w:val="2DB62EAA"/>
    <w:rsid w:val="2DB773A6"/>
    <w:rsid w:val="2E1555FE"/>
    <w:rsid w:val="2E482D57"/>
    <w:rsid w:val="2E7417C2"/>
    <w:rsid w:val="2E8007AE"/>
    <w:rsid w:val="2E8D1817"/>
    <w:rsid w:val="2EC77E3E"/>
    <w:rsid w:val="2F0236E2"/>
    <w:rsid w:val="2F2A64B2"/>
    <w:rsid w:val="2F3C5AE9"/>
    <w:rsid w:val="2FC3709C"/>
    <w:rsid w:val="301D11FA"/>
    <w:rsid w:val="30417351"/>
    <w:rsid w:val="304D1F83"/>
    <w:rsid w:val="305166D9"/>
    <w:rsid w:val="30C24BD4"/>
    <w:rsid w:val="30D24BED"/>
    <w:rsid w:val="30E45588"/>
    <w:rsid w:val="30E5729F"/>
    <w:rsid w:val="31362DFD"/>
    <w:rsid w:val="318235E3"/>
    <w:rsid w:val="31B952C3"/>
    <w:rsid w:val="32BB0CF7"/>
    <w:rsid w:val="33286F39"/>
    <w:rsid w:val="33421AB8"/>
    <w:rsid w:val="339C2E39"/>
    <w:rsid w:val="33B069D9"/>
    <w:rsid w:val="33FB1803"/>
    <w:rsid w:val="342F03CC"/>
    <w:rsid w:val="34457169"/>
    <w:rsid w:val="344E1C78"/>
    <w:rsid w:val="346056D9"/>
    <w:rsid w:val="34693082"/>
    <w:rsid w:val="3499500F"/>
    <w:rsid w:val="34F827BB"/>
    <w:rsid w:val="350529D6"/>
    <w:rsid w:val="363E1597"/>
    <w:rsid w:val="36773D1D"/>
    <w:rsid w:val="36856700"/>
    <w:rsid w:val="369D2E79"/>
    <w:rsid w:val="369E270D"/>
    <w:rsid w:val="36CC06D6"/>
    <w:rsid w:val="3705521C"/>
    <w:rsid w:val="373E1BCC"/>
    <w:rsid w:val="377E310B"/>
    <w:rsid w:val="37AC6E81"/>
    <w:rsid w:val="37BE7196"/>
    <w:rsid w:val="38141881"/>
    <w:rsid w:val="381C6F43"/>
    <w:rsid w:val="381F02B5"/>
    <w:rsid w:val="38393D38"/>
    <w:rsid w:val="38B16E69"/>
    <w:rsid w:val="38C73435"/>
    <w:rsid w:val="39BA729B"/>
    <w:rsid w:val="39FA5917"/>
    <w:rsid w:val="3A47408D"/>
    <w:rsid w:val="3AB2671B"/>
    <w:rsid w:val="3ACC590D"/>
    <w:rsid w:val="3B7516FD"/>
    <w:rsid w:val="3B936C18"/>
    <w:rsid w:val="3BA01718"/>
    <w:rsid w:val="3BA64B36"/>
    <w:rsid w:val="3BBE154E"/>
    <w:rsid w:val="3BC4757F"/>
    <w:rsid w:val="3C400A6C"/>
    <w:rsid w:val="3C4C7E41"/>
    <w:rsid w:val="3C7D6E01"/>
    <w:rsid w:val="3D343B3E"/>
    <w:rsid w:val="3D936471"/>
    <w:rsid w:val="3D9F78D6"/>
    <w:rsid w:val="3DA12467"/>
    <w:rsid w:val="3DA27CA7"/>
    <w:rsid w:val="3DAE5468"/>
    <w:rsid w:val="3DBA5AA9"/>
    <w:rsid w:val="3DF909AD"/>
    <w:rsid w:val="3E22376D"/>
    <w:rsid w:val="3E410685"/>
    <w:rsid w:val="3E4E7132"/>
    <w:rsid w:val="3EBD7882"/>
    <w:rsid w:val="3EEF22EE"/>
    <w:rsid w:val="3F063EA6"/>
    <w:rsid w:val="3F2B002A"/>
    <w:rsid w:val="3F2F08E3"/>
    <w:rsid w:val="3F563219"/>
    <w:rsid w:val="3FCC14EC"/>
    <w:rsid w:val="3FF06549"/>
    <w:rsid w:val="401F7A0E"/>
    <w:rsid w:val="402C0CFE"/>
    <w:rsid w:val="40321C70"/>
    <w:rsid w:val="40BF3F42"/>
    <w:rsid w:val="4111773A"/>
    <w:rsid w:val="420818AA"/>
    <w:rsid w:val="423A4B83"/>
    <w:rsid w:val="42783449"/>
    <w:rsid w:val="42D958A8"/>
    <w:rsid w:val="42E12896"/>
    <w:rsid w:val="430F4A24"/>
    <w:rsid w:val="433607FF"/>
    <w:rsid w:val="435B516A"/>
    <w:rsid w:val="435F2677"/>
    <w:rsid w:val="436E4F7B"/>
    <w:rsid w:val="43843785"/>
    <w:rsid w:val="43E179C4"/>
    <w:rsid w:val="43EF7878"/>
    <w:rsid w:val="447A2D02"/>
    <w:rsid w:val="448D1087"/>
    <w:rsid w:val="44B54378"/>
    <w:rsid w:val="44BB6944"/>
    <w:rsid w:val="450E23E9"/>
    <w:rsid w:val="451C0A61"/>
    <w:rsid w:val="45231780"/>
    <w:rsid w:val="4549537D"/>
    <w:rsid w:val="454A2EC2"/>
    <w:rsid w:val="455671BE"/>
    <w:rsid w:val="460D470D"/>
    <w:rsid w:val="463330D7"/>
    <w:rsid w:val="46513CE4"/>
    <w:rsid w:val="466A1B0F"/>
    <w:rsid w:val="46753AD4"/>
    <w:rsid w:val="46755243"/>
    <w:rsid w:val="46B14243"/>
    <w:rsid w:val="46C90079"/>
    <w:rsid w:val="46D12EE7"/>
    <w:rsid w:val="46F90FF5"/>
    <w:rsid w:val="4741682D"/>
    <w:rsid w:val="4753585C"/>
    <w:rsid w:val="47677F9F"/>
    <w:rsid w:val="47B40D6E"/>
    <w:rsid w:val="47B90F74"/>
    <w:rsid w:val="47BD1354"/>
    <w:rsid w:val="47E07053"/>
    <w:rsid w:val="47E141F4"/>
    <w:rsid w:val="47F74333"/>
    <w:rsid w:val="47FD2EDF"/>
    <w:rsid w:val="482362D5"/>
    <w:rsid w:val="482E70E5"/>
    <w:rsid w:val="48BB52F9"/>
    <w:rsid w:val="4900516D"/>
    <w:rsid w:val="49092480"/>
    <w:rsid w:val="493167A1"/>
    <w:rsid w:val="49403578"/>
    <w:rsid w:val="49655B08"/>
    <w:rsid w:val="49A00EE4"/>
    <w:rsid w:val="49A6448E"/>
    <w:rsid w:val="49B05341"/>
    <w:rsid w:val="49EA66EE"/>
    <w:rsid w:val="4A0707F1"/>
    <w:rsid w:val="4A28271A"/>
    <w:rsid w:val="4A805FE3"/>
    <w:rsid w:val="4A8B605B"/>
    <w:rsid w:val="4AAB218B"/>
    <w:rsid w:val="4AEC5ECE"/>
    <w:rsid w:val="4B0215FB"/>
    <w:rsid w:val="4B1F4221"/>
    <w:rsid w:val="4B6955F6"/>
    <w:rsid w:val="4B990325"/>
    <w:rsid w:val="4BB4141E"/>
    <w:rsid w:val="4BD81AEF"/>
    <w:rsid w:val="4C116BF5"/>
    <w:rsid w:val="4C2D2421"/>
    <w:rsid w:val="4C6E389F"/>
    <w:rsid w:val="4C6E59B3"/>
    <w:rsid w:val="4CB2168E"/>
    <w:rsid w:val="4CB96330"/>
    <w:rsid w:val="4CC64F30"/>
    <w:rsid w:val="4CE25C17"/>
    <w:rsid w:val="4D0D2B4C"/>
    <w:rsid w:val="4D1B54DE"/>
    <w:rsid w:val="4D253538"/>
    <w:rsid w:val="4D900DD8"/>
    <w:rsid w:val="4D9B2A4B"/>
    <w:rsid w:val="4E353C32"/>
    <w:rsid w:val="4EC04D70"/>
    <w:rsid w:val="4ED754D8"/>
    <w:rsid w:val="4EF308EC"/>
    <w:rsid w:val="4F1E60A9"/>
    <w:rsid w:val="4F683963"/>
    <w:rsid w:val="4F7D3785"/>
    <w:rsid w:val="4FF62710"/>
    <w:rsid w:val="4FF65889"/>
    <w:rsid w:val="502D7C51"/>
    <w:rsid w:val="50497753"/>
    <w:rsid w:val="504E306C"/>
    <w:rsid w:val="506D3BED"/>
    <w:rsid w:val="50757B3C"/>
    <w:rsid w:val="508E1E5D"/>
    <w:rsid w:val="509A1B7B"/>
    <w:rsid w:val="509A2C0D"/>
    <w:rsid w:val="50AA44C3"/>
    <w:rsid w:val="50DF6CDD"/>
    <w:rsid w:val="517168AD"/>
    <w:rsid w:val="51772E0C"/>
    <w:rsid w:val="51AA0775"/>
    <w:rsid w:val="51E2011D"/>
    <w:rsid w:val="52221D4B"/>
    <w:rsid w:val="52983131"/>
    <w:rsid w:val="529C4037"/>
    <w:rsid w:val="52C028A8"/>
    <w:rsid w:val="52EB34F6"/>
    <w:rsid w:val="530B4D79"/>
    <w:rsid w:val="53456B4D"/>
    <w:rsid w:val="53612159"/>
    <w:rsid w:val="53BC4849"/>
    <w:rsid w:val="53F7273F"/>
    <w:rsid w:val="54151C75"/>
    <w:rsid w:val="5428598C"/>
    <w:rsid w:val="5437028A"/>
    <w:rsid w:val="54433D85"/>
    <w:rsid w:val="552317B6"/>
    <w:rsid w:val="554B1EEA"/>
    <w:rsid w:val="556116B0"/>
    <w:rsid w:val="568D0C9D"/>
    <w:rsid w:val="56AF5FD4"/>
    <w:rsid w:val="56D920C4"/>
    <w:rsid w:val="56DB6E9A"/>
    <w:rsid w:val="572A2889"/>
    <w:rsid w:val="573963A5"/>
    <w:rsid w:val="5744650F"/>
    <w:rsid w:val="57586AAD"/>
    <w:rsid w:val="57857649"/>
    <w:rsid w:val="57B02F9F"/>
    <w:rsid w:val="57B52A0A"/>
    <w:rsid w:val="57CB33DC"/>
    <w:rsid w:val="57FF32C7"/>
    <w:rsid w:val="58404BAE"/>
    <w:rsid w:val="58414AF0"/>
    <w:rsid w:val="58441B79"/>
    <w:rsid w:val="58572052"/>
    <w:rsid w:val="589D0369"/>
    <w:rsid w:val="58CD048A"/>
    <w:rsid w:val="59834189"/>
    <w:rsid w:val="59891978"/>
    <w:rsid w:val="59BA7ABB"/>
    <w:rsid w:val="59DF560E"/>
    <w:rsid w:val="59DF58CF"/>
    <w:rsid w:val="59E42079"/>
    <w:rsid w:val="59EA375B"/>
    <w:rsid w:val="5A0A1136"/>
    <w:rsid w:val="5A500DA3"/>
    <w:rsid w:val="5AB70CDF"/>
    <w:rsid w:val="5B1E0B11"/>
    <w:rsid w:val="5B26719A"/>
    <w:rsid w:val="5B6E6ECE"/>
    <w:rsid w:val="5B703C64"/>
    <w:rsid w:val="5B9F175F"/>
    <w:rsid w:val="5BA10582"/>
    <w:rsid w:val="5BE3040D"/>
    <w:rsid w:val="5C2A2A79"/>
    <w:rsid w:val="5C6A6223"/>
    <w:rsid w:val="5C6C3E79"/>
    <w:rsid w:val="5C7834CB"/>
    <w:rsid w:val="5C872268"/>
    <w:rsid w:val="5CA63D15"/>
    <w:rsid w:val="5CE25051"/>
    <w:rsid w:val="5CED2814"/>
    <w:rsid w:val="5CFD7E74"/>
    <w:rsid w:val="5D035A0E"/>
    <w:rsid w:val="5DA447BC"/>
    <w:rsid w:val="5DC1149C"/>
    <w:rsid w:val="5E6D1395"/>
    <w:rsid w:val="5E7961C1"/>
    <w:rsid w:val="5EA33DFC"/>
    <w:rsid w:val="5F710023"/>
    <w:rsid w:val="5F7E00CF"/>
    <w:rsid w:val="5F93359F"/>
    <w:rsid w:val="5FBD0C24"/>
    <w:rsid w:val="5FFE5700"/>
    <w:rsid w:val="60300F22"/>
    <w:rsid w:val="60407D58"/>
    <w:rsid w:val="605108E0"/>
    <w:rsid w:val="606D3688"/>
    <w:rsid w:val="608A1AC7"/>
    <w:rsid w:val="60B57376"/>
    <w:rsid w:val="60E40E2C"/>
    <w:rsid w:val="60FF24C2"/>
    <w:rsid w:val="61072709"/>
    <w:rsid w:val="61860C5B"/>
    <w:rsid w:val="61882948"/>
    <w:rsid w:val="61C56A26"/>
    <w:rsid w:val="61CC6F6B"/>
    <w:rsid w:val="61CE1DDF"/>
    <w:rsid w:val="62022E61"/>
    <w:rsid w:val="624D4B74"/>
    <w:rsid w:val="62C90722"/>
    <w:rsid w:val="62E30E76"/>
    <w:rsid w:val="63324C6E"/>
    <w:rsid w:val="636470D7"/>
    <w:rsid w:val="63765739"/>
    <w:rsid w:val="63817ACE"/>
    <w:rsid w:val="6386124A"/>
    <w:rsid w:val="63C60877"/>
    <w:rsid w:val="63F4419C"/>
    <w:rsid w:val="64120656"/>
    <w:rsid w:val="64606704"/>
    <w:rsid w:val="64DF4FFF"/>
    <w:rsid w:val="64FA049F"/>
    <w:rsid w:val="65FC4BDB"/>
    <w:rsid w:val="661145F5"/>
    <w:rsid w:val="663F1584"/>
    <w:rsid w:val="665A1BDA"/>
    <w:rsid w:val="667226EC"/>
    <w:rsid w:val="67882F95"/>
    <w:rsid w:val="67B71945"/>
    <w:rsid w:val="67FB1582"/>
    <w:rsid w:val="6840603D"/>
    <w:rsid w:val="68525E8B"/>
    <w:rsid w:val="69327385"/>
    <w:rsid w:val="69532642"/>
    <w:rsid w:val="69DB78CC"/>
    <w:rsid w:val="6A595000"/>
    <w:rsid w:val="6ADC6ADC"/>
    <w:rsid w:val="6B460F19"/>
    <w:rsid w:val="6B5307C0"/>
    <w:rsid w:val="6B6442C9"/>
    <w:rsid w:val="6B803FC6"/>
    <w:rsid w:val="6B8125F5"/>
    <w:rsid w:val="6BB121C7"/>
    <w:rsid w:val="6BD44496"/>
    <w:rsid w:val="6BFD532F"/>
    <w:rsid w:val="6C2814C5"/>
    <w:rsid w:val="6C4C3656"/>
    <w:rsid w:val="6C664DF2"/>
    <w:rsid w:val="6C815525"/>
    <w:rsid w:val="6CB26AA1"/>
    <w:rsid w:val="6D3708FF"/>
    <w:rsid w:val="6D7875A5"/>
    <w:rsid w:val="6DBE1F99"/>
    <w:rsid w:val="6DC03BF0"/>
    <w:rsid w:val="6E232D28"/>
    <w:rsid w:val="6E501F00"/>
    <w:rsid w:val="6E7C3ABA"/>
    <w:rsid w:val="6E997D2F"/>
    <w:rsid w:val="6EB42FA3"/>
    <w:rsid w:val="6EDA6E0C"/>
    <w:rsid w:val="6EFA2E1A"/>
    <w:rsid w:val="6F405236"/>
    <w:rsid w:val="6F4869F1"/>
    <w:rsid w:val="6F4877BE"/>
    <w:rsid w:val="6F4A5EE7"/>
    <w:rsid w:val="6F8B537D"/>
    <w:rsid w:val="6F904BDE"/>
    <w:rsid w:val="6F91141C"/>
    <w:rsid w:val="6FBF2E55"/>
    <w:rsid w:val="700938F6"/>
    <w:rsid w:val="707327C8"/>
    <w:rsid w:val="70737A09"/>
    <w:rsid w:val="707B10D7"/>
    <w:rsid w:val="7087615F"/>
    <w:rsid w:val="70E91ED6"/>
    <w:rsid w:val="71190F28"/>
    <w:rsid w:val="713C1D6D"/>
    <w:rsid w:val="71A20A44"/>
    <w:rsid w:val="71AF2CDF"/>
    <w:rsid w:val="71C075D0"/>
    <w:rsid w:val="71CD5C10"/>
    <w:rsid w:val="72231CD3"/>
    <w:rsid w:val="72435ED2"/>
    <w:rsid w:val="72570FBF"/>
    <w:rsid w:val="730840D9"/>
    <w:rsid w:val="733131CB"/>
    <w:rsid w:val="734908B8"/>
    <w:rsid w:val="73650526"/>
    <w:rsid w:val="738C1AEF"/>
    <w:rsid w:val="739E0815"/>
    <w:rsid w:val="73BF5218"/>
    <w:rsid w:val="73DA456B"/>
    <w:rsid w:val="73F22B6A"/>
    <w:rsid w:val="746E20C7"/>
    <w:rsid w:val="74760972"/>
    <w:rsid w:val="75076260"/>
    <w:rsid w:val="756B25EB"/>
    <w:rsid w:val="75AC1C95"/>
    <w:rsid w:val="75CC2672"/>
    <w:rsid w:val="75D77C14"/>
    <w:rsid w:val="75E04EE1"/>
    <w:rsid w:val="761330AB"/>
    <w:rsid w:val="761769E9"/>
    <w:rsid w:val="764E5797"/>
    <w:rsid w:val="76A4663C"/>
    <w:rsid w:val="76F959A4"/>
    <w:rsid w:val="770C2D36"/>
    <w:rsid w:val="775B4928"/>
    <w:rsid w:val="77651918"/>
    <w:rsid w:val="777228EC"/>
    <w:rsid w:val="779D54AA"/>
    <w:rsid w:val="78085C32"/>
    <w:rsid w:val="784B34A0"/>
    <w:rsid w:val="79094215"/>
    <w:rsid w:val="790D0689"/>
    <w:rsid w:val="79196953"/>
    <w:rsid w:val="795E4973"/>
    <w:rsid w:val="79932CDD"/>
    <w:rsid w:val="79AF4111"/>
    <w:rsid w:val="79B01F4F"/>
    <w:rsid w:val="7A0C263A"/>
    <w:rsid w:val="7A3A5E0C"/>
    <w:rsid w:val="7A710091"/>
    <w:rsid w:val="7A807CC3"/>
    <w:rsid w:val="7AA9363A"/>
    <w:rsid w:val="7AC26604"/>
    <w:rsid w:val="7ACD3EED"/>
    <w:rsid w:val="7AD62C51"/>
    <w:rsid w:val="7B0A7C76"/>
    <w:rsid w:val="7B88692C"/>
    <w:rsid w:val="7C2D6612"/>
    <w:rsid w:val="7CE20E1A"/>
    <w:rsid w:val="7D002834"/>
    <w:rsid w:val="7D57214E"/>
    <w:rsid w:val="7D592A4D"/>
    <w:rsid w:val="7D730F31"/>
    <w:rsid w:val="7D753548"/>
    <w:rsid w:val="7D8214F8"/>
    <w:rsid w:val="7D862189"/>
    <w:rsid w:val="7D8D1B16"/>
    <w:rsid w:val="7E7E3DBF"/>
    <w:rsid w:val="7E835DB6"/>
    <w:rsid w:val="7EAD1705"/>
    <w:rsid w:val="7EAE39FD"/>
    <w:rsid w:val="7ECC2586"/>
    <w:rsid w:val="7F8205CB"/>
    <w:rsid w:val="7F833C67"/>
    <w:rsid w:val="7F9326A8"/>
    <w:rsid w:val="7FE50AE2"/>
    <w:rsid w:val="7FEA5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outlineLvl w:val="0"/>
    </w:pPr>
    <w:rPr>
      <w:b/>
      <w:bCs/>
      <w:sz w:val="28"/>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26">
    <w:name w:val="Default Paragraph Font"/>
    <w:autoRedefine/>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pPr>
    <w:rPr>
      <w:rFonts w:ascii="Times New Roman"/>
      <w:sz w:val="28"/>
    </w:rPr>
  </w:style>
  <w:style w:type="paragraph" w:styleId="5">
    <w:name w:val="caption"/>
    <w:basedOn w:val="1"/>
    <w:next w:val="1"/>
    <w:autoRedefine/>
    <w:qFormat/>
    <w:uiPriority w:val="0"/>
    <w:pPr>
      <w:spacing w:before="25" w:beforeLines="25" w:line="360" w:lineRule="auto"/>
      <w:jc w:val="center"/>
    </w:pPr>
    <w:rPr>
      <w:rFonts w:ascii="黑体" w:hAnsi="宋体" w:eastAsia="黑体"/>
      <w:szCs w:val="20"/>
    </w:rPr>
  </w:style>
  <w:style w:type="paragraph" w:styleId="6">
    <w:name w:val="annotation text"/>
    <w:basedOn w:val="1"/>
    <w:link w:val="60"/>
    <w:autoRedefine/>
    <w:qFormat/>
    <w:uiPriority w:val="99"/>
    <w:pPr>
      <w:jc w:val="left"/>
    </w:pPr>
  </w:style>
  <w:style w:type="paragraph" w:styleId="7">
    <w:name w:val="Body Text"/>
    <w:basedOn w:val="1"/>
    <w:next w:val="1"/>
    <w:autoRedefine/>
    <w:qFormat/>
    <w:uiPriority w:val="0"/>
    <w:pPr>
      <w:spacing w:after="120"/>
    </w:pPr>
  </w:style>
  <w:style w:type="paragraph" w:styleId="8">
    <w:name w:val="Body Text Indent"/>
    <w:basedOn w:val="1"/>
    <w:next w:val="9"/>
    <w:autoRedefine/>
    <w:qFormat/>
    <w:uiPriority w:val="0"/>
    <w:pPr>
      <w:spacing w:after="120"/>
      <w:ind w:left="420" w:leftChars="200"/>
    </w:pPr>
  </w:style>
  <w:style w:type="paragraph" w:customStyle="1" w:styleId="9">
    <w:name w:val="样式 正文文本缩进 + 行距: 1.5 倍行距"/>
    <w:basedOn w:val="10"/>
    <w:next w:val="11"/>
    <w:qFormat/>
    <w:uiPriority w:val="0"/>
    <w:pPr>
      <w:spacing w:after="120" w:line="360" w:lineRule="auto"/>
      <w:ind w:left="90" w:leftChars="32" w:firstLine="560" w:firstLineChars="200"/>
    </w:pPr>
    <w:rPr>
      <w:rFonts w:cs="宋体"/>
      <w:sz w:val="24"/>
    </w:rPr>
  </w:style>
  <w:style w:type="paragraph" w:customStyle="1" w:styleId="10">
    <w:name w:val="Body Text Indent"/>
    <w:basedOn w:val="1"/>
    <w:next w:val="9"/>
    <w:autoRedefine/>
    <w:qFormat/>
    <w:uiPriority w:val="0"/>
    <w:pPr>
      <w:spacing w:after="120" w:afterLines="0"/>
      <w:ind w:left="420" w:leftChars="200"/>
    </w:pPr>
    <w:rPr>
      <w:rFonts w:ascii="Times New Roman" w:hAnsi="Times New Roman" w:eastAsia="宋体"/>
      <w:sz w:val="24"/>
    </w:rPr>
  </w:style>
  <w:style w:type="paragraph" w:styleId="11">
    <w:name w:val="header"/>
    <w:basedOn w:val="1"/>
    <w:next w:val="12"/>
    <w:link w:val="59"/>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3">
    <w:name w:val="正文1"/>
    <w:basedOn w:val="1"/>
    <w:next w:val="1"/>
    <w:autoRedefine/>
    <w:qFormat/>
    <w:uiPriority w:val="0"/>
    <w:pPr>
      <w:ind w:firstLine="505"/>
    </w:pPr>
    <w:rPr>
      <w:rFonts w:ascii="宋体" w:hAnsi="宋体" w:cs="Times New Roman"/>
      <w:kern w:val="2"/>
      <w:sz w:val="28"/>
      <w:szCs w:val="20"/>
    </w:rPr>
  </w:style>
  <w:style w:type="paragraph" w:styleId="14">
    <w:name w:val="Plain Text"/>
    <w:basedOn w:val="1"/>
    <w:autoRedefine/>
    <w:qFormat/>
    <w:uiPriority w:val="0"/>
    <w:rPr>
      <w:rFonts w:ascii="宋体" w:hAnsi="Courier New"/>
      <w:sz w:val="28"/>
    </w:rPr>
  </w:style>
  <w:style w:type="paragraph" w:styleId="15">
    <w:name w:val="Balloon Text"/>
    <w:basedOn w:val="1"/>
    <w:link w:val="62"/>
    <w:autoRedefine/>
    <w:qFormat/>
    <w:uiPriority w:val="0"/>
    <w:rPr>
      <w:sz w:val="18"/>
      <w:szCs w:val="18"/>
    </w:rPr>
  </w:style>
  <w:style w:type="paragraph" w:styleId="16">
    <w:name w:val="footer"/>
    <w:basedOn w:val="1"/>
    <w:link w:val="40"/>
    <w:autoRedefine/>
    <w:qFormat/>
    <w:uiPriority w:val="0"/>
    <w:pPr>
      <w:tabs>
        <w:tab w:val="center" w:pos="4153"/>
        <w:tab w:val="right" w:pos="8306"/>
      </w:tabs>
      <w:snapToGrid w:val="0"/>
      <w:jc w:val="left"/>
    </w:pPr>
    <w:rPr>
      <w:sz w:val="18"/>
    </w:rPr>
  </w:style>
  <w:style w:type="paragraph" w:styleId="17">
    <w:name w:val="toc 2"/>
    <w:basedOn w:val="1"/>
    <w:next w:val="1"/>
    <w:autoRedefine/>
    <w:qFormat/>
    <w:uiPriority w:val="0"/>
    <w:pPr>
      <w:widowControl/>
      <w:ind w:left="420" w:leftChars="200"/>
      <w:jc w:val="left"/>
    </w:pPr>
    <w:rPr>
      <w:rFonts w:hint="eastAsia" w:ascii="宋体" w:hAnsi="宋体" w:eastAsia="宋体" w:cs="Times New Roman"/>
      <w:kern w:val="0"/>
      <w:sz w:val="24"/>
    </w:rPr>
  </w:style>
  <w:style w:type="paragraph" w:styleId="18">
    <w:name w:val="Body Text 2"/>
    <w:basedOn w:val="1"/>
    <w:autoRedefine/>
    <w:qFormat/>
    <w:uiPriority w:val="0"/>
    <w:pPr>
      <w:spacing w:after="120" w:line="480" w:lineRule="auto"/>
    </w:pPr>
  </w:style>
  <w:style w:type="paragraph" w:styleId="19">
    <w:name w:val="Normal (Web)"/>
    <w:basedOn w:val="1"/>
    <w:link w:val="41"/>
    <w:autoRedefine/>
    <w:qFormat/>
    <w:uiPriority w:val="0"/>
    <w:pPr>
      <w:widowControl/>
      <w:spacing w:beforeAutospacing="1" w:afterAutospacing="1"/>
      <w:jc w:val="left"/>
    </w:pPr>
    <w:rPr>
      <w:rFonts w:hint="eastAsia" w:ascii="宋体" w:hAnsi="宋体" w:eastAsia="宋体" w:cs="Times New Roman"/>
      <w:kern w:val="0"/>
      <w:sz w:val="24"/>
      <w:szCs w:val="20"/>
    </w:rPr>
  </w:style>
  <w:style w:type="paragraph" w:styleId="20">
    <w:name w:val="Title"/>
    <w:basedOn w:val="1"/>
    <w:next w:val="1"/>
    <w:autoRedefine/>
    <w:qFormat/>
    <w:uiPriority w:val="10"/>
    <w:pPr>
      <w:spacing w:before="240" w:after="60"/>
      <w:jc w:val="center"/>
      <w:outlineLvl w:val="0"/>
    </w:pPr>
    <w:rPr>
      <w:rFonts w:ascii="Arial" w:hAnsi="Arial" w:eastAsia="宋体" w:cs="Arial"/>
      <w:b/>
      <w:sz w:val="28"/>
      <w:szCs w:val="32"/>
    </w:rPr>
  </w:style>
  <w:style w:type="paragraph" w:styleId="21">
    <w:name w:val="annotation subject"/>
    <w:basedOn w:val="6"/>
    <w:next w:val="6"/>
    <w:link w:val="61"/>
    <w:autoRedefine/>
    <w:qFormat/>
    <w:uiPriority w:val="0"/>
    <w:rPr>
      <w:b/>
      <w:bCs/>
    </w:rPr>
  </w:style>
  <w:style w:type="paragraph" w:styleId="22">
    <w:name w:val="Body Text First Indent"/>
    <w:basedOn w:val="7"/>
    <w:next w:val="23"/>
    <w:autoRedefine/>
    <w:qFormat/>
    <w:uiPriority w:val="0"/>
    <w:pPr>
      <w:ind w:firstLine="420" w:firstLineChars="100"/>
    </w:pPr>
  </w:style>
  <w:style w:type="paragraph" w:styleId="23">
    <w:name w:val="Body Text First Indent 2"/>
    <w:basedOn w:val="8"/>
    <w:next w:val="1"/>
    <w:autoRedefine/>
    <w:qFormat/>
    <w:uiPriority w:val="0"/>
    <w:pPr>
      <w:spacing w:line="360" w:lineRule="auto"/>
      <w:ind w:firstLine="420" w:firstLineChars="200"/>
    </w:pPr>
    <w:rPr>
      <w:sz w:val="24"/>
    </w:r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autoRedefine/>
    <w:qFormat/>
    <w:uiPriority w:val="0"/>
    <w:rPr>
      <w:b/>
      <w:sz w:val="21"/>
      <w:szCs w:val="21"/>
    </w:rPr>
  </w:style>
  <w:style w:type="character" w:styleId="28">
    <w:name w:val="Hyperlink"/>
    <w:basedOn w:val="26"/>
    <w:autoRedefine/>
    <w:qFormat/>
    <w:uiPriority w:val="99"/>
    <w:rPr>
      <w:color w:val="0000FF"/>
      <w:u w:val="single"/>
    </w:rPr>
  </w:style>
  <w:style w:type="character" w:styleId="29">
    <w:name w:val="annotation reference"/>
    <w:basedOn w:val="26"/>
    <w:autoRedefine/>
    <w:qFormat/>
    <w:uiPriority w:val="0"/>
    <w:rPr>
      <w:sz w:val="21"/>
      <w:szCs w:val="21"/>
    </w:rPr>
  </w:style>
  <w:style w:type="paragraph" w:customStyle="1" w:styleId="30">
    <w:name w:val="样式 样式 样式 四号 左侧:  1.53 厘米 + 首行缩进:  2 字符 + 居中 左侧:  2 字符 首行缩进:  2..."/>
    <w:basedOn w:val="31"/>
    <w:next w:val="1"/>
    <w:autoRedefine/>
    <w:qFormat/>
    <w:uiPriority w:val="0"/>
    <w:pPr>
      <w:jc w:val="center"/>
    </w:pPr>
  </w:style>
  <w:style w:type="paragraph" w:customStyle="1" w:styleId="31">
    <w:name w:val="样式 样式 四号 左侧:  1.53 厘米 + 首行缩进:  2 字符"/>
    <w:basedOn w:val="32"/>
    <w:autoRedefine/>
    <w:qFormat/>
    <w:uiPriority w:val="0"/>
    <w:pPr>
      <w:ind w:left="200" w:leftChars="200"/>
    </w:pPr>
    <w:rPr>
      <w:szCs w:val="20"/>
    </w:rPr>
  </w:style>
  <w:style w:type="paragraph" w:customStyle="1" w:styleId="32">
    <w:name w:val="样式 四号 左侧:  1.53 厘米"/>
    <w:basedOn w:val="1"/>
    <w:autoRedefine/>
    <w:qFormat/>
    <w:uiPriority w:val="0"/>
    <w:pPr>
      <w:adjustRightInd w:val="0"/>
    </w:pPr>
    <w:rPr>
      <w:w w:val="90"/>
      <w:sz w:val="28"/>
      <w:szCs w:val="28"/>
    </w:rPr>
  </w:style>
  <w:style w:type="paragraph" w:customStyle="1" w:styleId="33">
    <w:name w:val="Default"/>
    <w:basedOn w:val="34"/>
    <w:next w:val="35"/>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纯文本1"/>
    <w:basedOn w:val="1"/>
    <w:autoRedefine/>
    <w:qFormat/>
    <w:uiPriority w:val="99"/>
    <w:rPr>
      <w:rFonts w:ascii="宋体" w:hAnsi="Courier New" w:cs="Courier New"/>
      <w:szCs w:val="21"/>
    </w:rPr>
  </w:style>
  <w:style w:type="paragraph" w:customStyle="1" w:styleId="35">
    <w:name w:val="样式1"/>
    <w:basedOn w:val="1"/>
    <w:next w:val="1"/>
    <w:autoRedefine/>
    <w:qFormat/>
    <w:uiPriority w:val="0"/>
    <w:pPr>
      <w:suppressLineNumbers/>
      <w:tabs>
        <w:tab w:val="left" w:pos="425"/>
      </w:tabs>
      <w:suppressAutoHyphens/>
      <w:adjustRightInd w:val="0"/>
      <w:snapToGrid w:val="0"/>
      <w:spacing w:before="120" w:after="120" w:line="240" w:lineRule="atLeast"/>
      <w:ind w:left="425" w:hanging="425"/>
      <w:jc w:val="left"/>
      <w:textAlignment w:val="baseline"/>
    </w:pPr>
    <w:rPr>
      <w:kern w:val="0"/>
      <w:sz w:val="28"/>
      <w:szCs w:val="20"/>
    </w:rPr>
  </w:style>
  <w:style w:type="paragraph" w:customStyle="1" w:styleId="36">
    <w:name w:val="表格标题"/>
    <w:basedOn w:val="5"/>
    <w:next w:val="1"/>
    <w:autoRedefine/>
    <w:qFormat/>
    <w:uiPriority w:val="0"/>
    <w:pPr>
      <w:widowControl/>
      <w:numPr>
        <w:ilvl w:val="4"/>
        <w:numId w:val="1"/>
      </w:numPr>
      <w:ind w:firstLineChars="0"/>
      <w:jc w:val="center"/>
    </w:pPr>
    <w:rPr>
      <w:rFonts w:ascii="Times New Roman" w:hAnsi="Times New Roman"/>
      <w:sz w:val="24"/>
      <w:szCs w:val="24"/>
    </w:rPr>
  </w:style>
  <w:style w:type="paragraph" w:customStyle="1" w:styleId="37">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8">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9">
    <w:name w:val="_Style 4"/>
    <w:basedOn w:val="1"/>
    <w:autoRedefine/>
    <w:qFormat/>
    <w:uiPriority w:val="0"/>
  </w:style>
  <w:style w:type="character" w:customStyle="1" w:styleId="40">
    <w:name w:val="页脚 Char"/>
    <w:basedOn w:val="26"/>
    <w:link w:val="16"/>
    <w:autoRedefine/>
    <w:qFormat/>
    <w:uiPriority w:val="0"/>
    <w:rPr>
      <w:sz w:val="18"/>
    </w:rPr>
  </w:style>
  <w:style w:type="character" w:customStyle="1" w:styleId="41">
    <w:name w:val="普通(网站) Char"/>
    <w:basedOn w:val="26"/>
    <w:link w:val="19"/>
    <w:autoRedefine/>
    <w:qFormat/>
    <w:uiPriority w:val="0"/>
    <w:rPr>
      <w:rFonts w:hint="eastAsia" w:ascii="宋体" w:hAnsi="宋体" w:eastAsia="宋体" w:cs="宋体"/>
      <w:sz w:val="24"/>
    </w:rPr>
  </w:style>
  <w:style w:type="character" w:customStyle="1" w:styleId="42">
    <w:name w:val="表格 Char"/>
    <w:basedOn w:val="26"/>
    <w:link w:val="43"/>
    <w:autoRedefine/>
    <w:qFormat/>
    <w:uiPriority w:val="0"/>
    <w:rPr>
      <w:rFonts w:hint="eastAsia" w:ascii="宋体" w:hAnsi="宋体" w:eastAsia="宋体" w:cs="宋体"/>
      <w:sz w:val="21"/>
    </w:rPr>
  </w:style>
  <w:style w:type="paragraph" w:customStyle="1" w:styleId="43">
    <w:name w:val="表格"/>
    <w:basedOn w:val="1"/>
    <w:next w:val="1"/>
    <w:link w:val="42"/>
    <w:autoRedefine/>
    <w:qFormat/>
    <w:uiPriority w:val="0"/>
    <w:pPr>
      <w:adjustRightInd w:val="0"/>
      <w:snapToGrid w:val="0"/>
      <w:spacing w:beforeLines="10" w:afterLines="10" w:line="256" w:lineRule="auto"/>
      <w:jc w:val="center"/>
    </w:pPr>
    <w:rPr>
      <w:rFonts w:hint="eastAsia" w:ascii="宋体" w:hAnsi="Times New Roman" w:eastAsia="宋体" w:cs="Times New Roman"/>
      <w:kern w:val="0"/>
      <w:szCs w:val="20"/>
    </w:rPr>
  </w:style>
  <w:style w:type="character" w:customStyle="1" w:styleId="44">
    <w:name w:val="页脚 字符"/>
    <w:basedOn w:val="26"/>
    <w:autoRedefine/>
    <w:qFormat/>
    <w:uiPriority w:val="0"/>
    <w:rPr>
      <w:kern w:val="2"/>
      <w:sz w:val="18"/>
      <w:szCs w:val="18"/>
    </w:rPr>
  </w:style>
  <w:style w:type="paragraph" w:customStyle="1" w:styleId="45">
    <w:name w:val="+正文"/>
    <w:basedOn w:val="1"/>
    <w:qFormat/>
    <w:uiPriority w:val="0"/>
    <w:pPr>
      <w:spacing w:line="360" w:lineRule="auto"/>
    </w:pPr>
    <w:rPr>
      <w:sz w:val="28"/>
      <w:szCs w:val="28"/>
    </w:rPr>
  </w:style>
  <w:style w:type="paragraph" w:customStyle="1" w:styleId="46">
    <w:name w:val="常用"/>
    <w:basedOn w:val="1"/>
    <w:autoRedefine/>
    <w:qFormat/>
    <w:uiPriority w:val="0"/>
    <w:pPr>
      <w:spacing w:line="360" w:lineRule="auto"/>
      <w:ind w:firstLine="420"/>
      <w:jc w:val="left"/>
    </w:pPr>
    <w:rPr>
      <w:szCs w:val="22"/>
    </w:rPr>
  </w:style>
  <w:style w:type="paragraph" w:customStyle="1" w:styleId="47">
    <w:name w:val="0表-序号"/>
    <w:next w:val="48"/>
    <w:autoRedefine/>
    <w:qFormat/>
    <w:uiPriority w:val="0"/>
    <w:pPr>
      <w:tabs>
        <w:tab w:val="left" w:pos="0"/>
      </w:tabs>
      <w:adjustRightInd w:val="0"/>
      <w:snapToGrid w:val="0"/>
      <w:jc w:val="center"/>
    </w:pPr>
    <w:rPr>
      <w:rFonts w:ascii="Times New Roman" w:hAnsi="Times New Roman" w:eastAsia="黑体" w:cs="Times New Roman"/>
      <w:sz w:val="21"/>
      <w:lang w:val="en-US" w:eastAsia="zh-CN" w:bidi="ar-SA"/>
    </w:rPr>
  </w:style>
  <w:style w:type="paragraph" w:customStyle="1" w:styleId="48">
    <w:name w:val="000表格正文"/>
    <w:basedOn w:val="1"/>
    <w:next w:val="1"/>
    <w:autoRedefine/>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rPr>
  </w:style>
  <w:style w:type="paragraph" w:customStyle="1" w:styleId="49">
    <w:name w:val="图表标题"/>
    <w:basedOn w:val="1"/>
    <w:autoRedefine/>
    <w:qFormat/>
    <w:uiPriority w:val="0"/>
    <w:pPr>
      <w:spacing w:line="360" w:lineRule="auto"/>
      <w:jc w:val="center"/>
    </w:pPr>
    <w:rPr>
      <w:rFonts w:ascii="Times New Roman" w:hAnsi="Times New Roman" w:eastAsia="宋体"/>
      <w:b/>
      <w:szCs w:val="21"/>
    </w:rPr>
  </w:style>
  <w:style w:type="paragraph" w:customStyle="1" w:styleId="50">
    <w:name w:val="dr正文"/>
    <w:basedOn w:val="1"/>
    <w:autoRedefine/>
    <w:qFormat/>
    <w:uiPriority w:val="0"/>
    <w:pPr>
      <w:widowControl/>
      <w:ind w:firstLine="480"/>
    </w:pPr>
  </w:style>
  <w:style w:type="paragraph" w:customStyle="1" w:styleId="51">
    <w:name w:val="Table Paragraph"/>
    <w:basedOn w:val="1"/>
    <w:autoRedefine/>
    <w:qFormat/>
    <w:uiPriority w:val="1"/>
  </w:style>
  <w:style w:type="paragraph" w:customStyle="1" w:styleId="52">
    <w:name w:val="我的表格文字"/>
    <w:basedOn w:val="1"/>
    <w:autoRedefine/>
    <w:qFormat/>
    <w:uiPriority w:val="0"/>
    <w:pPr>
      <w:widowControl/>
      <w:adjustRightInd w:val="0"/>
      <w:snapToGrid w:val="0"/>
      <w:jc w:val="center"/>
      <w:textAlignment w:val="center"/>
    </w:pPr>
    <w:rPr>
      <w:color w:val="FF0000"/>
      <w:kern w:val="0"/>
      <w:szCs w:val="21"/>
    </w:rPr>
  </w:style>
  <w:style w:type="paragraph" w:customStyle="1" w:styleId="53">
    <w:name w:val="书表格内"/>
    <w:basedOn w:val="1"/>
    <w:autoRedefine/>
    <w:qFormat/>
    <w:uiPriority w:val="0"/>
    <w:pPr>
      <w:spacing w:line="0" w:lineRule="atLeast"/>
      <w:jc w:val="center"/>
    </w:pPr>
    <w:rPr>
      <w:rFonts w:ascii="Times New Roman" w:hAnsi="Times New Roman"/>
      <w:szCs w:val="21"/>
    </w:rPr>
  </w:style>
  <w:style w:type="paragraph" w:customStyle="1" w:styleId="54">
    <w:name w:val="表格文字"/>
    <w:basedOn w:val="1"/>
    <w:autoRedefine/>
    <w:qFormat/>
    <w:uiPriority w:val="0"/>
    <w:pPr>
      <w:jc w:val="center"/>
    </w:pPr>
    <w:rPr>
      <w:sz w:val="24"/>
    </w:rPr>
  </w:style>
  <w:style w:type="character" w:customStyle="1" w:styleId="55">
    <w:name w:val="font41"/>
    <w:basedOn w:val="26"/>
    <w:autoRedefine/>
    <w:qFormat/>
    <w:uiPriority w:val="0"/>
    <w:rPr>
      <w:rFonts w:hint="default" w:ascii="Times New Roman" w:hAnsi="Times New Roman" w:cs="Times New Roman"/>
      <w:b/>
      <w:color w:val="000000"/>
      <w:sz w:val="21"/>
      <w:szCs w:val="21"/>
      <w:u w:val="none"/>
      <w:vertAlign w:val="subscript"/>
    </w:rPr>
  </w:style>
  <w:style w:type="paragraph" w:customStyle="1" w:styleId="56">
    <w:name w:val="Char5"/>
    <w:basedOn w:val="1"/>
    <w:autoRedefine/>
    <w:qFormat/>
    <w:uiPriority w:val="0"/>
    <w:pPr>
      <w:spacing w:line="360" w:lineRule="auto"/>
    </w:pPr>
    <w:rPr>
      <w:rFonts w:ascii="宋体" w:hAnsi="宋体" w:cs="宋体"/>
    </w:rPr>
  </w:style>
  <w:style w:type="paragraph" w:customStyle="1" w:styleId="57">
    <w:name w:val="样式 四号 首行缩进:  2 字符"/>
    <w:basedOn w:val="1"/>
    <w:autoRedefine/>
    <w:qFormat/>
    <w:uiPriority w:val="0"/>
    <w:pPr>
      <w:spacing w:line="480" w:lineRule="atLeast"/>
      <w:ind w:firstLine="200" w:firstLineChars="200"/>
    </w:pPr>
  </w:style>
  <w:style w:type="paragraph" w:customStyle="1" w:styleId="58">
    <w:name w:val="0表格正文"/>
    <w:basedOn w:val="1"/>
    <w:next w:val="1"/>
    <w:autoRedefine/>
    <w:qFormat/>
    <w:uiPriority w:val="0"/>
    <w:pPr>
      <w:pBdr>
        <w:top w:val="none" w:color="auto" w:sz="0" w:space="1"/>
        <w:left w:val="none" w:color="auto" w:sz="0" w:space="4"/>
        <w:bottom w:val="none" w:color="auto" w:sz="0" w:space="1"/>
        <w:right w:val="none" w:color="auto" w:sz="0" w:space="4"/>
      </w:pBdr>
      <w:jc w:val="center"/>
    </w:pPr>
    <w:rPr>
      <w:kern w:val="0"/>
      <w:szCs w:val="20"/>
    </w:rPr>
  </w:style>
  <w:style w:type="character" w:customStyle="1" w:styleId="59">
    <w:name w:val="页眉 Char"/>
    <w:basedOn w:val="26"/>
    <w:link w:val="11"/>
    <w:autoRedefine/>
    <w:qFormat/>
    <w:uiPriority w:val="0"/>
    <w:rPr>
      <w:rFonts w:asciiTheme="minorHAnsi" w:hAnsiTheme="minorHAnsi" w:eastAsiaTheme="minorEastAsia" w:cstheme="minorBidi"/>
      <w:kern w:val="2"/>
      <w:sz w:val="18"/>
      <w:szCs w:val="18"/>
    </w:rPr>
  </w:style>
  <w:style w:type="character" w:customStyle="1" w:styleId="60">
    <w:name w:val="批注文字 Char"/>
    <w:basedOn w:val="26"/>
    <w:link w:val="6"/>
    <w:autoRedefine/>
    <w:qFormat/>
    <w:uiPriority w:val="99"/>
    <w:rPr>
      <w:rFonts w:asciiTheme="minorHAnsi" w:hAnsiTheme="minorHAnsi" w:eastAsiaTheme="minorEastAsia" w:cstheme="minorBidi"/>
      <w:kern w:val="2"/>
      <w:sz w:val="21"/>
      <w:szCs w:val="24"/>
    </w:rPr>
  </w:style>
  <w:style w:type="character" w:customStyle="1" w:styleId="61">
    <w:name w:val="批注主题 Char"/>
    <w:basedOn w:val="60"/>
    <w:link w:val="21"/>
    <w:qFormat/>
    <w:uiPriority w:val="0"/>
    <w:rPr>
      <w:rFonts w:asciiTheme="minorHAnsi" w:hAnsiTheme="minorHAnsi" w:eastAsiaTheme="minorEastAsia" w:cstheme="minorBidi"/>
      <w:b/>
      <w:bCs/>
      <w:kern w:val="2"/>
      <w:sz w:val="21"/>
      <w:szCs w:val="24"/>
    </w:rPr>
  </w:style>
  <w:style w:type="character" w:customStyle="1" w:styleId="62">
    <w:name w:val="批注框文本 Char"/>
    <w:basedOn w:val="26"/>
    <w:link w:val="15"/>
    <w:qFormat/>
    <w:uiPriority w:val="0"/>
    <w:rPr>
      <w:rFonts w:asciiTheme="minorHAnsi" w:hAnsiTheme="minorHAnsi" w:eastAsiaTheme="minorEastAsia" w:cstheme="minorBidi"/>
      <w:kern w:val="2"/>
      <w:sz w:val="18"/>
      <w:szCs w:val="18"/>
    </w:rPr>
  </w:style>
  <w:style w:type="paragraph" w:customStyle="1" w:styleId="63">
    <w:name w:val="正文001"/>
    <w:basedOn w:val="1"/>
    <w:autoRedefine/>
    <w:qFormat/>
    <w:uiPriority w:val="0"/>
    <w:pPr>
      <w:adjustRightInd w:val="0"/>
      <w:spacing w:before="120" w:after="120" w:line="540" w:lineRule="exact"/>
      <w:ind w:firstLine="567"/>
      <w:textAlignment w:val="baseline"/>
    </w:pPr>
    <w:rPr>
      <w:rFonts w:ascii="宋体" w:hAnsi="宋体" w:cs="宋体"/>
      <w:kern w:val="21"/>
      <w:sz w:val="28"/>
      <w:szCs w:val="28"/>
    </w:rPr>
  </w:style>
  <w:style w:type="character" w:customStyle="1" w:styleId="64">
    <w:name w:val="font11"/>
    <w:basedOn w:val="26"/>
    <w:qFormat/>
    <w:uiPriority w:val="0"/>
    <w:rPr>
      <w:rFonts w:hint="default" w:ascii="Times New Roman" w:hAnsi="Times New Roman" w:cs="Times New Roman"/>
      <w:color w:val="000000"/>
      <w:sz w:val="18"/>
      <w:szCs w:val="18"/>
      <w:u w:val="none"/>
    </w:rPr>
  </w:style>
  <w:style w:type="table" w:customStyle="1" w:styleId="65">
    <w:name w:val="Table Normal"/>
    <w:semiHidden/>
    <w:unhideWhenUsed/>
    <w:qFormat/>
    <w:uiPriority w:val="2"/>
    <w:tblPr>
      <w:tblCellMar>
        <w:top w:w="0" w:type="dxa"/>
        <w:left w:w="0" w:type="dxa"/>
        <w:bottom w:w="0" w:type="dxa"/>
        <w:right w:w="0" w:type="dxa"/>
      </w:tblCellMar>
    </w:tblPr>
  </w:style>
  <w:style w:type="paragraph" w:customStyle="1" w:styleId="66">
    <w:name w:val="内表头"/>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156" w:beforeLines="50" w:after="156" w:afterLines="50"/>
      <w:jc w:val="center"/>
    </w:pPr>
    <w:rPr>
      <w:b/>
      <w:bCs/>
      <w:kern w:val="0"/>
      <w:szCs w:val="21"/>
    </w:rPr>
  </w:style>
  <w:style w:type="character" w:customStyle="1" w:styleId="67">
    <w:name w:val="font21"/>
    <w:basedOn w:val="26"/>
    <w:autoRedefine/>
    <w:qFormat/>
    <w:uiPriority w:val="0"/>
    <w:rPr>
      <w:rFonts w:hint="eastAsia" w:ascii="宋体" w:hAnsi="宋体" w:eastAsia="宋体" w:cs="宋体"/>
      <w:color w:val="000000"/>
      <w:sz w:val="20"/>
      <w:szCs w:val="20"/>
      <w:u w:val="none"/>
    </w:rPr>
  </w:style>
  <w:style w:type="paragraph" w:styleId="68">
    <w:name w:val="List Paragraph"/>
    <w:basedOn w:val="1"/>
    <w:qFormat/>
    <w:uiPriority w:val="34"/>
    <w:pPr>
      <w:ind w:firstLine="420" w:firstLineChars="200"/>
    </w:pPr>
    <w:rPr>
      <w:rFonts w:ascii="Calibri" w:hAnsi="Calibri" w:eastAsia="等线" w:cs="Times New Roman"/>
      <w:szCs w:val="20"/>
    </w:rPr>
  </w:style>
  <w:style w:type="paragraph" w:customStyle="1" w:styleId="69">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70">
    <w:name w:val="【表格】"/>
    <w:next w:val="22"/>
    <w:autoRedefine/>
    <w:qFormat/>
    <w:uiPriority w:val="0"/>
    <w:pPr>
      <w:jc w:val="center"/>
    </w:pPr>
    <w:rPr>
      <w:rFonts w:ascii="Times New Roman" w:hAnsi="Times New Roman" w:eastAsia="宋体" w:cs="Times New Roman"/>
      <w:sz w:val="21"/>
      <w:szCs w:val="24"/>
      <w:lang w:val="en-US" w:eastAsia="zh-CN" w:bidi="ar-SA"/>
    </w:rPr>
  </w:style>
  <w:style w:type="paragraph" w:customStyle="1" w:styleId="71">
    <w:name w:val="0正文"/>
    <w:basedOn w:val="8"/>
    <w:qFormat/>
    <w:uiPriority w:val="0"/>
    <w:pPr>
      <w:spacing w:after="0" w:line="360" w:lineRule="auto"/>
      <w:ind w:left="0" w:leftChars="0" w:firstLine="200" w:firstLineChars="200"/>
    </w:pPr>
    <w:rPr>
      <w:rFonts w:cs="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oleObject" Target="embeddings/oleObject2.bin"/><Relationship Id="rId12" Type="http://schemas.openxmlformats.org/officeDocument/2006/relationships/image" Target="media/image6.emf"/><Relationship Id="rId11" Type="http://schemas.openxmlformats.org/officeDocument/2006/relationships/oleObject" Target="embeddings/oleObject1.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7FD28A-EEAE-4E25-8513-2051F03CB81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62</Pages>
  <Words>26318</Words>
  <Characters>31628</Characters>
  <Lines>110</Lines>
  <Paragraphs>31</Paragraphs>
  <TotalTime>45</TotalTime>
  <ScaleCrop>false</ScaleCrop>
  <LinksUpToDate>false</LinksUpToDate>
  <CharactersWithSpaces>31837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dc:creator>
  <cp:lastModifiedBy>WPS_1551162903</cp:lastModifiedBy>
  <cp:lastPrinted>2022-01-06T00:43:00Z</cp:lastPrinted>
  <dcterms:modified xsi:type="dcterms:W3CDTF">2024-01-05T07:44:33Z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E0AB4311EE1F4B598E2AE28642F579FA_13</vt:lpwstr>
  </property>
</Properties>
</file>