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525" w:leftChars="250"/>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adjustRightInd w:val="0"/>
        <w:snapToGrid w:val="0"/>
        <w:jc w:val="center"/>
        <w:outlineLvl w:val="0"/>
        <w:rPr>
          <w:rFonts w:ascii="方正小标宋_GBK" w:hAnsi="方正小标宋_GBK" w:eastAsia="方正小标宋_GBK" w:cs="方正小标宋_GBK"/>
          <w:bCs/>
          <w:sz w:val="72"/>
          <w:szCs w:val="72"/>
        </w:rPr>
      </w:pPr>
      <w:r>
        <w:rPr>
          <w:rFonts w:hint="eastAsia" w:ascii="方正小标宋_GBK" w:hAnsi="方正小标宋_GBK" w:eastAsia="方正小标宋_GBK" w:cs="方正小标宋_GBK"/>
          <w:bCs/>
          <w:sz w:val="72"/>
          <w:szCs w:val="72"/>
          <w:lang w:bidi="ar"/>
        </w:rPr>
        <w:t>建设项目环境影响报告表</w:t>
      </w:r>
    </w:p>
    <w:p>
      <w:pPr>
        <w:adjustRightInd w:val="0"/>
        <w:snapToGrid w:val="0"/>
        <w:spacing w:before="249" w:beforeLines="80"/>
        <w:jc w:val="center"/>
        <w:rPr>
          <w:rFonts w:ascii="楷体_GB2312" w:eastAsia="楷体_GB2312" w:cs="楷体_GB2312"/>
          <w:bCs/>
          <w:sz w:val="48"/>
          <w:szCs w:val="48"/>
        </w:rPr>
      </w:pPr>
      <w:r>
        <w:rPr>
          <w:rFonts w:hint="eastAsia" w:ascii="楷体_GB2312" w:hAnsi="Times New Roman" w:eastAsia="楷体_GB2312" w:cs="楷体_GB2312"/>
          <w:bCs/>
          <w:sz w:val="48"/>
          <w:szCs w:val="48"/>
          <w:lang w:bidi="ar"/>
        </w:rPr>
        <w:t>（污染影响类）</w:t>
      </w:r>
    </w:p>
    <w:p/>
    <w:p/>
    <w:p>
      <w:pPr>
        <w:jc w:val="center"/>
        <w:rPr>
          <w:rFonts w:eastAsia="仿宋"/>
          <w:sz w:val="52"/>
          <w:szCs w:val="52"/>
        </w:rPr>
      </w:pPr>
    </w:p>
    <w:p>
      <w:pPr>
        <w:rPr>
          <w:rFonts w:eastAsia="仿宋"/>
          <w:sz w:val="44"/>
          <w:szCs w:val="44"/>
        </w:rPr>
      </w:pPr>
    </w:p>
    <w:p>
      <w:pPr>
        <w:rPr>
          <w:rFonts w:eastAsia="仿宋"/>
          <w:sz w:val="44"/>
          <w:szCs w:val="44"/>
        </w:rPr>
      </w:pPr>
    </w:p>
    <w:p>
      <w:pPr>
        <w:rPr>
          <w:rFonts w:eastAsia="仿宋"/>
          <w:sz w:val="44"/>
          <w:szCs w:val="44"/>
        </w:rPr>
      </w:pPr>
    </w:p>
    <w:p>
      <w:pPr>
        <w:rPr>
          <w:rFonts w:eastAsia="仿宋"/>
          <w:sz w:val="44"/>
          <w:szCs w:val="44"/>
        </w:rPr>
      </w:pPr>
    </w:p>
    <w:p>
      <w:pPr>
        <w:keepNext w:val="0"/>
        <w:keepLines w:val="0"/>
        <w:pageBreakBefore w:val="0"/>
        <w:widowControl w:val="0"/>
        <w:kinsoku/>
        <w:wordWrap/>
        <w:overflowPunct/>
        <w:topLinePunct w:val="0"/>
        <w:autoSpaceDE/>
        <w:autoSpaceDN/>
        <w:bidi w:val="0"/>
        <w:adjustRightInd w:val="0"/>
        <w:snapToGrid w:val="0"/>
        <w:spacing w:line="360" w:lineRule="auto"/>
        <w:ind w:left="840" w:leftChars="400"/>
        <w:jc w:val="left"/>
        <w:textAlignment w:val="auto"/>
        <w:rPr>
          <w:rFonts w:hint="eastAsia" w:ascii="仿宋" w:hAnsi="仿宋" w:eastAsia="仿宋" w:cs="仿宋"/>
          <w:sz w:val="32"/>
          <w:szCs w:val="32"/>
          <w:u w:val="single"/>
          <w:lang w:eastAsia="zh-CN"/>
        </w:rPr>
      </w:pPr>
      <w:r>
        <w:rPr>
          <w:rFonts w:hint="eastAsia" w:ascii="仿宋" w:hAnsi="仿宋" w:eastAsia="仿宋" w:cs="仿宋"/>
          <w:sz w:val="32"/>
          <w:szCs w:val="32"/>
          <w:lang w:bidi="ar"/>
        </w:rPr>
        <w:t>项目名称：</w:t>
      </w:r>
      <w:r>
        <w:rPr>
          <w:rFonts w:hint="eastAsia" w:ascii="仿宋" w:hAnsi="仿宋" w:eastAsia="仿宋" w:cs="仿宋"/>
          <w:sz w:val="32"/>
          <w:szCs w:val="32"/>
          <w:u w:val="single"/>
          <w:lang w:eastAsia="zh-CN" w:bidi="ar"/>
        </w:rPr>
        <w:t>木兰皇家农业综合示范区蒸汽供给项目</w:t>
      </w:r>
    </w:p>
    <w:p>
      <w:pPr>
        <w:keepNext w:val="0"/>
        <w:keepLines w:val="0"/>
        <w:pageBreakBefore w:val="0"/>
        <w:widowControl w:val="0"/>
        <w:kinsoku/>
        <w:wordWrap/>
        <w:overflowPunct/>
        <w:topLinePunct w:val="0"/>
        <w:autoSpaceDE/>
        <w:autoSpaceDN/>
        <w:bidi w:val="0"/>
        <w:adjustRightInd w:val="0"/>
        <w:snapToGrid w:val="0"/>
        <w:spacing w:line="360" w:lineRule="auto"/>
        <w:ind w:left="840" w:leftChars="400"/>
        <w:jc w:val="left"/>
        <w:textAlignment w:val="auto"/>
        <w:rPr>
          <w:rFonts w:hint="eastAsia" w:ascii="仿宋" w:hAnsi="仿宋" w:eastAsia="仿宋" w:cs="仿宋"/>
          <w:spacing w:val="-20"/>
          <w:sz w:val="32"/>
          <w:szCs w:val="32"/>
          <w:u w:val="single"/>
          <w:lang w:bidi="ar"/>
        </w:rPr>
      </w:pPr>
      <w:r>
        <w:rPr>
          <w:rFonts w:hint="eastAsia" w:ascii="仿宋" w:hAnsi="仿宋" w:eastAsia="仿宋" w:cs="仿宋"/>
          <w:spacing w:val="-20"/>
          <w:sz w:val="32"/>
          <w:szCs w:val="32"/>
          <w:lang w:bidi="ar"/>
        </w:rPr>
        <w:t>建设单位（盖章）：</w:t>
      </w:r>
      <w:r>
        <w:rPr>
          <w:rFonts w:hint="eastAsia" w:ascii="仿宋" w:hAnsi="仿宋" w:eastAsia="仿宋" w:cs="仿宋"/>
          <w:spacing w:val="-20"/>
          <w:sz w:val="32"/>
          <w:szCs w:val="32"/>
          <w:u w:val="single"/>
          <w:lang w:bidi="ar"/>
        </w:rPr>
        <w:t xml:space="preserve"> </w:t>
      </w:r>
      <w:r>
        <w:rPr>
          <w:rFonts w:hint="eastAsia" w:ascii="仿宋" w:hAnsi="仿宋" w:eastAsia="仿宋" w:cs="仿宋"/>
          <w:spacing w:val="-20"/>
          <w:sz w:val="32"/>
          <w:szCs w:val="32"/>
          <w:u w:val="single"/>
          <w:lang w:eastAsia="zh-CN" w:bidi="ar"/>
        </w:rPr>
        <w:t>承德富龙现代农业发展有限公司</w:t>
      </w:r>
      <w:r>
        <w:rPr>
          <w:rFonts w:hint="eastAsia" w:ascii="仿宋" w:hAnsi="仿宋" w:eastAsia="仿宋" w:cs="仿宋"/>
          <w:sz w:val="32"/>
          <w:szCs w:val="32"/>
          <w:u w:val="single"/>
          <w:lang w:bidi="ar"/>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840" w:leftChars="400"/>
        <w:jc w:val="left"/>
        <w:textAlignment w:val="auto"/>
        <w:rPr>
          <w:rFonts w:hint="eastAsia" w:ascii="仿宋" w:hAnsi="仿宋" w:eastAsia="仿宋" w:cs="仿宋"/>
          <w:sz w:val="32"/>
          <w:szCs w:val="32"/>
          <w:u w:val="single"/>
        </w:rPr>
      </w:pPr>
      <w:r>
        <w:rPr>
          <w:rFonts w:hint="eastAsia" w:ascii="仿宋" w:hAnsi="仿宋" w:eastAsia="仿宋" w:cs="仿宋"/>
          <w:sz w:val="32"/>
          <w:szCs w:val="32"/>
          <w:lang w:bidi="ar"/>
        </w:rPr>
        <w:t>编制日期：</w:t>
      </w:r>
      <w:r>
        <w:rPr>
          <w:rFonts w:hint="eastAsia" w:ascii="仿宋" w:hAnsi="仿宋" w:eastAsia="仿宋" w:cs="仿宋"/>
          <w:sz w:val="32"/>
          <w:szCs w:val="32"/>
          <w:u w:val="single"/>
          <w:lang w:bidi="ar"/>
        </w:rPr>
        <w:t xml:space="preserve">           202</w:t>
      </w:r>
      <w:r>
        <w:rPr>
          <w:rFonts w:hint="eastAsia" w:ascii="仿宋" w:hAnsi="仿宋" w:eastAsia="仿宋" w:cs="仿宋"/>
          <w:sz w:val="32"/>
          <w:szCs w:val="32"/>
          <w:u w:val="single"/>
          <w:lang w:val="en-US" w:eastAsia="zh-CN" w:bidi="ar"/>
        </w:rPr>
        <w:t>3</w:t>
      </w:r>
      <w:r>
        <w:rPr>
          <w:rFonts w:hint="eastAsia" w:ascii="仿宋" w:hAnsi="仿宋" w:eastAsia="仿宋" w:cs="仿宋"/>
          <w:sz w:val="32"/>
          <w:szCs w:val="32"/>
          <w:u w:val="single"/>
          <w:lang w:bidi="ar"/>
        </w:rPr>
        <w:t>年</w:t>
      </w:r>
      <w:r>
        <w:rPr>
          <w:rFonts w:hint="eastAsia" w:ascii="仿宋" w:hAnsi="仿宋" w:eastAsia="仿宋" w:cs="仿宋"/>
          <w:sz w:val="32"/>
          <w:szCs w:val="32"/>
          <w:u w:val="single"/>
          <w:lang w:val="en-US" w:eastAsia="zh-CN" w:bidi="ar"/>
        </w:rPr>
        <w:t>6</w:t>
      </w:r>
      <w:r>
        <w:rPr>
          <w:rFonts w:hint="eastAsia" w:ascii="仿宋" w:hAnsi="仿宋" w:eastAsia="仿宋" w:cs="仿宋"/>
          <w:sz w:val="32"/>
          <w:szCs w:val="32"/>
          <w:u w:val="single"/>
          <w:lang w:bidi="ar"/>
        </w:rPr>
        <w:t xml:space="preserve">月          </w:t>
      </w:r>
    </w:p>
    <w:p>
      <w:pPr>
        <w:adjustRightInd w:val="0"/>
        <w:snapToGrid w:val="0"/>
        <w:spacing w:line="288" w:lineRule="auto"/>
        <w:ind w:firstLine="1040"/>
        <w:rPr>
          <w:rFonts w:ascii="仿宋_GB2312" w:eastAsia="仿宋_GB2312" w:cs="仿宋_GB2312"/>
          <w:sz w:val="36"/>
          <w:szCs w:val="36"/>
          <w:u w:val="single"/>
        </w:rPr>
      </w:pPr>
      <w:bookmarkStart w:id="0" w:name="_Hlk57884087"/>
    </w:p>
    <w:p>
      <w:pPr>
        <w:adjustRightInd w:val="0"/>
        <w:snapToGrid w:val="0"/>
        <w:spacing w:line="288" w:lineRule="auto"/>
        <w:ind w:firstLine="1040"/>
        <w:rPr>
          <w:rFonts w:ascii="仿宋_GB2312" w:eastAsia="仿宋_GB2312" w:cs="仿宋_GB2312"/>
          <w:sz w:val="36"/>
          <w:szCs w:val="36"/>
        </w:rPr>
      </w:pPr>
    </w:p>
    <w:p>
      <w:pPr>
        <w:adjustRightInd w:val="0"/>
        <w:snapToGrid w:val="0"/>
        <w:spacing w:line="288" w:lineRule="auto"/>
        <w:ind w:firstLine="1040"/>
        <w:rPr>
          <w:rFonts w:ascii="仿宋_GB2312" w:eastAsia="仿宋_GB2312" w:cs="仿宋_GB2312"/>
          <w:sz w:val="36"/>
          <w:szCs w:val="36"/>
        </w:rPr>
      </w:pPr>
    </w:p>
    <w:p>
      <w:pPr>
        <w:adjustRightInd w:val="0"/>
        <w:snapToGrid w:val="0"/>
        <w:spacing w:line="288" w:lineRule="auto"/>
        <w:ind w:firstLine="1040"/>
        <w:rPr>
          <w:rFonts w:ascii="仿宋_GB2312" w:eastAsia="仿宋_GB2312" w:cs="仿宋_GB2312"/>
          <w:sz w:val="36"/>
          <w:szCs w:val="36"/>
        </w:rPr>
      </w:pPr>
    </w:p>
    <w:bookmarkEnd w:id="0"/>
    <w:p>
      <w:pPr>
        <w:adjustRightInd w:val="0"/>
        <w:snapToGrid w:val="0"/>
        <w:spacing w:line="288" w:lineRule="auto"/>
        <w:jc w:val="center"/>
        <w:rPr>
          <w:rFonts w:ascii="楷体_GB2312" w:eastAsia="楷体_GB2312" w:cs="楷体_GB2312"/>
          <w:sz w:val="36"/>
          <w:szCs w:val="36"/>
        </w:rPr>
      </w:pPr>
      <w:r>
        <w:rPr>
          <w:rFonts w:hint="eastAsia" w:ascii="楷体_GB2312" w:hAnsi="Times New Roman" w:eastAsia="楷体_GB2312" w:cs="楷体_GB2312"/>
          <w:sz w:val="36"/>
          <w:szCs w:val="36"/>
          <w:lang w:bidi="ar"/>
        </w:rPr>
        <w:t>中华人民共和国生态环境部制</w:t>
      </w:r>
    </w:p>
    <w:p>
      <w:pPr>
        <w:jc w:val="center"/>
        <w:rPr>
          <w:rFonts w:ascii="黑体" w:eastAsia="黑体" w:cs="黑体"/>
          <w:snapToGrid w:val="0"/>
          <w:sz w:val="30"/>
          <w:szCs w:val="30"/>
        </w:rPr>
        <w:sectPr>
          <w:pgSz w:w="11906" w:h="16838"/>
          <w:pgMar w:top="1702" w:right="1531" w:bottom="1702" w:left="1531" w:header="851" w:footer="1077" w:gutter="0"/>
          <w:pgNumType w:start="1"/>
          <w:cols w:space="425" w:num="1"/>
          <w:docGrid w:type="lines" w:linePitch="312" w:charSpace="0"/>
        </w:sectPr>
      </w:pPr>
    </w:p>
    <w:p>
      <w:pPr>
        <w:pStyle w:val="19"/>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outlineLvl w:val="0"/>
        <w:rPr>
          <w:rFonts w:hint="default" w:ascii="黑体" w:eastAsia="黑体" w:cs="黑体"/>
          <w:snapToGrid w:val="0"/>
          <w:sz w:val="30"/>
          <w:szCs w:val="30"/>
        </w:rPr>
      </w:pPr>
      <w:r>
        <w:rPr>
          <w:rFonts w:hint="eastAsia" w:ascii="黑体" w:eastAsia="黑体" w:cs="黑体"/>
          <w:snapToGrid w:val="0"/>
          <w:sz w:val="30"/>
          <w:szCs w:val="30"/>
          <w:lang w:eastAsia="zh-CN"/>
        </w:rPr>
        <w:t>一</w:t>
      </w:r>
      <w:r>
        <w:rPr>
          <w:rFonts w:ascii="黑体" w:eastAsia="黑体" w:cs="黑体"/>
          <w:snapToGrid w:val="0"/>
          <w:sz w:val="30"/>
          <w:szCs w:val="30"/>
        </w:rPr>
        <w:t>、</w:t>
      </w:r>
      <w:r>
        <w:rPr>
          <w:rFonts w:hint="eastAsia" w:ascii="黑体" w:hAnsi="宋体" w:eastAsia="黑体" w:cs="黑体"/>
          <w:snapToGrid w:val="0"/>
          <w:kern w:val="0"/>
          <w:sz w:val="30"/>
          <w:szCs w:val="30"/>
          <w:lang w:val="en-US" w:eastAsia="zh-CN" w:bidi="ar-SA"/>
        </w:rPr>
        <w:t>建设项目基本情况</w:t>
      </w:r>
    </w:p>
    <w:tbl>
      <w:tblPr>
        <w:tblStyle w:val="24"/>
        <w:tblW w:w="524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927"/>
        <w:gridCol w:w="2208"/>
        <w:gridCol w:w="2156"/>
        <w:gridCol w:w="300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67" w:hRule="atLeast"/>
          <w:jc w:val="center"/>
        </w:trPr>
        <w:tc>
          <w:tcPr>
            <w:tcW w:w="1036" w:type="pct"/>
            <w:tcBorders>
              <w:top w:val="single" w:color="auto" w:sz="8"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建设项目名称</w:t>
            </w:r>
          </w:p>
        </w:tc>
        <w:tc>
          <w:tcPr>
            <w:tcW w:w="3963" w:type="pct"/>
            <w:gridSpan w:val="3"/>
            <w:tcBorders>
              <w:top w:val="single" w:color="auto" w:sz="8"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木兰皇家农业综合示范区蒸汽供给项目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36" w:type="pct"/>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项目代码</w:t>
            </w:r>
          </w:p>
        </w:tc>
        <w:tc>
          <w:tcPr>
            <w:tcW w:w="3963" w:type="pct"/>
            <w:gridSpan w:val="3"/>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2103-130828-89-01-346864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36" w:type="pct"/>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建设单位联系人</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冯效宇</w:t>
            </w:r>
          </w:p>
        </w:tc>
        <w:tc>
          <w:tcPr>
            <w:tcW w:w="1159"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联系方式</w:t>
            </w:r>
          </w:p>
        </w:tc>
        <w:tc>
          <w:tcPr>
            <w:tcW w:w="1616" w:type="pct"/>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hint="default" w:ascii="Times New Roman" w:hAnsi="Times New Roman" w:eastAsia="宋体" w:cs="Times New Roman"/>
                <w:sz w:val="24"/>
                <w:szCs w:val="24"/>
                <w:lang w:val="en-US" w:eastAsia="zh-CN"/>
              </w:rPr>
            </w:pPr>
            <w:bookmarkStart w:id="3" w:name="_GoBack"/>
            <w:bookmarkEnd w:id="3"/>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36" w:type="pct"/>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建设地点</w:t>
            </w:r>
          </w:p>
        </w:tc>
        <w:tc>
          <w:tcPr>
            <w:tcW w:w="3963" w:type="pct"/>
            <w:gridSpan w:val="3"/>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围场满族蒙古族自治县半截塔镇什八克村9组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36" w:type="pct"/>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地理坐标</w:t>
            </w:r>
          </w:p>
        </w:tc>
        <w:tc>
          <w:tcPr>
            <w:tcW w:w="3963" w:type="pct"/>
            <w:gridSpan w:val="3"/>
            <w:tcBorders>
              <w:top w:val="single" w:color="auto" w:sz="4" w:space="0"/>
              <w:left w:val="single" w:color="auto" w:sz="4" w:space="0"/>
              <w:bottom w:val="single" w:color="auto" w:sz="4" w:space="0"/>
              <w:right w:val="single" w:color="auto" w:sz="8" w:space="0"/>
            </w:tcBorders>
            <w:shd w:val="clear" w:color="auto" w:fill="auto"/>
            <w:vAlign w:val="center"/>
          </w:tcPr>
          <w:p>
            <w:pPr>
              <w:jc w:val="center"/>
              <w:rPr>
                <w:rFonts w:hint="default" w:ascii="Times New Roman" w:hAnsi="Times New Roman" w:eastAsia="宋体" w:cs="Times New Roman"/>
                <w:sz w:val="24"/>
                <w:szCs w:val="24"/>
                <w:lang w:bidi="ar"/>
              </w:rPr>
            </w:pPr>
            <w:r>
              <w:rPr>
                <w:rFonts w:hint="default" w:ascii="Times New Roman" w:hAnsi="Times New Roman" w:eastAsia="宋体" w:cs="Times New Roman"/>
                <w:sz w:val="24"/>
                <w:szCs w:val="24"/>
                <w:u w:val="single"/>
                <w:lang w:val="en-US" w:eastAsia="zh-CN" w:bidi="ar"/>
              </w:rPr>
              <w:t>117</w:t>
            </w:r>
            <w:r>
              <w:rPr>
                <w:rFonts w:hint="default" w:ascii="Times New Roman" w:hAnsi="Times New Roman" w:eastAsia="宋体" w:cs="Times New Roman"/>
                <w:sz w:val="24"/>
                <w:szCs w:val="24"/>
                <w:lang w:bidi="ar"/>
              </w:rPr>
              <w:t>度</w:t>
            </w:r>
            <w:r>
              <w:rPr>
                <w:rFonts w:hint="default" w:ascii="Times New Roman" w:hAnsi="Times New Roman" w:eastAsia="宋体" w:cs="Times New Roman"/>
                <w:sz w:val="24"/>
                <w:szCs w:val="24"/>
                <w:u w:val="single"/>
                <w:lang w:bidi="ar"/>
              </w:rPr>
              <w:t>2</w:t>
            </w:r>
            <w:r>
              <w:rPr>
                <w:rFonts w:hint="default" w:ascii="Times New Roman" w:hAnsi="Times New Roman" w:eastAsia="宋体" w:cs="Times New Roman"/>
                <w:sz w:val="24"/>
                <w:szCs w:val="24"/>
                <w:u w:val="single"/>
                <w:lang w:val="en-US" w:eastAsia="zh-CN" w:bidi="ar"/>
              </w:rPr>
              <w:t>5</w:t>
            </w:r>
            <w:r>
              <w:rPr>
                <w:rFonts w:hint="default" w:ascii="Times New Roman" w:hAnsi="Times New Roman" w:eastAsia="宋体" w:cs="Times New Roman"/>
                <w:sz w:val="24"/>
                <w:szCs w:val="24"/>
                <w:lang w:bidi="ar"/>
              </w:rPr>
              <w:t>分</w:t>
            </w:r>
            <w:r>
              <w:rPr>
                <w:rFonts w:hint="default" w:ascii="Times New Roman" w:hAnsi="Times New Roman" w:eastAsia="宋体" w:cs="Times New Roman"/>
                <w:sz w:val="24"/>
                <w:szCs w:val="24"/>
                <w:u w:val="single"/>
                <w:lang w:val="en-US" w:eastAsia="zh-CN" w:bidi="ar"/>
              </w:rPr>
              <w:t>42</w:t>
            </w:r>
            <w:r>
              <w:rPr>
                <w:rFonts w:hint="default" w:ascii="Times New Roman" w:hAnsi="Times New Roman" w:eastAsia="宋体" w:cs="Times New Roman"/>
                <w:sz w:val="24"/>
                <w:szCs w:val="24"/>
                <w:u w:val="single"/>
                <w:lang w:bidi="ar"/>
              </w:rPr>
              <w:t>.</w:t>
            </w:r>
            <w:r>
              <w:rPr>
                <w:rFonts w:hint="default" w:ascii="Times New Roman" w:hAnsi="Times New Roman" w:eastAsia="宋体" w:cs="Times New Roman"/>
                <w:sz w:val="24"/>
                <w:szCs w:val="24"/>
                <w:u w:val="single"/>
                <w:lang w:val="en-US" w:eastAsia="zh-CN" w:bidi="ar"/>
              </w:rPr>
              <w:t>825</w:t>
            </w:r>
            <w:r>
              <w:rPr>
                <w:rFonts w:hint="default" w:ascii="Times New Roman" w:hAnsi="Times New Roman" w:eastAsia="宋体" w:cs="Times New Roman"/>
                <w:sz w:val="24"/>
                <w:szCs w:val="24"/>
                <w:lang w:bidi="ar"/>
              </w:rPr>
              <w:t>秒，</w:t>
            </w:r>
            <w:r>
              <w:rPr>
                <w:rFonts w:hint="default" w:ascii="Times New Roman" w:hAnsi="Times New Roman" w:eastAsia="宋体" w:cs="Times New Roman"/>
                <w:sz w:val="24"/>
                <w:szCs w:val="24"/>
                <w:u w:val="single"/>
                <w:lang w:bidi="ar"/>
              </w:rPr>
              <w:t>4</w:t>
            </w:r>
            <w:r>
              <w:rPr>
                <w:rFonts w:hint="default" w:ascii="Times New Roman" w:hAnsi="Times New Roman" w:eastAsia="宋体" w:cs="Times New Roman"/>
                <w:sz w:val="24"/>
                <w:szCs w:val="24"/>
                <w:u w:val="single"/>
                <w:lang w:val="en-US" w:eastAsia="zh-CN" w:bidi="ar"/>
              </w:rPr>
              <w:t>1</w:t>
            </w:r>
            <w:r>
              <w:rPr>
                <w:rFonts w:hint="default" w:ascii="Times New Roman" w:hAnsi="Times New Roman" w:eastAsia="宋体" w:cs="Times New Roman"/>
                <w:sz w:val="24"/>
                <w:szCs w:val="24"/>
                <w:lang w:bidi="ar"/>
              </w:rPr>
              <w:t>度</w:t>
            </w:r>
            <w:r>
              <w:rPr>
                <w:rFonts w:hint="default" w:ascii="Times New Roman" w:hAnsi="Times New Roman" w:eastAsia="宋体" w:cs="Times New Roman"/>
                <w:sz w:val="24"/>
                <w:szCs w:val="24"/>
                <w:u w:val="single"/>
                <w:lang w:val="en-US" w:eastAsia="zh-CN" w:bidi="ar"/>
              </w:rPr>
              <w:t>56</w:t>
            </w:r>
            <w:r>
              <w:rPr>
                <w:rFonts w:hint="default" w:ascii="Times New Roman" w:hAnsi="Times New Roman" w:eastAsia="宋体" w:cs="Times New Roman"/>
                <w:sz w:val="24"/>
                <w:szCs w:val="24"/>
                <w:lang w:bidi="ar"/>
              </w:rPr>
              <w:t>分</w:t>
            </w:r>
            <w:r>
              <w:rPr>
                <w:rFonts w:hint="default" w:ascii="Times New Roman" w:hAnsi="Times New Roman" w:eastAsia="宋体" w:cs="Times New Roman"/>
                <w:sz w:val="24"/>
                <w:szCs w:val="24"/>
                <w:u w:val="single"/>
                <w:lang w:val="en-US" w:eastAsia="zh-CN" w:bidi="ar"/>
              </w:rPr>
              <w:t>44</w:t>
            </w:r>
            <w:r>
              <w:rPr>
                <w:rFonts w:hint="default" w:ascii="Times New Roman" w:hAnsi="Times New Roman" w:eastAsia="宋体" w:cs="Times New Roman"/>
                <w:sz w:val="24"/>
                <w:szCs w:val="24"/>
                <w:u w:val="single"/>
                <w:lang w:bidi="ar"/>
              </w:rPr>
              <w:t>.</w:t>
            </w:r>
            <w:r>
              <w:rPr>
                <w:rFonts w:hint="default" w:ascii="Times New Roman" w:hAnsi="Times New Roman" w:eastAsia="宋体" w:cs="Times New Roman"/>
                <w:sz w:val="24"/>
                <w:szCs w:val="24"/>
                <w:u w:val="single"/>
                <w:lang w:val="en-US" w:eastAsia="zh-CN" w:bidi="ar"/>
              </w:rPr>
              <w:t>399</w:t>
            </w:r>
            <w:r>
              <w:rPr>
                <w:rFonts w:hint="default" w:ascii="Times New Roman" w:hAnsi="Times New Roman" w:eastAsia="宋体" w:cs="Times New Roman"/>
                <w:sz w:val="24"/>
                <w:szCs w:val="24"/>
                <w:lang w:bidi="ar"/>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304" w:hRule="atLeast"/>
          <w:jc w:val="center"/>
        </w:trPr>
        <w:tc>
          <w:tcPr>
            <w:tcW w:w="1036" w:type="pct"/>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国民经济</w:t>
            </w:r>
          </w:p>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行业类别</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D4430热力生产和供应</w:t>
            </w:r>
          </w:p>
        </w:tc>
        <w:tc>
          <w:tcPr>
            <w:tcW w:w="1159"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sz w:val="24"/>
                <w:szCs w:val="24"/>
              </w:rPr>
            </w:pPr>
            <w:bookmarkStart w:id="1" w:name="_Hlk49843745"/>
            <w:r>
              <w:rPr>
                <w:rFonts w:hint="default" w:ascii="Times New Roman" w:hAnsi="Times New Roman" w:eastAsia="宋体" w:cs="Times New Roman"/>
                <w:sz w:val="24"/>
                <w:szCs w:val="24"/>
                <w:lang w:bidi="ar"/>
              </w:rPr>
              <w:t>建设项目</w:t>
            </w:r>
          </w:p>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行业类别</w:t>
            </w:r>
            <w:bookmarkEnd w:id="1"/>
          </w:p>
        </w:tc>
        <w:tc>
          <w:tcPr>
            <w:tcW w:w="1616" w:type="pct"/>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四十一、电力、热力生产和供应业91热力生产和供应工程</w:t>
            </w:r>
          </w:p>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（包括建设单位自建自用的供热工程）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304" w:hRule="atLeast"/>
          <w:jc w:val="center"/>
        </w:trPr>
        <w:tc>
          <w:tcPr>
            <w:tcW w:w="1036" w:type="pct"/>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建设性质</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bidi="ar"/>
              </w:rPr>
              <w:t>□</w:t>
            </w:r>
            <w:r>
              <w:rPr>
                <w:rFonts w:hint="default" w:ascii="Times New Roman" w:hAnsi="Times New Roman" w:eastAsia="宋体" w:cs="Times New Roman"/>
                <w:sz w:val="24"/>
                <w:szCs w:val="24"/>
                <w:lang w:bidi="ar"/>
              </w:rPr>
              <w:t>新建（迁建）</w:t>
            </w:r>
          </w:p>
          <w:p>
            <w:pPr>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sym w:font="Wingdings 2" w:char="0052"/>
            </w:r>
            <w:r>
              <w:rPr>
                <w:rFonts w:hint="default" w:ascii="Times New Roman" w:hAnsi="Times New Roman" w:eastAsia="宋体" w:cs="Times New Roman"/>
                <w:sz w:val="24"/>
                <w:szCs w:val="24"/>
                <w:lang w:bidi="ar"/>
              </w:rPr>
              <w:t>改建</w:t>
            </w:r>
          </w:p>
          <w:p>
            <w:pPr>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bidi="ar"/>
              </w:rPr>
              <w:t>□</w:t>
            </w:r>
            <w:r>
              <w:rPr>
                <w:rFonts w:hint="default" w:ascii="Times New Roman" w:hAnsi="Times New Roman" w:eastAsia="宋体" w:cs="Times New Roman"/>
                <w:sz w:val="24"/>
                <w:szCs w:val="24"/>
                <w:lang w:bidi="ar"/>
              </w:rPr>
              <w:t>扩建</w:t>
            </w:r>
          </w:p>
          <w:p>
            <w:pPr>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□技术改造</w:t>
            </w:r>
          </w:p>
        </w:tc>
        <w:tc>
          <w:tcPr>
            <w:tcW w:w="1159"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建设项目</w:t>
            </w:r>
          </w:p>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申报情形</w:t>
            </w:r>
          </w:p>
        </w:tc>
        <w:tc>
          <w:tcPr>
            <w:tcW w:w="1616" w:type="pct"/>
            <w:tcBorders>
              <w:top w:val="single" w:color="auto" w:sz="4" w:space="0"/>
              <w:left w:val="single" w:color="auto" w:sz="4" w:space="0"/>
              <w:bottom w:val="single" w:color="auto" w:sz="4" w:space="0"/>
              <w:right w:val="single" w:color="auto" w:sz="8" w:space="0"/>
            </w:tcBorders>
            <w:shd w:val="clear" w:color="auto" w:fill="auto"/>
            <w:vAlign w:val="center"/>
          </w:tcPr>
          <w:p>
            <w:pPr>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 xml:space="preserve">☑首次申报项目             </w:t>
            </w:r>
          </w:p>
          <w:p>
            <w:pPr>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□不予批准后再次申报项目</w:t>
            </w:r>
          </w:p>
          <w:p>
            <w:pPr>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 xml:space="preserve">□超五年重新审核项目     </w:t>
            </w:r>
          </w:p>
          <w:p>
            <w:pPr>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1036" w:type="pct"/>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项目审批（核准/</w:t>
            </w:r>
          </w:p>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备案）部门（选填）</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围场满族蒙古族自治县行政审批局</w:t>
            </w:r>
          </w:p>
        </w:tc>
        <w:tc>
          <w:tcPr>
            <w:tcW w:w="1159"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项目审批（核准/</w:t>
            </w:r>
          </w:p>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备案）文号（选填）</w:t>
            </w:r>
          </w:p>
        </w:tc>
        <w:tc>
          <w:tcPr>
            <w:tcW w:w="1616" w:type="pct"/>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围审批备字</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[2021]14号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36" w:type="pct"/>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总投资（万元）</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5000</w:t>
            </w:r>
          </w:p>
        </w:tc>
        <w:tc>
          <w:tcPr>
            <w:tcW w:w="1159" w:type="pct"/>
            <w:tcBorders>
              <w:top w:val="single" w:color="auto" w:sz="4" w:space="0"/>
              <w:left w:val="single" w:color="auto" w:sz="4"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环保投资（万元）</w:t>
            </w:r>
          </w:p>
        </w:tc>
        <w:tc>
          <w:tcPr>
            <w:tcW w:w="1616" w:type="pct"/>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hint="default" w:ascii="Times New Roman" w:hAnsi="Times New Roman" w:eastAsia="宋体" w:cs="Times New Roman"/>
                <w:color w:val="FF0000"/>
                <w:sz w:val="24"/>
                <w:szCs w:val="24"/>
                <w:highlight w:val="yellow"/>
                <w:lang w:val="en-US" w:eastAsia="zh-CN"/>
              </w:rPr>
            </w:pPr>
            <w:r>
              <w:rPr>
                <w:rFonts w:hint="default" w:ascii="Times New Roman" w:hAnsi="Times New Roman" w:eastAsia="宋体" w:cs="Times New Roman"/>
                <w:color w:val="auto"/>
                <w:sz w:val="24"/>
                <w:szCs w:val="24"/>
                <w:lang w:val="en-US" w:eastAsia="zh-CN"/>
              </w:rPr>
              <w:t>2000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36" w:type="pct"/>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环保投资占比（%）</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40</w:t>
            </w:r>
          </w:p>
        </w:tc>
        <w:tc>
          <w:tcPr>
            <w:tcW w:w="1159" w:type="pct"/>
            <w:tcBorders>
              <w:top w:val="single" w:color="auto" w:sz="4" w:space="0"/>
              <w:left w:val="single" w:color="auto" w:sz="4"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施工工期</w:t>
            </w:r>
          </w:p>
        </w:tc>
        <w:tc>
          <w:tcPr>
            <w:tcW w:w="1616" w:type="pct"/>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hint="default" w:ascii="Times New Roman" w:hAnsi="Times New Roman" w:eastAsia="宋体" w:cs="Times New Roman"/>
                <w:color w:val="auto"/>
                <w:sz w:val="24"/>
                <w:szCs w:val="24"/>
                <w:highlight w:val="yellow"/>
                <w:lang w:val="en-US" w:eastAsia="zh-CN"/>
              </w:rPr>
            </w:pPr>
            <w:r>
              <w:rPr>
                <w:rFonts w:hint="default" w:ascii="Times New Roman" w:hAnsi="Times New Roman" w:eastAsia="宋体" w:cs="Times New Roman"/>
                <w:color w:val="auto"/>
                <w:sz w:val="24"/>
                <w:szCs w:val="24"/>
                <w:highlight w:val="none"/>
                <w:shd w:val="clear" w:color="auto" w:fill="auto"/>
                <w:lang w:val="en-US" w:eastAsia="zh-CN"/>
              </w:rPr>
              <w:t>202</w:t>
            </w:r>
            <w:r>
              <w:rPr>
                <w:rFonts w:hint="eastAsia" w:ascii="Times New Roman" w:hAnsi="Times New Roman" w:eastAsia="宋体" w:cs="Times New Roman"/>
                <w:color w:val="auto"/>
                <w:sz w:val="24"/>
                <w:szCs w:val="24"/>
                <w:highlight w:val="none"/>
                <w:shd w:val="clear" w:color="auto" w:fill="auto"/>
                <w:lang w:val="en-US" w:eastAsia="zh-CN"/>
              </w:rPr>
              <w:t>3</w:t>
            </w:r>
            <w:r>
              <w:rPr>
                <w:rFonts w:hint="default" w:ascii="Times New Roman" w:hAnsi="Times New Roman" w:eastAsia="宋体" w:cs="Times New Roman"/>
                <w:color w:val="auto"/>
                <w:sz w:val="24"/>
                <w:szCs w:val="24"/>
                <w:highlight w:val="none"/>
                <w:shd w:val="clear" w:color="auto" w:fill="auto"/>
                <w:lang w:val="en-US" w:eastAsia="zh-CN"/>
              </w:rPr>
              <w:t>年</w:t>
            </w:r>
            <w:r>
              <w:rPr>
                <w:rFonts w:hint="eastAsia" w:ascii="Times New Roman" w:hAnsi="Times New Roman" w:eastAsia="宋体" w:cs="Times New Roman"/>
                <w:color w:val="auto"/>
                <w:sz w:val="24"/>
                <w:szCs w:val="24"/>
                <w:highlight w:val="none"/>
                <w:shd w:val="clear" w:color="auto" w:fill="auto"/>
                <w:lang w:val="en-US" w:eastAsia="zh-CN"/>
              </w:rPr>
              <w:t>9</w:t>
            </w:r>
            <w:r>
              <w:rPr>
                <w:rFonts w:hint="default" w:ascii="Times New Roman" w:hAnsi="Times New Roman" w:eastAsia="宋体" w:cs="Times New Roman"/>
                <w:color w:val="auto"/>
                <w:sz w:val="24"/>
                <w:szCs w:val="24"/>
                <w:highlight w:val="none"/>
                <w:shd w:val="clear" w:color="auto" w:fill="auto"/>
                <w:lang w:val="en-US" w:eastAsia="zh-CN"/>
              </w:rPr>
              <w:t>月-202</w:t>
            </w:r>
            <w:r>
              <w:rPr>
                <w:rFonts w:hint="eastAsia" w:ascii="Times New Roman" w:hAnsi="Times New Roman" w:eastAsia="宋体" w:cs="Times New Roman"/>
                <w:color w:val="auto"/>
                <w:sz w:val="24"/>
                <w:szCs w:val="24"/>
                <w:highlight w:val="none"/>
                <w:shd w:val="clear" w:color="auto" w:fill="auto"/>
                <w:lang w:val="en-US" w:eastAsia="zh-CN"/>
              </w:rPr>
              <w:t>3</w:t>
            </w:r>
            <w:r>
              <w:rPr>
                <w:rFonts w:hint="default" w:ascii="Times New Roman" w:hAnsi="Times New Roman" w:eastAsia="宋体" w:cs="Times New Roman"/>
                <w:color w:val="auto"/>
                <w:sz w:val="24"/>
                <w:szCs w:val="24"/>
                <w:highlight w:val="none"/>
                <w:shd w:val="clear" w:color="auto" w:fill="auto"/>
                <w:lang w:val="en-US" w:eastAsia="zh-CN"/>
              </w:rPr>
              <w:t>年</w:t>
            </w:r>
            <w:r>
              <w:rPr>
                <w:rFonts w:hint="eastAsia" w:ascii="Times New Roman" w:hAnsi="Times New Roman" w:eastAsia="宋体" w:cs="Times New Roman"/>
                <w:color w:val="auto"/>
                <w:sz w:val="24"/>
                <w:szCs w:val="24"/>
                <w:highlight w:val="none"/>
                <w:shd w:val="clear" w:color="auto" w:fill="auto"/>
                <w:lang w:val="en-US" w:eastAsia="zh-CN"/>
              </w:rPr>
              <w:t>12</w:t>
            </w:r>
            <w:r>
              <w:rPr>
                <w:rFonts w:hint="default" w:ascii="Times New Roman" w:hAnsi="Times New Roman" w:eastAsia="宋体" w:cs="Times New Roman"/>
                <w:color w:val="auto"/>
                <w:sz w:val="24"/>
                <w:szCs w:val="24"/>
                <w:highlight w:val="none"/>
                <w:shd w:val="clear" w:color="auto" w:fill="auto"/>
                <w:lang w:val="en-US" w:eastAsia="zh-CN"/>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1036" w:type="pct"/>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是否开工建设</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bidi="ar"/>
              </w:rPr>
              <w:sym w:font="Wingdings 2" w:char="0052"/>
            </w:r>
            <w:r>
              <w:rPr>
                <w:rFonts w:hint="default" w:ascii="Times New Roman" w:hAnsi="Times New Roman" w:eastAsia="宋体" w:cs="Times New Roman"/>
                <w:color w:val="auto"/>
                <w:sz w:val="24"/>
                <w:szCs w:val="24"/>
                <w:lang w:bidi="ar"/>
              </w:rPr>
              <w:t>否</w:t>
            </w:r>
          </w:p>
          <w:p>
            <w:pPr>
              <w:adjustRightInd w:val="0"/>
              <w:snapToGrid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sym w:font="Wingdings 2" w:char="00A3"/>
            </w:r>
            <w:r>
              <w:rPr>
                <w:rFonts w:hint="default" w:ascii="Times New Roman" w:hAnsi="Times New Roman" w:eastAsia="宋体" w:cs="Times New Roman"/>
                <w:color w:val="auto"/>
                <w:sz w:val="24"/>
                <w:szCs w:val="24"/>
                <w:lang w:bidi="ar"/>
              </w:rPr>
              <w:t>是：</w:t>
            </w:r>
          </w:p>
        </w:tc>
        <w:tc>
          <w:tcPr>
            <w:tcW w:w="1159" w:type="pct"/>
            <w:tcBorders>
              <w:top w:val="single" w:color="auto" w:sz="4" w:space="0"/>
              <w:left w:val="single" w:color="auto" w:sz="4" w:space="0"/>
              <w:bottom w:val="single" w:color="auto" w:sz="4" w:space="0"/>
              <w:right w:val="single" w:color="auto" w:sz="4" w:space="0"/>
            </w:tcBorders>
            <w:shd w:val="clear" w:color="auto" w:fill="auto"/>
            <w:tcMar>
              <w:top w:w="16" w:type="dxa"/>
              <w:left w:w="16" w:type="dxa"/>
              <w:right w:w="16" w:type="dxa"/>
            </w:tcMar>
            <w:vAlign w:val="center"/>
          </w:tcPr>
          <w:p>
            <w:pPr>
              <w:adjustRightInd w:val="0"/>
              <w:snapToGrid w:val="0"/>
              <w:jc w:val="center"/>
              <w:rPr>
                <w:rFonts w:hint="default" w:ascii="Times New Roman" w:hAnsi="Times New Roman" w:eastAsia="宋体" w:cs="Times New Roman"/>
                <w:spacing w:val="-6"/>
                <w:sz w:val="24"/>
                <w:szCs w:val="24"/>
              </w:rPr>
            </w:pPr>
            <w:r>
              <w:rPr>
                <w:rFonts w:hint="default" w:ascii="Times New Roman" w:hAnsi="Times New Roman" w:eastAsia="宋体" w:cs="Times New Roman"/>
                <w:spacing w:val="-6"/>
                <w:sz w:val="24"/>
                <w:szCs w:val="24"/>
                <w:lang w:bidi="ar"/>
              </w:rPr>
              <w:t>用地（用海）</w:t>
            </w:r>
          </w:p>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pacing w:val="-6"/>
                <w:sz w:val="24"/>
                <w:szCs w:val="24"/>
                <w:lang w:bidi="ar"/>
              </w:rPr>
              <w:t>面积（m</w:t>
            </w:r>
            <w:r>
              <w:rPr>
                <w:rFonts w:hint="default" w:ascii="Times New Roman" w:hAnsi="Times New Roman" w:eastAsia="宋体" w:cs="Times New Roman"/>
                <w:spacing w:val="-6"/>
                <w:sz w:val="24"/>
                <w:szCs w:val="24"/>
                <w:vertAlign w:val="superscript"/>
                <w:lang w:bidi="ar"/>
              </w:rPr>
              <w:t>2</w:t>
            </w:r>
            <w:r>
              <w:rPr>
                <w:rFonts w:hint="default" w:ascii="Times New Roman" w:hAnsi="Times New Roman" w:eastAsia="宋体" w:cs="Times New Roman"/>
                <w:spacing w:val="-6"/>
                <w:sz w:val="24"/>
                <w:szCs w:val="24"/>
                <w:lang w:bidi="ar"/>
              </w:rPr>
              <w:t>）</w:t>
            </w:r>
          </w:p>
        </w:tc>
        <w:tc>
          <w:tcPr>
            <w:tcW w:w="1616" w:type="pct"/>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jc w:val="center"/>
              <w:rPr>
                <w:rFonts w:hint="default" w:ascii="Times New Roman" w:hAnsi="Times New Roman" w:eastAsia="宋体" w:cs="Times New Roman"/>
                <w:color w:val="FF0000"/>
                <w:sz w:val="24"/>
                <w:szCs w:val="24"/>
              </w:rPr>
            </w:pPr>
            <w:r>
              <w:rPr>
                <w:rFonts w:hint="default" w:ascii="Times New Roman" w:hAnsi="Times New Roman" w:eastAsia="宋体" w:cs="Times New Roman"/>
                <w:sz w:val="24"/>
                <w:szCs w:val="24"/>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97" w:hRule="atLeast"/>
          <w:jc w:val="center"/>
        </w:trPr>
        <w:tc>
          <w:tcPr>
            <w:tcW w:w="1036" w:type="pct"/>
            <w:tcBorders>
              <w:top w:val="single" w:color="auto" w:sz="4" w:space="0"/>
              <w:left w:val="single" w:color="auto" w:sz="8" w:space="0"/>
              <w:bottom w:val="single" w:color="auto" w:sz="4" w:space="0"/>
              <w:right w:val="single" w:color="auto" w:sz="4" w:space="0"/>
            </w:tcBorders>
            <w:shd w:val="clear" w:color="auto" w:fill="auto"/>
            <w:tcMar>
              <w:left w:w="108" w:type="dxa"/>
              <w:right w:w="108" w:type="dxa"/>
            </w:tcMar>
            <w:vAlign w:val="center"/>
          </w:tcPr>
          <w:p>
            <w:pPr>
              <w:autoSpaceDE w:val="0"/>
              <w:autoSpaceDN w:val="0"/>
              <w:adjustRightInd w:val="0"/>
              <w:snapToGrid w:val="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bidi="ar"/>
              </w:rPr>
              <w:t>专项评价设置情况</w:t>
            </w:r>
          </w:p>
        </w:tc>
        <w:tc>
          <w:tcPr>
            <w:tcW w:w="3963" w:type="pct"/>
            <w:gridSpan w:val="3"/>
            <w:tcBorders>
              <w:top w:val="single" w:color="auto" w:sz="4" w:space="0"/>
              <w:left w:val="single" w:color="auto" w:sz="4" w:space="0"/>
              <w:bottom w:val="single" w:color="auto" w:sz="4" w:space="0"/>
              <w:right w:val="single" w:color="auto" w:sz="8" w:space="0"/>
            </w:tcBorders>
            <w:shd w:val="clear" w:color="auto" w:fill="auto"/>
            <w:tcMar>
              <w:left w:w="108" w:type="dxa"/>
              <w:right w:w="108"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rPr>
              <w:t>大气专项评价：项目运营期排放废气含有汞及其化合物（以Hg计），且厂界外500米范围内有燕格柏沟门村、司家窝铺环境空气保护目标。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3" w:hRule="atLeast"/>
          <w:jc w:val="center"/>
        </w:trPr>
        <w:tc>
          <w:tcPr>
            <w:tcW w:w="1036" w:type="pct"/>
            <w:tcBorders>
              <w:top w:val="single" w:color="auto" w:sz="4" w:space="0"/>
              <w:left w:val="single" w:color="auto" w:sz="8" w:space="0"/>
              <w:bottom w:val="single" w:color="auto" w:sz="4" w:space="0"/>
              <w:right w:val="single" w:color="auto" w:sz="4" w:space="0"/>
            </w:tcBorders>
            <w:shd w:val="clear" w:color="auto" w:fill="auto"/>
            <w:tcMar>
              <w:left w:w="108" w:type="dxa"/>
              <w:right w:w="108" w:type="dxa"/>
            </w:tcMar>
            <w:vAlign w:val="center"/>
          </w:tcPr>
          <w:p>
            <w:pPr>
              <w:autoSpaceDE w:val="0"/>
              <w:autoSpaceDN w:val="0"/>
              <w:adjustRightInd w:val="0"/>
              <w:snapToGrid w:val="0"/>
              <w:jc w:val="center"/>
              <w:rPr>
                <w:rFonts w:hint="default" w:ascii="Times New Roman" w:hAnsi="Times New Roman" w:eastAsia="宋体" w:cs="Times New Roman"/>
                <w:kern w:val="0"/>
                <w:sz w:val="24"/>
                <w:szCs w:val="24"/>
              </w:rPr>
            </w:pPr>
            <w:r>
              <w:rPr>
                <w:rFonts w:hint="default" w:ascii="Times New Roman" w:hAnsi="Times New Roman" w:eastAsia="宋体" w:cs="Times New Roman"/>
                <w:sz w:val="24"/>
                <w:szCs w:val="24"/>
                <w:lang w:bidi="ar"/>
              </w:rPr>
              <w:t>规划情况</w:t>
            </w:r>
          </w:p>
        </w:tc>
        <w:tc>
          <w:tcPr>
            <w:tcW w:w="7372" w:type="dxa"/>
            <w:gridSpan w:val="3"/>
            <w:tcBorders>
              <w:top w:val="single" w:color="auto" w:sz="4" w:space="0"/>
              <w:left w:val="single" w:color="auto" w:sz="4" w:space="0"/>
              <w:bottom w:val="single" w:color="auto" w:sz="4" w:space="0"/>
              <w:right w:val="single" w:color="auto" w:sz="8" w:space="0"/>
            </w:tcBorders>
            <w:shd w:val="clear" w:color="auto" w:fill="auto"/>
            <w:tcMar>
              <w:left w:w="108" w:type="dxa"/>
              <w:right w:w="108" w:type="dxa"/>
            </w:tcMar>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kern w:val="0"/>
                <w:sz w:val="24"/>
                <w:szCs w:val="24"/>
                <w:highlight w:val="yellow"/>
                <w:lang w:val="en-US" w:eastAsia="zh-CN"/>
              </w:rPr>
            </w:pPr>
            <w:r>
              <w:rPr>
                <w:rFonts w:hint="default" w:ascii="Times New Roman" w:hAnsi="Times New Roman" w:eastAsia="宋体" w:cs="Times New Roman"/>
                <w:kern w:val="0"/>
                <w:sz w:val="24"/>
                <w:szCs w:val="24"/>
                <w:lang w:val="en-US" w:eastAsia="zh-CN"/>
              </w:rPr>
              <w:t>2014年10月围场满族蒙古族自治县发布《木兰皇家现代农业综合示范区总体规划》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75" w:hRule="atLeast"/>
          <w:jc w:val="center"/>
        </w:trPr>
        <w:tc>
          <w:tcPr>
            <w:tcW w:w="1036" w:type="pct"/>
            <w:tcBorders>
              <w:top w:val="single" w:color="auto" w:sz="4" w:space="0"/>
              <w:left w:val="single" w:color="auto" w:sz="8" w:space="0"/>
              <w:bottom w:val="single" w:color="auto" w:sz="4" w:space="0"/>
              <w:right w:val="single" w:color="auto" w:sz="4" w:space="0"/>
            </w:tcBorders>
            <w:shd w:val="clear" w:color="auto" w:fill="auto"/>
            <w:tcMar>
              <w:left w:w="108" w:type="dxa"/>
              <w:right w:w="108" w:type="dxa"/>
            </w:tcMar>
            <w:vAlign w:val="center"/>
          </w:tcPr>
          <w:p>
            <w:pPr>
              <w:adjustRightInd w:val="0"/>
              <w:snapToGrid w:val="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规划环境影响</w:t>
            </w:r>
          </w:p>
          <w:p>
            <w:pPr>
              <w:adjustRightInd w:val="0"/>
              <w:snapToGrid w:val="0"/>
              <w:jc w:val="center"/>
              <w:rPr>
                <w:rFonts w:hint="default" w:ascii="Times New Roman" w:hAnsi="Times New Roman" w:eastAsia="宋体" w:cs="Times New Roman"/>
                <w:kern w:val="0"/>
                <w:sz w:val="24"/>
                <w:szCs w:val="24"/>
              </w:rPr>
            </w:pPr>
            <w:r>
              <w:rPr>
                <w:rFonts w:hint="default" w:ascii="Times New Roman" w:hAnsi="Times New Roman" w:eastAsia="宋体" w:cs="Times New Roman"/>
                <w:sz w:val="24"/>
                <w:szCs w:val="24"/>
                <w:lang w:bidi="ar"/>
              </w:rPr>
              <w:t>评价情况</w:t>
            </w:r>
          </w:p>
        </w:tc>
        <w:tc>
          <w:tcPr>
            <w:tcW w:w="7372" w:type="dxa"/>
            <w:gridSpan w:val="3"/>
            <w:tcBorders>
              <w:top w:val="single" w:color="auto" w:sz="4" w:space="0"/>
              <w:left w:val="single" w:color="auto" w:sz="4" w:space="0"/>
              <w:bottom w:val="single" w:color="auto" w:sz="4" w:space="0"/>
              <w:right w:val="single" w:color="auto" w:sz="8" w:space="0"/>
            </w:tcBorders>
            <w:shd w:val="clear" w:color="auto" w:fill="auto"/>
            <w:tcMar>
              <w:left w:w="108" w:type="dxa"/>
              <w:right w:w="108" w:type="dxa"/>
            </w:tcMar>
            <w:vAlign w:val="center"/>
          </w:tcPr>
          <w:p>
            <w:pPr>
              <w:autoSpaceDE w:val="0"/>
              <w:autoSpaceDN w:val="0"/>
              <w:adjustRightInd w:val="0"/>
              <w:snapToGrid w:val="0"/>
              <w:spacing w:line="360" w:lineRule="exact"/>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55" w:hRule="atLeast"/>
          <w:jc w:val="center"/>
        </w:trPr>
        <w:tc>
          <w:tcPr>
            <w:tcW w:w="1927" w:type="dxa"/>
            <w:tcBorders>
              <w:top w:val="single" w:color="auto" w:sz="4" w:space="0"/>
              <w:left w:val="single" w:color="auto" w:sz="8" w:space="0"/>
              <w:bottom w:val="single" w:color="auto" w:sz="4" w:space="0"/>
              <w:right w:val="single" w:color="auto" w:sz="4" w:space="0"/>
            </w:tcBorders>
            <w:shd w:val="clear" w:color="auto" w:fill="auto"/>
            <w:tcMar>
              <w:left w:w="108" w:type="dxa"/>
              <w:right w:w="108" w:type="dxa"/>
            </w:tcMar>
            <w:vAlign w:val="center"/>
          </w:tcPr>
          <w:p>
            <w:pPr>
              <w:adjustRightInd w:val="0"/>
              <w:snapToGrid w:val="0"/>
              <w:jc w:val="center"/>
              <w:rPr>
                <w:rFonts w:hint="default" w:ascii="Times New Roman" w:hAnsi="Times New Roman" w:eastAsia="宋体" w:cs="Times New Roman"/>
                <w:sz w:val="24"/>
                <w:szCs w:val="24"/>
                <w:lang w:bidi="ar"/>
              </w:rPr>
            </w:pPr>
            <w:r>
              <w:rPr>
                <w:rFonts w:hint="default" w:ascii="Times New Roman" w:hAnsi="Times New Roman" w:eastAsia="宋体" w:cs="Times New Roman"/>
                <w:sz w:val="24"/>
                <w:szCs w:val="24"/>
                <w:lang w:bidi="ar"/>
              </w:rPr>
              <w:t>规划及规划环境影响评价符合性分析</w:t>
            </w:r>
          </w:p>
        </w:tc>
        <w:tc>
          <w:tcPr>
            <w:tcW w:w="7372" w:type="dxa"/>
            <w:gridSpan w:val="3"/>
            <w:tcBorders>
              <w:top w:val="single" w:color="auto" w:sz="4" w:space="0"/>
              <w:left w:val="single" w:color="auto" w:sz="4" w:space="0"/>
              <w:bottom w:val="single" w:color="auto" w:sz="4" w:space="0"/>
              <w:right w:val="single" w:color="auto" w:sz="8" w:space="0"/>
            </w:tcBorders>
            <w:shd w:val="clear" w:color="auto" w:fill="auto"/>
            <w:tcMar>
              <w:left w:w="108" w:type="dxa"/>
              <w:right w:w="108" w:type="dxa"/>
            </w:tcMar>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1、</w:t>
            </w:r>
            <w:r>
              <w:rPr>
                <w:rFonts w:hint="default" w:ascii="Times New Roman" w:hAnsi="Times New Roman" w:eastAsia="宋体" w:cs="Times New Roman"/>
                <w:kern w:val="0"/>
                <w:sz w:val="24"/>
                <w:szCs w:val="24"/>
              </w:rPr>
              <w:t>《</w:t>
            </w:r>
            <w:r>
              <w:rPr>
                <w:rFonts w:hint="default" w:ascii="Times New Roman" w:hAnsi="Times New Roman" w:eastAsia="宋体" w:cs="Times New Roman"/>
                <w:kern w:val="0"/>
                <w:sz w:val="24"/>
                <w:szCs w:val="24"/>
                <w:lang w:val="en-US" w:eastAsia="zh-CN"/>
              </w:rPr>
              <w:t>木兰皇家现代农业综合示范区总体规划》 符合性分析</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木兰皇家现代农业综合示范区总体规划》指出：供热设施规划。中心城镇范围内实行集中供热。采用锅炉房供热，并逐渐利用太阳能资源供热，充分考虑综合、节约、安全利用热能。供热管网可参考《城市热力网设计规范（CJJ34-2002）》。其他村庄的供热方式可以采用传统供暖方式供暖。</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本项目为木兰皇家农业综合示范区蒸汽供给项目</w:t>
            </w:r>
            <w:r>
              <w:rPr>
                <w:rFonts w:hint="default" w:ascii="Times New Roman" w:hAnsi="Times New Roman" w:eastAsia="宋体" w:cs="Times New Roman"/>
                <w:kern w:val="0"/>
                <w:sz w:val="24"/>
                <w:szCs w:val="24"/>
                <w:lang w:val="en-US" w:eastAsia="zh-CN"/>
              </w:rPr>
              <w:t>，项目建设在示范区</w:t>
            </w:r>
            <w:r>
              <w:rPr>
                <w:rFonts w:hint="eastAsia" w:ascii="Times New Roman" w:hAnsi="Times New Roman" w:eastAsia="宋体" w:cs="Times New Roman"/>
                <w:kern w:val="0"/>
                <w:sz w:val="24"/>
                <w:szCs w:val="24"/>
                <w:lang w:val="en-US" w:eastAsia="zh-CN"/>
              </w:rPr>
              <w:t>承德富龙现代农业发展有限公司</w:t>
            </w:r>
            <w:r>
              <w:rPr>
                <w:rFonts w:hint="default" w:ascii="Times New Roman" w:hAnsi="Times New Roman" w:eastAsia="宋体" w:cs="Times New Roman"/>
                <w:kern w:val="0"/>
                <w:sz w:val="24"/>
                <w:szCs w:val="24"/>
                <w:lang w:val="en-US" w:eastAsia="zh-CN"/>
              </w:rPr>
              <w:t>内部，</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项目建设符合《木兰皇家现代农业综合示范区总体规划》中的相关要求。</w:t>
            </w:r>
          </w:p>
        </w:tc>
      </w:tr>
    </w:tbl>
    <w:p>
      <w:pPr>
        <w:rPr>
          <w:szCs w:val="21"/>
        </w:rPr>
      </w:pPr>
      <w:r>
        <w:rPr>
          <w:szCs w:val="21"/>
        </w:rPr>
        <w:br w:type="column"/>
      </w:r>
    </w:p>
    <w:tbl>
      <w:tblPr>
        <w:tblStyle w:val="24"/>
        <w:tblW w:w="515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535"/>
        <w:gridCol w:w="88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21" w:hRule="atLeast"/>
          <w:jc w:val="center"/>
        </w:trPr>
        <w:tc>
          <w:tcPr>
            <w:tcW w:w="286" w:type="pct"/>
            <w:tcBorders>
              <w:top w:val="single" w:color="auto" w:sz="4" w:space="0"/>
              <w:left w:val="single" w:color="auto" w:sz="8" w:space="0"/>
              <w:bottom w:val="single" w:color="auto" w:sz="8" w:space="0"/>
              <w:right w:val="single" w:color="auto" w:sz="4" w:space="0"/>
            </w:tcBorders>
            <w:shd w:val="clear" w:color="auto" w:fill="auto"/>
            <w:tcMar>
              <w:left w:w="108" w:type="dxa"/>
              <w:right w:w="108" w:type="dxa"/>
            </w:tcMar>
            <w:vAlign w:val="center"/>
          </w:tcPr>
          <w:p>
            <w:pPr>
              <w:pStyle w:val="33"/>
              <w:numPr>
                <w:ilvl w:val="4"/>
                <w:numId w:val="0"/>
              </w:numPr>
              <w:ind w:leftChars="0"/>
              <w:jc w:val="both"/>
              <w:rPr>
                <w:rFonts w:ascii="Times New Roman" w:hAnsi="Times New Roman" w:eastAsia="宋体" w:cs="Times New Roman"/>
                <w:kern w:val="0"/>
                <w:sz w:val="24"/>
              </w:rPr>
            </w:pPr>
            <w:r>
              <w:br w:type="column"/>
            </w:r>
            <w:r>
              <w:br w:type="page"/>
            </w:r>
            <w:r>
              <w:rPr>
                <w:rFonts w:ascii="Times New Roman" w:hAnsi="Times New Roman" w:eastAsia="宋体" w:cs="Times New Roman"/>
                <w:kern w:val="0"/>
                <w:sz w:val="24"/>
                <w:lang w:bidi="ar"/>
              </w:rPr>
              <w:t>其他符合性分析</w:t>
            </w:r>
          </w:p>
        </w:tc>
        <w:tc>
          <w:tcPr>
            <w:tcW w:w="4713" w:type="pct"/>
            <w:tcBorders>
              <w:top w:val="single" w:color="auto" w:sz="4" w:space="0"/>
              <w:left w:val="single" w:color="auto" w:sz="4" w:space="0"/>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left"/>
              <w:textAlignment w:val="auto"/>
              <w:rPr>
                <w:rFonts w:hint="default" w:ascii="Times New Roman" w:hAnsi="Times New Roman" w:eastAsia="宋体" w:cs="Times New Roman"/>
                <w:b/>
                <w:bCs/>
                <w:kern w:val="0"/>
                <w:sz w:val="24"/>
              </w:rPr>
            </w:pPr>
            <w:r>
              <w:rPr>
                <w:rFonts w:hint="default" w:ascii="Times New Roman" w:hAnsi="Times New Roman" w:eastAsia="宋体" w:cs="Times New Roman"/>
                <w:b/>
                <w:bCs/>
                <w:kern w:val="0"/>
                <w:sz w:val="24"/>
              </w:rPr>
              <w:t>1、三线一单符合性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关于以改善环境质量为核心加强环境影响评价管理的通知》（环境保护部文件：环评[2016]150号）、《承德市人民政府关于加快实施“三线一单”生态环境分区管控的意见》（承德市生态环境局2021年6月18发布），进行项目“三线一单”符合性分析如下所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项目与生态保护红线的符合性分析：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根据承德市生态保护红线成果，本项目不在生态保护红线范围内，项目选址距离生态红线最近为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南侧353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米</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项目</w:t>
            </w:r>
            <w:r>
              <w:rPr>
                <w:rFonts w:hint="default" w:ascii="Times New Roman" w:hAnsi="Times New Roman" w:eastAsia="宋体" w:cs="Times New Roman"/>
                <w:sz w:val="24"/>
                <w:szCs w:val="24"/>
                <w:lang w:val="en-US" w:eastAsia="zh-CN"/>
              </w:rPr>
              <w:t>不占用生态保护红线，符合生态环境保护的要求，项目选址与生态保护红线位置关系如下图所示</w:t>
            </w:r>
            <w:r>
              <w:rPr>
                <w:rFonts w:hint="default" w:ascii="Times New Roman" w:hAnsi="Times New Roman" w:eastAsia="宋体" w:cs="Times New Roman"/>
                <w:sz w:val="24"/>
                <w:szCs w:val="24"/>
              </w:rPr>
              <w:t>：</w:t>
            </w:r>
          </w:p>
          <w:p>
            <w:pPr>
              <w:pStyle w:val="4"/>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b/>
                <w:bCs/>
              </w:rPr>
            </w:pPr>
            <w:r>
              <w:rPr>
                <w:rFonts w:hint="default"/>
                <w:color w:val="FF0000"/>
              </w:rPr>
              <mc:AlternateContent>
                <mc:Choice Requires="wps">
                  <w:drawing>
                    <wp:anchor distT="0" distB="0" distL="114300" distR="114300" simplePos="0" relativeHeight="251666432" behindDoc="0" locked="0" layoutInCell="1" allowOverlap="1">
                      <wp:simplePos x="0" y="0"/>
                      <wp:positionH relativeFrom="column">
                        <wp:posOffset>3601085</wp:posOffset>
                      </wp:positionH>
                      <wp:positionV relativeFrom="paragraph">
                        <wp:posOffset>1565275</wp:posOffset>
                      </wp:positionV>
                      <wp:extent cx="806450" cy="318135"/>
                      <wp:effectExtent l="262255" t="4445" r="17145" b="325120"/>
                      <wp:wrapNone/>
                      <wp:docPr id="7" name="圆角矩形标注 47"/>
                      <wp:cNvGraphicFramePr/>
                      <a:graphic xmlns:a="http://schemas.openxmlformats.org/drawingml/2006/main">
                        <a:graphicData uri="http://schemas.microsoft.com/office/word/2010/wordprocessingShape">
                          <wps:wsp>
                            <wps:cNvSpPr/>
                            <wps:spPr>
                              <a:xfrm flipV="1">
                                <a:off x="0" y="0"/>
                                <a:ext cx="806450" cy="318135"/>
                              </a:xfrm>
                              <a:prstGeom prst="wedgeRoundRectCallout">
                                <a:avLst>
                                  <a:gd name="adj1" fmla="val -78497"/>
                                  <a:gd name="adj2" fmla="val -143213"/>
                                  <a:gd name="adj3" fmla="val 16667"/>
                                </a:avLst>
                              </a:prstGeom>
                              <a:noFill/>
                              <a:ln w="9525" cap="flat" cmpd="sng">
                                <a:solidFill>
                                  <a:srgbClr val="000000"/>
                                </a:solidFill>
                                <a:prstDash val="solid"/>
                                <a:miter/>
                                <a:headEnd type="none" w="med" len="med"/>
                                <a:tailEnd type="none" w="med" len="med"/>
                              </a:ln>
                            </wps:spPr>
                            <wps:txbx>
                              <w:txbxContent>
                                <w:p>
                                  <w:pPr>
                                    <w:ind w:left="0" w:leftChars="0" w:firstLine="0" w:firstLineChars="0"/>
                                    <w:jc w:val="center"/>
                                    <w:rPr>
                                      <w:rFonts w:hint="default" w:ascii="Times New Roman" w:hAnsi="Times New Roman" w:eastAsia="宋体" w:cs="Times New Roman"/>
                                      <w:color w:val="FF0000"/>
                                      <w:lang w:val="en-US" w:eastAsia="zh-CN"/>
                                    </w:rPr>
                                  </w:pPr>
                                  <w:r>
                                    <w:rPr>
                                      <w:rFonts w:hint="default" w:ascii="Times New Roman" w:hAnsi="Times New Roman" w:eastAsia="宋体" w:cs="Times New Roman"/>
                                      <w:color w:val="FF0000"/>
                                      <w:lang w:val="en-US" w:eastAsia="zh-CN"/>
                                    </w:rPr>
                                    <w:t>353m</w:t>
                                  </w:r>
                                </w:p>
                              </w:txbxContent>
                            </wps:txbx>
                            <wps:bodyPr upright="1"/>
                          </wps:wsp>
                        </a:graphicData>
                      </a:graphic>
                    </wp:anchor>
                  </w:drawing>
                </mc:Choice>
                <mc:Fallback>
                  <w:pict>
                    <v:shape id="圆角矩形标注 47" o:spid="_x0000_s1026" o:spt="62" type="#_x0000_t62" style="position:absolute;left:0pt;flip:y;margin-left:283.55pt;margin-top:123.25pt;height:25.05pt;width:63.5pt;z-index:251666432;mso-width-relative:page;mso-height-relative:page;" filled="f" stroked="t" coordsize="21600,21600" o:gfxdata="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DH/p79kA&#10;AAALAQAADwAAAAAAAAABACAAAAAiAAAAZHJzL2Rvd25yZXYueG1sUEsBAhQAFAAAAAgAh07iQDN+&#10;wjRXAgAAnwQAAA4AAAAAAAAAAQAgAAAAKAEAAGRycy9lMm9Eb2MueG1sUEsFBgAAAAAGAAYAWQEA&#10;APEFAAAAAA==&#10;" adj="-6155,-20134,14400">
                      <v:fill on="f" focussize="0,0"/>
                      <v:stroke color="#000000" joinstyle="miter"/>
                      <v:imagedata o:title=""/>
                      <o:lock v:ext="edit" aspectratio="f"/>
                      <v:textbox>
                        <w:txbxContent>
                          <w:p>
                            <w:pPr>
                              <w:ind w:left="0" w:leftChars="0" w:firstLine="0" w:firstLineChars="0"/>
                              <w:jc w:val="center"/>
                              <w:rPr>
                                <w:rFonts w:hint="default" w:ascii="Times New Roman" w:hAnsi="Times New Roman" w:eastAsia="宋体" w:cs="Times New Roman"/>
                                <w:color w:val="FF0000"/>
                                <w:lang w:val="en-US" w:eastAsia="zh-CN"/>
                              </w:rPr>
                            </w:pPr>
                            <w:r>
                              <w:rPr>
                                <w:rFonts w:hint="default" w:ascii="Times New Roman" w:hAnsi="Times New Roman" w:eastAsia="宋体" w:cs="Times New Roman"/>
                                <w:color w:val="FF0000"/>
                                <w:lang w:val="en-US" w:eastAsia="zh-CN"/>
                              </w:rPr>
                              <w:t>353m</w:t>
                            </w:r>
                          </w:p>
                        </w:txbxContent>
                      </v:textbox>
                    </v:shape>
                  </w:pict>
                </mc:Fallback>
              </mc:AlternateContent>
            </w:r>
            <w:r>
              <w:rPr>
                <w:sz w:val="28"/>
              </w:rPr>
              <mc:AlternateContent>
                <mc:Choice Requires="wps">
                  <w:drawing>
                    <wp:anchor distT="0" distB="0" distL="114300" distR="114300" simplePos="0" relativeHeight="251665408" behindDoc="0" locked="0" layoutInCell="1" allowOverlap="1">
                      <wp:simplePos x="0" y="0"/>
                      <wp:positionH relativeFrom="column">
                        <wp:posOffset>3285490</wp:posOffset>
                      </wp:positionH>
                      <wp:positionV relativeFrom="paragraph">
                        <wp:posOffset>1773555</wp:posOffset>
                      </wp:positionV>
                      <wp:extent cx="184150" cy="580390"/>
                      <wp:effectExtent l="20955" t="1270" r="23495" b="8890"/>
                      <wp:wrapNone/>
                      <wp:docPr id="3" name="直接箭头连接符 3"/>
                      <wp:cNvGraphicFramePr/>
                      <a:graphic xmlns:a="http://schemas.openxmlformats.org/drawingml/2006/main">
                        <a:graphicData uri="http://schemas.microsoft.com/office/word/2010/wordprocessingShape">
                          <wps:wsp>
                            <wps:cNvCnPr/>
                            <wps:spPr>
                              <a:xfrm flipH="1">
                                <a:off x="4079240" y="7426960"/>
                                <a:ext cx="184150" cy="58039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58.7pt;margin-top:139.65pt;height:45.7pt;width:14.5pt;z-index:251665408;mso-width-relative:page;mso-height-relative:page;" filled="f" stroked="t" coordsize="21600,21600" o:gfxdata="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d3Tu&#10;1dsAAAALAQAADwAAAAAAAAABACAAAAAiAAAAZHJzL2Rvd25yZXYueG1sUEsBAhQAFAAAAAgAh07i&#10;QJVL9OMfAgAA+AMAAA4AAAAAAAAAAQAgAAAAKgEAAGRycy9lMm9Eb2MueG1sUEsFBgAAAAAGAAYA&#10;WQEAALsFAAAAAA==&#10;">
                      <v:fill on="f" focussize="0,0"/>
                      <v:stroke weight="0.5pt" color="#FF0000 [3204]" miterlimit="8" joinstyle="miter" endarrow="open"/>
                      <v:imagedata o:title=""/>
                      <o:lock v:ext="edit" aspectratio="f"/>
                    </v:shape>
                  </w:pict>
                </mc:Fallback>
              </mc:AlternateContent>
            </w:r>
            <w:r>
              <w:drawing>
                <wp:inline distT="0" distB="0" distL="114300" distR="114300">
                  <wp:extent cx="5022215" cy="3549015"/>
                  <wp:effectExtent l="0" t="0" r="6985" b="1333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6"/>
                          <a:stretch>
                            <a:fillRect/>
                          </a:stretch>
                        </pic:blipFill>
                        <pic:spPr>
                          <a:xfrm>
                            <a:off x="0" y="0"/>
                            <a:ext cx="5022215" cy="3549015"/>
                          </a:xfrm>
                          <a:prstGeom prst="rect">
                            <a:avLst/>
                          </a:prstGeom>
                          <a:noFill/>
                          <a:ln>
                            <a:noFill/>
                          </a:ln>
                        </pic:spPr>
                      </pic:pic>
                    </a:graphicData>
                  </a:graphic>
                </wp:inline>
              </w:drawing>
            </w:r>
          </w:p>
          <w:p>
            <w:pPr>
              <w:snapToGrid w:val="0"/>
              <w:spacing w:line="360" w:lineRule="auto"/>
              <w:ind w:firstLine="422"/>
              <w:jc w:val="center"/>
              <w:rPr>
                <w:rFonts w:ascii="Times New Roman" w:hAnsi="Times New Roman" w:cs="Times New Roman"/>
                <w:b/>
                <w:bCs/>
                <w:szCs w:val="21"/>
              </w:rPr>
            </w:pPr>
            <w:r>
              <w:rPr>
                <w:rFonts w:hint="eastAsia" w:ascii="Times New Roman" w:hAnsi="Times New Roman" w:cs="Times New Roman"/>
                <w:b/>
                <w:bCs/>
                <w:szCs w:val="21"/>
                <w:lang w:val="en-US" w:eastAsia="zh-CN"/>
              </w:rPr>
              <w:t>图</w:t>
            </w:r>
            <w:r>
              <w:rPr>
                <w:rFonts w:hint="default" w:ascii="Times New Roman" w:hAnsi="Times New Roman" w:cs="Times New Roman"/>
                <w:b/>
                <w:bCs/>
                <w:szCs w:val="21"/>
                <w:lang w:val="en-US" w:eastAsia="zh-CN"/>
              </w:rPr>
              <w:t xml:space="preserve">1-1 </w:t>
            </w:r>
            <w:r>
              <w:rPr>
                <w:rFonts w:hint="eastAsia" w:ascii="Times New Roman" w:hAnsi="Times New Roman" w:cs="Times New Roman"/>
                <w:b/>
                <w:bCs/>
                <w:szCs w:val="21"/>
                <w:lang w:val="en-US" w:eastAsia="zh-CN"/>
              </w:rPr>
              <w:t>项目选址与生态保护红线位置关系图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lang w:val="en-US" w:eastAsia="zh-CN"/>
              </w:rPr>
              <w:t xml:space="preserve">）项目与环境质量底线的符合性分析：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项目建设对环境质量的影响，强化污染防治措施和污染物排放控制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1）环境空气：</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根据《2022年承德市生态环境状况公报》中围场满族蒙古族自治县环境空气中的 PM</w:t>
            </w:r>
            <w:r>
              <w:rPr>
                <w:rFonts w:hint="eastAsia" w:ascii="Times New Roman" w:hAnsi="Times New Roman" w:eastAsia="宋体" w:cs="Times New Roman"/>
                <w:color w:val="000000" w:themeColor="text1"/>
                <w:sz w:val="24"/>
                <w:szCs w:val="24"/>
                <w:vertAlign w:val="subscript"/>
                <w:lang w:val="en-US" w:eastAsia="zh-CN"/>
                <w14:textFill>
                  <w14:solidFill>
                    <w14:schemeClr w14:val="tx1"/>
                  </w14:solidFill>
                </w14:textFill>
              </w:rPr>
              <w:t>10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、PM</w:t>
            </w:r>
            <w:r>
              <w:rPr>
                <w:rFonts w:hint="eastAsia" w:ascii="Times New Roman" w:hAnsi="Times New Roman" w:eastAsia="宋体" w:cs="Times New Roman"/>
                <w:color w:val="000000" w:themeColor="text1"/>
                <w:sz w:val="24"/>
                <w:szCs w:val="24"/>
                <w:vertAlign w:val="subscript"/>
                <w:lang w:val="en-US" w:eastAsia="zh-CN"/>
                <w14:textFill>
                  <w14:solidFill>
                    <w14:schemeClr w14:val="tx1"/>
                  </w14:solidFill>
                </w14:textFill>
              </w:rPr>
              <w:t>2.5</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、SO</w:t>
            </w:r>
            <w:r>
              <w:rPr>
                <w:rFonts w:hint="eastAsia" w:ascii="Times New Roman" w:hAnsi="Times New Roman" w:eastAsia="宋体" w:cs="Times New Roman"/>
                <w:color w:val="000000" w:themeColor="text1"/>
                <w:sz w:val="24"/>
                <w:szCs w:val="24"/>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、NO</w:t>
            </w:r>
            <w:r>
              <w:rPr>
                <w:rFonts w:hint="eastAsia" w:ascii="Times New Roman" w:hAnsi="Times New Roman" w:eastAsia="宋体" w:cs="Times New Roman"/>
                <w:color w:val="000000" w:themeColor="text1"/>
                <w:sz w:val="24"/>
                <w:szCs w:val="24"/>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、CO、O</w:t>
            </w:r>
            <w:r>
              <w:rPr>
                <w:rFonts w:hint="eastAsia" w:ascii="Times New Roman" w:hAnsi="Times New Roman" w:eastAsia="宋体" w:cs="Times New Roman"/>
                <w:color w:val="000000" w:themeColor="text1"/>
                <w:sz w:val="24"/>
                <w:szCs w:val="24"/>
                <w:vertAlign w:val="sub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现状监测统计资料，SO</w:t>
            </w:r>
            <w:r>
              <w:rPr>
                <w:rFonts w:hint="eastAsia" w:ascii="Times New Roman" w:hAnsi="Times New Roman" w:eastAsia="宋体" w:cs="Times New Roman"/>
                <w:color w:val="000000" w:themeColor="text1"/>
                <w:sz w:val="24"/>
                <w:szCs w:val="24"/>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的年平均质量浓度、NO</w:t>
            </w:r>
            <w:r>
              <w:rPr>
                <w:rFonts w:hint="eastAsia" w:ascii="Times New Roman" w:hAnsi="Times New Roman" w:eastAsia="宋体" w:cs="Times New Roman"/>
                <w:color w:val="000000" w:themeColor="text1"/>
                <w:sz w:val="24"/>
                <w:szCs w:val="24"/>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的年平均质量浓度、CO24小时平均浓度第95百分位数、PM</w:t>
            </w:r>
            <w:r>
              <w:rPr>
                <w:rFonts w:hint="eastAsia" w:ascii="Times New Roman" w:hAnsi="Times New Roman" w:eastAsia="宋体" w:cs="Times New Roman"/>
                <w:color w:val="000000" w:themeColor="text1"/>
                <w:sz w:val="24"/>
                <w:szCs w:val="24"/>
                <w:vertAlign w:val="subscript"/>
                <w:lang w:val="en-US" w:eastAsia="zh-CN"/>
                <w14:textFill>
                  <w14:solidFill>
                    <w14:schemeClr w14:val="tx1"/>
                  </w14:solidFill>
                </w14:textFill>
              </w:rPr>
              <w:t>10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年平均质量浓度、PM</w:t>
            </w:r>
            <w:r>
              <w:rPr>
                <w:rFonts w:hint="eastAsia" w:ascii="Times New Roman" w:hAnsi="Times New Roman" w:eastAsia="宋体" w:cs="Times New Roman"/>
                <w:color w:val="000000" w:themeColor="text1"/>
                <w:sz w:val="24"/>
                <w:szCs w:val="24"/>
                <w:vertAlign w:val="subscript"/>
                <w:lang w:val="en-US" w:eastAsia="zh-CN"/>
                <w14:textFill>
                  <w14:solidFill>
                    <w14:schemeClr w14:val="tx1"/>
                  </w14:solidFill>
                </w14:textFill>
              </w:rPr>
              <w:t>2.5</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的年平均质量浓度、O</w:t>
            </w:r>
            <w:r>
              <w:rPr>
                <w:rFonts w:hint="eastAsia" w:ascii="Times New Roman" w:hAnsi="Times New Roman" w:eastAsia="宋体" w:cs="Times New Roman"/>
                <w:color w:val="000000" w:themeColor="text1"/>
                <w:sz w:val="24"/>
                <w:szCs w:val="24"/>
                <w:vertAlign w:val="sub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日最大8小时平均浓度达标。本项目引用《承德泓辉双合酒业有限公司粉条白酒、粉渣饲料和变性淀粉建设项目》检测报告（（辽鹏环测）字PY2211294-001号）总悬浮颗粒物、汞及其化合物的监测数据。根据监测结果总悬浮颗粒物、汞及其化合物监测24小时平均值符合《环境空气质量标准》（GB3095-2012）及其修改单（2018年8月13日）的二级标准。项目40t/h循环流化床燃煤锅炉废气经布袋除尘器+脱硫塔+PNCR高分子炉内脱硝后经1根45m高排气筒（DA001）排放</w:t>
            </w:r>
            <w:r>
              <w:rPr>
                <w:rFonts w:hint="eastAsia" w:ascii="Times New Roman" w:hAnsi="Times New Roman" w:eastAsia="宋体" w:cs="Times New Roman"/>
                <w:sz w:val="24"/>
                <w:szCs w:val="24"/>
                <w:lang w:val="en-US" w:eastAsia="zh-CN"/>
              </w:rPr>
              <w:t>；锅炉制煤系统上料、破碎废气经集气装置收集后经1套脉冲布袋除尘器处理，处理后的废气经1根15m高排气筒（DA002）排放；</w:t>
            </w:r>
            <w:r>
              <w:rPr>
                <w:rFonts w:hint="eastAsia" w:ascii="Times New Roman" w:hAnsi="Times New Roman" w:eastAsia="宋体" w:cs="Times New Roman"/>
                <w:color w:val="auto"/>
                <w:sz w:val="24"/>
                <w:szCs w:val="24"/>
                <w:shd w:val="clear" w:color="auto" w:fill="auto"/>
                <w:lang w:val="en-US" w:eastAsia="zh-CN"/>
              </w:rPr>
              <w:t>20t/h生物质锅炉废气经布袋除尘+低氮燃烧技术后经1根45m高排气筒（DA001）排放，锅炉除尘灰由灰仓仓顶自带低压脉冲袋式除尘器处理，</w:t>
            </w:r>
            <w:r>
              <w:rPr>
                <w:rFonts w:hint="eastAsia" w:ascii="Times New Roman" w:hAnsi="Times New Roman" w:eastAsia="宋体" w:cs="Times New Roman"/>
                <w:sz w:val="24"/>
                <w:szCs w:val="24"/>
                <w:lang w:val="en-US" w:eastAsia="zh-CN"/>
              </w:rPr>
              <w:t>处理后的废气经1根15m高排气筒（DA004）排放</w:t>
            </w:r>
            <w:r>
              <w:rPr>
                <w:rFonts w:hint="eastAsia" w:ascii="Times New Roman" w:hAnsi="Times New Roman" w:eastAsia="宋体" w:cs="Times New Roman"/>
                <w:color w:val="auto"/>
                <w:sz w:val="24"/>
                <w:szCs w:val="24"/>
                <w:shd w:val="clear" w:color="auto" w:fill="auto"/>
                <w:lang w:val="en-US" w:eastAsia="zh-CN"/>
              </w:rPr>
              <w:t>。</w:t>
            </w:r>
            <w:r>
              <w:rPr>
                <w:rFonts w:hint="eastAsia" w:ascii="Times New Roman" w:hAnsi="Times New Roman" w:eastAsia="宋体" w:cs="Times New Roman"/>
                <w:sz w:val="24"/>
                <w:szCs w:val="24"/>
                <w:lang w:val="en-US" w:eastAsia="zh-CN"/>
              </w:rPr>
              <w:t>经分析可知，项目建设不会突破大气环境质量底线。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2）水环境：本项目不新增员工，无新增生活污水；反渗透纯水制备废水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作为脱硫系统用水，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锅炉定期排水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能够满足《城市污水再生利用—城市杂用水水质》（GB/T18920-2020）中道路清扫水质标准，回用于厂区洒水降尘，全部综合利用，不外排</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 xml:space="preserve">。因此项目建设对区域水环境质量影响较小，项目建设不会突破水环境质量底线。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3）声环境：本项目</w:t>
            </w:r>
            <w:r>
              <w:rPr>
                <w:rFonts w:hint="eastAsia" w:ascii="Times New Roman" w:hAnsi="Times New Roman" w:eastAsia="宋体" w:cs="Times New Roman"/>
                <w:sz w:val="24"/>
                <w:szCs w:val="24"/>
                <w:lang w:val="en-US" w:eastAsia="zh-CN"/>
              </w:rPr>
              <w:t>设备</w:t>
            </w:r>
            <w:r>
              <w:rPr>
                <w:rFonts w:hint="default" w:ascii="Times New Roman" w:hAnsi="Times New Roman" w:eastAsia="宋体" w:cs="Times New Roman"/>
                <w:sz w:val="24"/>
                <w:szCs w:val="24"/>
                <w:lang w:val="en-US" w:eastAsia="zh-CN"/>
              </w:rPr>
              <w:t>选用低产噪设备</w:t>
            </w:r>
            <w:r>
              <w:rPr>
                <w:rFonts w:hint="eastAsia" w:ascii="Times New Roman" w:hAnsi="Times New Roman" w:eastAsia="宋体" w:cs="Times New Roman"/>
                <w:sz w:val="24"/>
                <w:szCs w:val="24"/>
                <w:lang w:val="en-US" w:eastAsia="zh-CN"/>
              </w:rPr>
              <w:t>，</w:t>
            </w:r>
            <w:r>
              <w:rPr>
                <w:rFonts w:hint="eastAsia" w:ascii="Times New Roman" w:hAnsi="Times New Roman" w:eastAsia="宋体" w:cs="Times New Roman"/>
                <w:color w:val="auto"/>
                <w:sz w:val="24"/>
                <w:szCs w:val="24"/>
                <w:lang w:val="en-US" w:eastAsia="zh-CN"/>
              </w:rPr>
              <w:t>并且位于</w:t>
            </w:r>
            <w:r>
              <w:rPr>
                <w:rFonts w:hint="default" w:ascii="Times New Roman" w:hAnsi="Times New Roman" w:eastAsia="宋体" w:cs="Times New Roman"/>
                <w:color w:val="auto"/>
                <w:sz w:val="24"/>
                <w:szCs w:val="24"/>
                <w:lang w:val="en-US" w:eastAsia="zh-CN"/>
              </w:rPr>
              <w:t>封闭</w:t>
            </w:r>
            <w:r>
              <w:rPr>
                <w:rFonts w:hint="eastAsia" w:ascii="Times New Roman" w:hAnsi="Times New Roman" w:eastAsia="宋体" w:cs="Times New Roman"/>
                <w:color w:val="auto"/>
                <w:sz w:val="24"/>
                <w:szCs w:val="24"/>
                <w:lang w:val="en-US" w:eastAsia="zh-CN"/>
              </w:rPr>
              <w:t>的车间内</w:t>
            </w:r>
            <w:r>
              <w:rPr>
                <w:rFonts w:hint="default" w:ascii="Times New Roman" w:hAnsi="Times New Roman" w:eastAsia="宋体" w:cs="Times New Roman"/>
                <w:color w:val="auto"/>
                <w:sz w:val="24"/>
                <w:szCs w:val="24"/>
                <w:lang w:val="en-US" w:eastAsia="zh-CN"/>
              </w:rPr>
              <w:t>、设备基础减振、合理布局等措施；车辆减速慢行，禁</w:t>
            </w:r>
            <w:r>
              <w:rPr>
                <w:rFonts w:hint="default" w:ascii="Times New Roman" w:hAnsi="Times New Roman" w:eastAsia="宋体" w:cs="Times New Roman"/>
                <w:sz w:val="24"/>
                <w:szCs w:val="24"/>
                <w:lang w:val="en-US" w:eastAsia="zh-CN"/>
              </w:rPr>
              <w:t xml:space="preserve">止鸣笛。经噪声影响分析满足相应标准要求，项目建设不会突破声环境质量底线。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地下水和土壤环境：根据工程分析，危险废物暂存间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采取防渗，防渗系数≤1×10</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-10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cm/s；脱硫系统内配套的沉淀池采取防渗，防渗系数≤1×10</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-7</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cm/s，垂直入渗</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对区域地下水质量和土壤环境质量影响较小</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；40t/h循环流化床燃煤锅炉废气经布袋除尘器+脱硫塔+PNCR高分子炉内脱硝后经1根45m高排气筒（DA001）排放，采取措施后颗粒物、二氧化硫、氮氧化物、汞及其化合物（以Hg计）自由沉降量较少，自由沉降</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对区域土壤环境质量影响较小</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。因此，</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项目建设不会突破地下水质量和土壤环境质量底线的要求。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综上，项目建设符合环境质量底线的要求。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val="en-US" w:eastAsia="zh-CN"/>
              </w:rPr>
              <w:t xml:space="preserve">项目与资源利用上线的符合性分析：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资源是环境的载体，资源利用上线是各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本项目用电量284.8万kW·h/a，用水量为</w:t>
            </w:r>
            <w:r>
              <w:rPr>
                <w:rFonts w:hint="eastAsia" w:ascii="Times New Roman" w:hAnsi="Times New Roman" w:cs="Times New Roman"/>
                <w:color w:val="auto"/>
                <w:sz w:val="24"/>
                <w:szCs w:val="24"/>
                <w:lang w:val="en-US" w:eastAsia="zh-CN"/>
              </w:rPr>
              <w:t>480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r>
              <w:rPr>
                <w:rFonts w:hint="default"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48000</w:t>
            </w:r>
            <w:r>
              <w:rPr>
                <w:rFonts w:hint="default" w:ascii="Times New Roman" w:hAnsi="Times New Roman" w:cs="Times New Roman"/>
                <w:color w:val="auto"/>
                <w:kern w:val="44"/>
                <w:sz w:val="24"/>
                <w:szCs w:val="24"/>
                <w:lang w:val="en-US" w:eastAsia="zh-CN"/>
              </w:rPr>
              <w:t>m</w:t>
            </w:r>
            <w:r>
              <w:rPr>
                <w:rFonts w:hint="eastAsia" w:ascii="Times New Roman" w:hAnsi="Times New Roman" w:cs="Times New Roman"/>
                <w:color w:val="auto"/>
                <w:kern w:val="44"/>
                <w:sz w:val="24"/>
                <w:szCs w:val="24"/>
                <w:vertAlign w:val="superscript"/>
                <w:lang w:val="en-US" w:eastAsia="zh-CN"/>
              </w:rPr>
              <w:t>3</w:t>
            </w:r>
            <w:r>
              <w:rPr>
                <w:rFonts w:hint="default" w:ascii="Times New Roman" w:hAnsi="Times New Roman" w:cs="Times New Roman"/>
                <w:color w:val="auto"/>
                <w:kern w:val="44"/>
                <w:sz w:val="24"/>
                <w:szCs w:val="24"/>
                <w:lang w:val="en-US" w:eastAsia="zh-CN"/>
              </w:rPr>
              <w:t>/a）</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用煤量为9680t/a，用煤量已经取得了承德市发展和改革委员会《关于木兰皇家农业综合示范区用煤项目新增</w:t>
            </w:r>
            <w:r>
              <w:rPr>
                <w:rFonts w:hint="eastAsia" w:ascii="Times New Roman" w:hAnsi="Times New Roman" w:eastAsia="宋体" w:cs="Times New Roman"/>
                <w:color w:val="auto"/>
                <w:sz w:val="24"/>
                <w:szCs w:val="24"/>
                <w:lang w:val="en-US" w:eastAsia="zh-CN"/>
              </w:rPr>
              <w:t>用煤指标的划拨意见》，</w:t>
            </w:r>
            <w:r>
              <w:rPr>
                <w:rFonts w:hint="default" w:ascii="Times New Roman" w:hAnsi="Times New Roman" w:eastAsia="宋体" w:cs="Times New Roman"/>
                <w:color w:val="auto"/>
                <w:sz w:val="24"/>
                <w:szCs w:val="24"/>
                <w:lang w:val="en-US" w:eastAsia="zh-CN"/>
              </w:rPr>
              <w:t>用电由当地乡镇供电网供电</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 xml:space="preserve">厂区自备水井，不会达到资源利用上线。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项目符合资源利用上线的要求。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val="en-US" w:eastAsia="zh-CN"/>
              </w:rPr>
              <w:t>项目与环境准入负面清单符合性分析：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项目位于围场满族蒙古族自治县半截塔镇什八克村</w:t>
            </w:r>
            <w:r>
              <w:rPr>
                <w:rFonts w:hint="eastAsia"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lang w:val="en-US" w:eastAsia="zh-CN"/>
              </w:rPr>
              <w:t>组，中心位置地理坐标：E117°25′42.82587″，N41°56′44.39968″，根据《承德市人民政府关于加快实施“三线一单”生态环境分区管控的意见》的附件《承德市“三线一单”生态环境准入清单》可知，项目所在区域编号为ZH13082831479，管控类型为一般管控单元，项目环境管控单元准入清单符合性分析判定内容如下表所示</w:t>
            </w:r>
            <w:r>
              <w:rPr>
                <w:rFonts w:hint="eastAsia" w:ascii="Times New Roman" w:hAnsi="Times New Roman" w:eastAsia="宋体" w:cs="Times New Roman"/>
                <w:sz w:val="24"/>
                <w:szCs w:val="24"/>
                <w:lang w:val="en-US" w:eastAsia="zh-CN"/>
              </w:rPr>
              <w:t>：</w:t>
            </w:r>
          </w:p>
          <w:p>
            <w:pPr>
              <w:autoSpaceDE w:val="0"/>
              <w:autoSpaceDN w:val="0"/>
              <w:adjustRightInd w:val="0"/>
              <w:snapToGrid w:val="0"/>
              <w:jc w:val="center"/>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 xml:space="preserve">表1-1 </w:t>
            </w:r>
            <w:r>
              <w:rPr>
                <w:rFonts w:hint="default" w:ascii="Times New Roman" w:hAnsi="Times New Roman" w:eastAsia="宋体" w:cs="Times New Roman"/>
                <w:b/>
                <w:bCs/>
              </w:rPr>
              <w:t>项目环境管控单元准入清单符合性分析表</w:t>
            </w:r>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7"/>
              <w:gridCol w:w="371"/>
              <w:gridCol w:w="428"/>
              <w:gridCol w:w="494"/>
              <w:gridCol w:w="542"/>
              <w:gridCol w:w="575"/>
              <w:gridCol w:w="903"/>
              <w:gridCol w:w="1033"/>
              <w:gridCol w:w="1264"/>
              <w:gridCol w:w="2010"/>
              <w:gridCol w:w="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编号</w:t>
                  </w:r>
                </w:p>
              </w:tc>
              <w:tc>
                <w:tcPr>
                  <w:tcW w:w="21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省</w:t>
                  </w:r>
                </w:p>
              </w:tc>
              <w:tc>
                <w:tcPr>
                  <w:tcW w:w="24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市</w:t>
                  </w:r>
                </w:p>
              </w:tc>
              <w:tc>
                <w:tcPr>
                  <w:tcW w:w="28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县</w:t>
                  </w:r>
                </w:p>
              </w:tc>
              <w:tc>
                <w:tcPr>
                  <w:tcW w:w="31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涉及乡镇</w:t>
                  </w:r>
                </w:p>
              </w:tc>
              <w:tc>
                <w:tcPr>
                  <w:tcW w:w="33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管控类型</w:t>
                  </w:r>
                </w:p>
              </w:tc>
              <w:tc>
                <w:tcPr>
                  <w:tcW w:w="5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环境要素类别</w:t>
                  </w:r>
                </w:p>
              </w:tc>
              <w:tc>
                <w:tcPr>
                  <w:tcW w:w="60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维度</w:t>
                  </w:r>
                </w:p>
              </w:tc>
              <w:tc>
                <w:tcPr>
                  <w:tcW w:w="73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管控措施</w:t>
                  </w:r>
                </w:p>
              </w:tc>
              <w:tc>
                <w:tcPr>
                  <w:tcW w:w="117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FF0000"/>
                      <w:sz w:val="21"/>
                      <w:szCs w:val="21"/>
                      <w:lang w:val="en-US" w:eastAsia="zh-CN"/>
                    </w:rPr>
                  </w:pPr>
                  <w:r>
                    <w:rPr>
                      <w:rFonts w:hint="eastAsia"/>
                      <w:color w:val="000000" w:themeColor="text1"/>
                      <w:sz w:val="21"/>
                      <w:szCs w:val="21"/>
                      <w:lang w:val="en-US" w:eastAsia="zh-CN"/>
                      <w14:textFill>
                        <w14:solidFill>
                          <w14:schemeClr w14:val="tx1"/>
                        </w14:solidFill>
                      </w14:textFill>
                    </w:rPr>
                    <w:t>项目情况</w:t>
                  </w:r>
                </w:p>
              </w:tc>
              <w:tc>
                <w:tcPr>
                  <w:tcW w:w="26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3" w:hRule="atLeast"/>
                <w:jc w:val="center"/>
              </w:trPr>
              <w:tc>
                <w:tcPr>
                  <w:tcW w:w="290"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ZH13082831479</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 xml:space="preserve"> </w:t>
                  </w:r>
                </w:p>
              </w:tc>
              <w:tc>
                <w:tcPr>
                  <w:tcW w:w="21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河北省</w:t>
                  </w:r>
                </w:p>
              </w:tc>
              <w:tc>
                <w:tcPr>
                  <w:tcW w:w="249"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承德市</w:t>
                  </w:r>
                </w:p>
              </w:tc>
              <w:tc>
                <w:tcPr>
                  <w:tcW w:w="288"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围场满蒙自治县</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p>
              </w:tc>
              <w:tc>
                <w:tcPr>
                  <w:tcW w:w="31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 xml:space="preserve"> 半截塔镇</w:t>
                  </w:r>
                </w:p>
              </w:tc>
              <w:tc>
                <w:tcPr>
                  <w:tcW w:w="335"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一般管控单</w:t>
                  </w:r>
                  <w:r>
                    <w:rPr>
                      <w:rFonts w:hint="eastAsia"/>
                      <w:color w:val="000000" w:themeColor="text1"/>
                      <w:sz w:val="21"/>
                      <w:szCs w:val="21"/>
                      <w14:textFill>
                        <w14:solidFill>
                          <w14:schemeClr w14:val="tx1"/>
                        </w14:solidFill>
                      </w14:textFill>
                    </w:rPr>
                    <w:t>元</w:t>
                  </w:r>
                </w:p>
              </w:tc>
              <w:tc>
                <w:tcPr>
                  <w:tcW w:w="52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一般管控区</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、部分区域涉及农用地优</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先保护区</w:t>
                  </w:r>
                </w:p>
              </w:tc>
              <w:tc>
                <w:tcPr>
                  <w:tcW w:w="60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空间布局约束</w:t>
                  </w:r>
                </w:p>
              </w:tc>
              <w:tc>
                <w:tcPr>
                  <w:tcW w:w="737" w:type="pct"/>
                  <w:vMerge w:val="restart"/>
                  <w:noWrap w:val="0"/>
                  <w:vAlign w:val="center"/>
                </w:tcPr>
                <w:p>
                  <w:pPr>
                    <w:keepNext w:val="0"/>
                    <w:keepLines w:val="0"/>
                    <w:pageBreakBefore w:val="0"/>
                    <w:widowControl w:val="0"/>
                    <w:numPr>
                      <w:ilvl w:val="0"/>
                      <w:numId w:val="2"/>
                    </w:numP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严格执行国家和省关于产业准入、总量控制和污染物排放标准等管控要求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农用地优先保护区执行承德市总体准入清单要求（农用地优先保护区区内严格控制新建有色金属冶炼、石油加工、化工、焦化、电镀、制革等行业企业。原则上禁止改变现状土地用途。应实行严格保护，确保其面积不减少、土壤环境质量不下降，除法律规定的重点建设项目选址确实无法避让外，其</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他任何建设不得占用。）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sz w:val="21"/>
                      <w:szCs w:val="21"/>
                      <w:lang w:val="en-US" w:eastAsia="zh-CN"/>
                      <w14:textFill>
                        <w14:solidFill>
                          <w14:schemeClr w14:val="tx1"/>
                        </w14:solidFill>
                      </w14:textFill>
                    </w:rPr>
                  </w:pPr>
                </w:p>
              </w:tc>
              <w:tc>
                <w:tcPr>
                  <w:tcW w:w="1172"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1、项目符合产业准入要求，污染物达标排放</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锅炉所产生废气采取各项措施后颗粒物、二氧化硫、氮氧化物、</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汞及其化合物（以Hg计）满足</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《锅炉大气污染物排放标准》（DB 13/ 5161—2020）中表1大气污染物排放限值的要求</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；锅炉制煤系统上料、破碎产生的废气采取措施后颗粒物满足</w:t>
                  </w:r>
                  <w:r>
                    <w:rPr>
                      <w:rFonts w:hint="default" w:ascii="Times New Roman" w:hAnsi="Times New Roman" w:eastAsia="宋体" w:cs="Times New Roman"/>
                      <w:szCs w:val="21"/>
                      <w:lang w:val="en-US"/>
                    </w:rPr>
                    <w:t>《大气污染物综合排放标准》（GB16297-1996）表2中二级标准颗粒物最高允许排放浓度和最高允许排放速率限值要求</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；灰仓粉尘有组织排放执行《大气污染物综合排放标准》 （GB16297-1996）表2中相关限值的要求</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厂界无组织颗粒物排放</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满足</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《大气污染物综合排放标准》（GB16297-1996）表2无组织排放监控浓度限值要求</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，主要污染物通过总量交易平台取得</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2、本项目不涉及农用地优先保护区</w:t>
                  </w:r>
                </w:p>
              </w:tc>
              <w:tc>
                <w:tcPr>
                  <w:tcW w:w="265" w:type="pct"/>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9" w:hRule="atLeast"/>
                <w:jc w:val="center"/>
              </w:trPr>
              <w:tc>
                <w:tcPr>
                  <w:tcW w:w="29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c>
                <w:tcPr>
                  <w:tcW w:w="21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c>
                <w:tcPr>
                  <w:tcW w:w="24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c>
                <w:tcPr>
                  <w:tcW w:w="28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c>
                <w:tcPr>
                  <w:tcW w:w="31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c>
                <w:tcPr>
                  <w:tcW w:w="33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c>
                <w:tcPr>
                  <w:tcW w:w="52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c>
                <w:tcPr>
                  <w:tcW w:w="60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污染物排放管控</w:t>
                  </w:r>
                </w:p>
              </w:tc>
              <w:tc>
                <w:tcPr>
                  <w:tcW w:w="737" w:type="pct"/>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color w:val="000000" w:themeColor="text1"/>
                      <w:sz w:val="21"/>
                      <w:szCs w:val="21"/>
                      <w:lang w:val="en-US" w:eastAsia="zh-CN"/>
                      <w14:textFill>
                        <w14:solidFill>
                          <w14:schemeClr w14:val="tx1"/>
                        </w14:solidFill>
                      </w14:textFill>
                    </w:rPr>
                  </w:pPr>
                </w:p>
              </w:tc>
              <w:tc>
                <w:tcPr>
                  <w:tcW w:w="1172" w:type="pct"/>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auto"/>
                    <w:rPr>
                      <w:rFonts w:hint="default"/>
                      <w:color w:val="FF0000"/>
                      <w:sz w:val="21"/>
                      <w:szCs w:val="21"/>
                      <w:lang w:val="en-US" w:eastAsia="zh-CN"/>
                    </w:rPr>
                  </w:pPr>
                </w:p>
              </w:tc>
              <w:tc>
                <w:tcPr>
                  <w:tcW w:w="265" w:type="pct"/>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auto"/>
                    <w:rPr>
                      <w:rFonts w:hint="eastAsia"/>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7" w:hRule="atLeast"/>
                <w:jc w:val="center"/>
              </w:trPr>
              <w:tc>
                <w:tcPr>
                  <w:tcW w:w="29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c>
                <w:tcPr>
                  <w:tcW w:w="21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c>
                <w:tcPr>
                  <w:tcW w:w="24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c>
                <w:tcPr>
                  <w:tcW w:w="28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c>
                <w:tcPr>
                  <w:tcW w:w="31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c>
                <w:tcPr>
                  <w:tcW w:w="33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c>
                <w:tcPr>
                  <w:tcW w:w="52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c>
                <w:tcPr>
                  <w:tcW w:w="60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环境风险防控</w:t>
                  </w:r>
                </w:p>
              </w:tc>
              <w:tc>
                <w:tcPr>
                  <w:tcW w:w="737" w:type="pct"/>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auto"/>
                    <w:rPr>
                      <w:rFonts w:hint="eastAsia"/>
                      <w:color w:val="000000" w:themeColor="text1"/>
                      <w:sz w:val="21"/>
                      <w:szCs w:val="21"/>
                      <w:lang w:val="en-US" w:eastAsia="zh-CN"/>
                      <w14:textFill>
                        <w14:solidFill>
                          <w14:schemeClr w14:val="tx1"/>
                        </w14:solidFill>
                      </w14:textFill>
                    </w:rPr>
                  </w:pPr>
                </w:p>
              </w:tc>
              <w:tc>
                <w:tcPr>
                  <w:tcW w:w="1172" w:type="pct"/>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auto"/>
                    <w:rPr>
                      <w:rFonts w:hint="default"/>
                      <w:color w:val="FF0000"/>
                      <w:sz w:val="21"/>
                      <w:szCs w:val="21"/>
                      <w:lang w:val="en-US" w:eastAsia="zh-CN"/>
                    </w:rPr>
                  </w:pPr>
                </w:p>
              </w:tc>
              <w:tc>
                <w:tcPr>
                  <w:tcW w:w="265" w:type="pct"/>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auto"/>
                    <w:rPr>
                      <w:rFonts w:hint="eastAsia"/>
                      <w:color w:val="000000" w:themeColor="text1"/>
                      <w:sz w:val="2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9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c>
                <w:tcPr>
                  <w:tcW w:w="21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c>
                <w:tcPr>
                  <w:tcW w:w="24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c>
                <w:tcPr>
                  <w:tcW w:w="28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c>
                <w:tcPr>
                  <w:tcW w:w="31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c>
                <w:tcPr>
                  <w:tcW w:w="33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c>
                <w:tcPr>
                  <w:tcW w:w="52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14:textFill>
                        <w14:solidFill>
                          <w14:schemeClr w14:val="tx1"/>
                        </w14:solidFill>
                      </w14:textFill>
                    </w:rPr>
                  </w:pPr>
                </w:p>
              </w:tc>
              <w:tc>
                <w:tcPr>
                  <w:tcW w:w="60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资源利用效率</w:t>
                  </w:r>
                </w:p>
              </w:tc>
              <w:tc>
                <w:tcPr>
                  <w:tcW w:w="737" w:type="pct"/>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auto"/>
                    <w:rPr>
                      <w:rFonts w:hint="eastAsia"/>
                      <w:color w:val="000000" w:themeColor="text1"/>
                      <w:sz w:val="21"/>
                      <w:szCs w:val="21"/>
                      <w14:textFill>
                        <w14:solidFill>
                          <w14:schemeClr w14:val="tx1"/>
                        </w14:solidFill>
                      </w14:textFill>
                    </w:rPr>
                  </w:pPr>
                </w:p>
              </w:tc>
              <w:tc>
                <w:tcPr>
                  <w:tcW w:w="1172" w:type="pct"/>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auto"/>
                    <w:rPr>
                      <w:rFonts w:hint="default"/>
                      <w:color w:val="FF0000"/>
                      <w:sz w:val="21"/>
                      <w:szCs w:val="21"/>
                      <w:lang w:val="en-US" w:eastAsia="zh-CN"/>
                    </w:rPr>
                  </w:pPr>
                </w:p>
              </w:tc>
              <w:tc>
                <w:tcPr>
                  <w:tcW w:w="265" w:type="pct"/>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auto"/>
                    <w:rPr>
                      <w:rFonts w:hint="eastAsia"/>
                      <w:color w:val="000000" w:themeColor="text1"/>
                      <w:sz w:val="21"/>
                      <w:szCs w:val="21"/>
                      <w:lang w:val="en-US" w:eastAsia="zh-CN"/>
                      <w14:textFill>
                        <w14:solidFill>
                          <w14:schemeClr w14:val="tx1"/>
                        </w14:solidFill>
                      </w14:textFill>
                    </w:rPr>
                  </w:pPr>
                </w:p>
              </w:tc>
            </w:tr>
          </w:tbl>
          <w:p>
            <w:pPr>
              <w:pStyle w:val="33"/>
              <w:numPr>
                <w:ilvl w:val="4"/>
                <w:numId w:val="0"/>
              </w:numPr>
              <w:ind w:leftChars="0"/>
              <w:jc w:val="center"/>
            </w:pPr>
            <w:r>
              <w:drawing>
                <wp:inline distT="0" distB="0" distL="114300" distR="114300">
                  <wp:extent cx="5361305" cy="3783965"/>
                  <wp:effectExtent l="0" t="0" r="10795" b="698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7"/>
                          <a:stretch>
                            <a:fillRect/>
                          </a:stretch>
                        </pic:blipFill>
                        <pic:spPr>
                          <a:xfrm>
                            <a:off x="0" y="0"/>
                            <a:ext cx="5361305" cy="3783965"/>
                          </a:xfrm>
                          <a:prstGeom prst="rect">
                            <a:avLst/>
                          </a:prstGeom>
                          <a:noFill/>
                          <a:ln>
                            <a:noFill/>
                          </a:ln>
                        </pic:spPr>
                      </pic:pic>
                    </a:graphicData>
                  </a:graphic>
                </wp:inline>
              </w:drawing>
            </w:r>
          </w:p>
          <w:p>
            <w:pPr>
              <w:snapToGrid w:val="0"/>
              <w:spacing w:line="360" w:lineRule="auto"/>
              <w:ind w:firstLine="422"/>
              <w:jc w:val="center"/>
              <w:rPr>
                <w:rFonts w:ascii="Times New Roman" w:hAnsi="Times New Roman" w:cs="Times New Roman"/>
                <w:b/>
                <w:bCs/>
                <w:szCs w:val="21"/>
              </w:rPr>
            </w:pPr>
            <w:r>
              <w:rPr>
                <w:rFonts w:hint="eastAsia" w:ascii="Times New Roman" w:hAnsi="Times New Roman" w:cs="Times New Roman"/>
                <w:b/>
                <w:bCs/>
                <w:szCs w:val="21"/>
                <w:lang w:val="en-US" w:eastAsia="zh-CN"/>
              </w:rPr>
              <w:t xml:space="preserve">图 </w:t>
            </w:r>
            <w:r>
              <w:rPr>
                <w:rFonts w:hint="default" w:ascii="Times New Roman" w:hAnsi="Times New Roman" w:cs="Times New Roman"/>
                <w:b/>
                <w:bCs/>
                <w:szCs w:val="21"/>
                <w:lang w:val="en-US" w:eastAsia="zh-CN"/>
              </w:rPr>
              <w:t xml:space="preserve">1-2 </w:t>
            </w:r>
            <w:r>
              <w:rPr>
                <w:rFonts w:hint="eastAsia" w:ascii="Times New Roman" w:hAnsi="Times New Roman" w:cs="Times New Roman"/>
                <w:b/>
                <w:bCs/>
                <w:szCs w:val="21"/>
                <w:lang w:val="en-US" w:eastAsia="zh-CN"/>
              </w:rPr>
              <w:t>三线一单分区管控位置图</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ascii="Times New Roman" w:hAnsi="Times New Roman" w:eastAsia="宋体" w:cs="Times New Roman"/>
                <w:sz w:val="24"/>
              </w:rPr>
            </w:pPr>
            <w:r>
              <w:rPr>
                <w:rFonts w:hint="eastAsia" w:ascii="Times New Roman" w:hAnsi="Times New Roman" w:eastAsia="宋体" w:cs="Times New Roman"/>
                <w:sz w:val="24"/>
                <w:lang w:val="en-US" w:eastAsia="zh-CN"/>
              </w:rPr>
              <w:t>由以上分析结果可知，项目符合《关于以改善环境质量为核心加强环境影响评价管理的通知》（环评</w:t>
            </w:r>
            <w:r>
              <w:rPr>
                <w:rFonts w:hint="default" w:ascii="Times New Roman" w:hAnsi="Times New Roman" w:eastAsia="宋体" w:cs="Times New Roman"/>
                <w:sz w:val="24"/>
                <w:lang w:val="en-US" w:eastAsia="zh-CN"/>
              </w:rPr>
              <w:t>[2016]150</w:t>
            </w:r>
            <w:r>
              <w:rPr>
                <w:rFonts w:hint="eastAsia" w:ascii="Times New Roman" w:hAnsi="Times New Roman" w:eastAsia="宋体" w:cs="Times New Roman"/>
                <w:sz w:val="24"/>
                <w:lang w:val="en-US" w:eastAsia="zh-CN"/>
              </w:rPr>
              <w:t>号）和《承德市</w:t>
            </w:r>
            <w:r>
              <w:rPr>
                <w:rFonts w:hint="default" w:ascii="Times New Roman" w:hAnsi="Times New Roman" w:eastAsia="宋体" w:cs="Times New Roman"/>
                <w:sz w:val="24"/>
                <w:lang w:val="en-US" w:eastAsia="zh-CN"/>
              </w:rPr>
              <w:t>“</w:t>
            </w:r>
            <w:r>
              <w:rPr>
                <w:rFonts w:hint="eastAsia" w:ascii="Times New Roman" w:hAnsi="Times New Roman" w:eastAsia="宋体" w:cs="Times New Roman"/>
                <w:sz w:val="24"/>
                <w:lang w:val="en-US" w:eastAsia="zh-CN"/>
              </w:rPr>
              <w:t>三线一单</w:t>
            </w:r>
            <w:r>
              <w:rPr>
                <w:rFonts w:hint="default" w:ascii="Times New Roman" w:hAnsi="Times New Roman" w:eastAsia="宋体" w:cs="Times New Roman"/>
                <w:sz w:val="24"/>
                <w:lang w:val="en-US" w:eastAsia="zh-CN"/>
              </w:rPr>
              <w:t>”</w:t>
            </w:r>
            <w:r>
              <w:rPr>
                <w:rFonts w:hint="eastAsia" w:ascii="Times New Roman" w:hAnsi="Times New Roman" w:eastAsia="宋体" w:cs="Times New Roman"/>
                <w:sz w:val="24"/>
                <w:lang w:val="en-US" w:eastAsia="zh-CN"/>
              </w:rPr>
              <w:t>生态环境准入清单》（承德市生态环境局，</w:t>
            </w:r>
            <w:r>
              <w:rPr>
                <w:rFonts w:hint="default" w:ascii="Times New Roman" w:hAnsi="Times New Roman" w:eastAsia="宋体" w:cs="Times New Roman"/>
                <w:sz w:val="24"/>
                <w:lang w:val="en-US" w:eastAsia="zh-CN"/>
              </w:rPr>
              <w:t>2021</w:t>
            </w:r>
            <w:r>
              <w:rPr>
                <w:rFonts w:hint="eastAsia" w:ascii="Times New Roman" w:hAnsi="Times New Roman" w:eastAsia="宋体" w:cs="Times New Roman"/>
                <w:sz w:val="24"/>
                <w:lang w:val="en-US" w:eastAsia="zh-CN"/>
              </w:rPr>
              <w:t>年</w:t>
            </w:r>
            <w:r>
              <w:rPr>
                <w:rFonts w:hint="default" w:ascii="Times New Roman" w:hAnsi="Times New Roman" w:eastAsia="宋体" w:cs="Times New Roman"/>
                <w:sz w:val="24"/>
                <w:lang w:val="en-US" w:eastAsia="zh-CN"/>
              </w:rPr>
              <w:t>6</w:t>
            </w:r>
            <w:r>
              <w:rPr>
                <w:rFonts w:hint="eastAsia" w:ascii="Times New Roman" w:hAnsi="Times New Roman" w:eastAsia="宋体" w:cs="Times New Roman"/>
                <w:sz w:val="24"/>
                <w:lang w:val="en-US" w:eastAsia="zh-CN"/>
              </w:rPr>
              <w:t>月）中关于</w:t>
            </w:r>
            <w:r>
              <w:rPr>
                <w:rFonts w:hint="default" w:ascii="Times New Roman" w:hAnsi="Times New Roman" w:eastAsia="宋体" w:cs="Times New Roman"/>
                <w:sz w:val="24"/>
                <w:lang w:val="en-US" w:eastAsia="zh-CN"/>
              </w:rPr>
              <w:t>“</w:t>
            </w:r>
            <w:r>
              <w:rPr>
                <w:rFonts w:hint="eastAsia" w:ascii="Times New Roman" w:hAnsi="Times New Roman" w:eastAsia="宋体" w:cs="Times New Roman"/>
                <w:sz w:val="24"/>
                <w:lang w:val="en-US" w:eastAsia="zh-CN"/>
              </w:rPr>
              <w:t>三线一单</w:t>
            </w:r>
            <w:r>
              <w:rPr>
                <w:rFonts w:hint="default" w:ascii="Times New Roman" w:hAnsi="Times New Roman" w:eastAsia="宋体" w:cs="Times New Roman"/>
                <w:sz w:val="24"/>
                <w:lang w:val="en-US" w:eastAsia="zh-CN"/>
              </w:rPr>
              <w:t>”</w:t>
            </w:r>
            <w:r>
              <w:rPr>
                <w:rFonts w:hint="eastAsia" w:ascii="Times New Roman" w:hAnsi="Times New Roman" w:eastAsia="宋体" w:cs="Times New Roman"/>
                <w:sz w:val="24"/>
                <w:lang w:val="en-US" w:eastAsia="zh-CN"/>
              </w:rPr>
              <w:t>管控要求</w:t>
            </w:r>
            <w:r>
              <w:rPr>
                <w:rFonts w:ascii="Times New Roman" w:hAnsi="Times New Roman" w:eastAsia="宋体" w:cs="Times New Roman"/>
                <w:sz w:val="24"/>
              </w:rPr>
              <w:t>。</w:t>
            </w:r>
          </w:p>
          <w:p>
            <w:pPr>
              <w:numPr>
                <w:ilvl w:val="0"/>
                <w:numId w:val="3"/>
              </w:numPr>
              <w:snapToGrid w:val="0"/>
              <w:spacing w:line="360" w:lineRule="auto"/>
              <w:ind w:firstLine="480"/>
              <w:rPr>
                <w:rFonts w:hint="eastAsia" w:ascii="Times New Roman" w:hAnsi="Times New Roman" w:eastAsia="宋体" w:cs="Times New Roman"/>
                <w:b/>
                <w:bCs/>
                <w:kern w:val="0"/>
                <w:sz w:val="24"/>
              </w:rPr>
            </w:pPr>
            <w:r>
              <w:rPr>
                <w:rFonts w:hint="eastAsia" w:ascii="Times New Roman" w:hAnsi="Times New Roman" w:eastAsia="宋体" w:cs="Times New Roman"/>
                <w:b/>
                <w:bCs/>
                <w:kern w:val="0"/>
                <w:sz w:val="24"/>
                <w:lang w:val="en-US" w:eastAsia="zh-CN"/>
              </w:rPr>
              <w:t>《承德市城市总体规划（2016-2030 年）》符合性分析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sz w:val="24"/>
              </w:rPr>
            </w:pPr>
            <w:r>
              <w:rPr>
                <w:rFonts w:hint="eastAsia" w:ascii="Times New Roman" w:hAnsi="Times New Roman"/>
                <w:sz w:val="24"/>
              </w:rPr>
              <w:t>承德市城市总体规划中生态功能区如下图所示：</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sz w:val="24"/>
              </w:rPr>
            </w:pPr>
            <w:r>
              <w:drawing>
                <wp:anchor distT="0" distB="0" distL="114300" distR="114300" simplePos="0" relativeHeight="251661312" behindDoc="0" locked="0" layoutInCell="1" allowOverlap="1">
                  <wp:simplePos x="0" y="0"/>
                  <wp:positionH relativeFrom="column">
                    <wp:posOffset>215900</wp:posOffset>
                  </wp:positionH>
                  <wp:positionV relativeFrom="paragraph">
                    <wp:posOffset>591820</wp:posOffset>
                  </wp:positionV>
                  <wp:extent cx="2200910" cy="2451735"/>
                  <wp:effectExtent l="0" t="0" r="8890" b="5715"/>
                  <wp:wrapNone/>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8"/>
                          <a:stretch>
                            <a:fillRect/>
                          </a:stretch>
                        </pic:blipFill>
                        <pic:spPr>
                          <a:xfrm>
                            <a:off x="0" y="0"/>
                            <a:ext cx="2200910" cy="2451735"/>
                          </a:xfrm>
                          <a:prstGeom prst="rect">
                            <a:avLst/>
                          </a:prstGeom>
                          <a:noFill/>
                          <a:ln>
                            <a:noFill/>
                          </a:ln>
                        </pic:spPr>
                      </pic:pic>
                    </a:graphicData>
                  </a:graphic>
                </wp:anchor>
              </w:drawing>
            </w:r>
            <w:r>
              <w:rPr>
                <w:rFonts w:hint="default"/>
              </w:rPr>
              <mc:AlternateContent>
                <mc:Choice Requires="wps">
                  <w:drawing>
                    <wp:anchor distT="0" distB="0" distL="114300" distR="114300" simplePos="0" relativeHeight="251663360" behindDoc="0" locked="0" layoutInCell="1" allowOverlap="1">
                      <wp:simplePos x="0" y="0"/>
                      <wp:positionH relativeFrom="column">
                        <wp:posOffset>2995295</wp:posOffset>
                      </wp:positionH>
                      <wp:positionV relativeFrom="paragraph">
                        <wp:posOffset>1180465</wp:posOffset>
                      </wp:positionV>
                      <wp:extent cx="741680" cy="292100"/>
                      <wp:effectExtent l="120650" t="4445" r="13970" b="179705"/>
                      <wp:wrapNone/>
                      <wp:docPr id="44" name="圆角矩形标注 44"/>
                      <wp:cNvGraphicFramePr/>
                      <a:graphic xmlns:a="http://schemas.openxmlformats.org/drawingml/2006/main">
                        <a:graphicData uri="http://schemas.microsoft.com/office/word/2010/wordprocessingShape">
                          <wps:wsp>
                            <wps:cNvSpPr/>
                            <wps:spPr>
                              <a:xfrm>
                                <a:off x="0" y="0"/>
                                <a:ext cx="741680" cy="292100"/>
                              </a:xfrm>
                              <a:prstGeom prst="wedgeRoundRectCallout">
                                <a:avLst>
                                  <a:gd name="adj1" fmla="val -62046"/>
                                  <a:gd name="adj2" fmla="val 105218"/>
                                  <a:gd name="adj3" fmla="val 16667"/>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jc w:val="center"/>
                                    <w:rPr>
                                      <w:rFonts w:hint="eastAsia" w:eastAsia="宋体"/>
                                      <w:lang w:eastAsia="zh-CN"/>
                                    </w:rPr>
                                  </w:pPr>
                                  <w:r>
                                    <w:rPr>
                                      <w:rFonts w:hint="eastAsia"/>
                                      <w:lang w:eastAsia="zh-CN"/>
                                    </w:rPr>
                                    <w:t>本项目</w:t>
                                  </w:r>
                                </w:p>
                              </w:txbxContent>
                            </wps:txbx>
                            <wps:bodyPr upright="1"/>
                          </wps:wsp>
                        </a:graphicData>
                      </a:graphic>
                    </wp:anchor>
                  </w:drawing>
                </mc:Choice>
                <mc:Fallback>
                  <w:pict>
                    <v:shape id="_x0000_s1026" o:spid="_x0000_s1026" o:spt="62" type="#_x0000_t62" style="position:absolute;left:0pt;margin-left:235.85pt;margin-top:92.95pt;height:23pt;width:58.4pt;z-index:251663360;mso-width-relative:page;mso-height-relative:page;" fillcolor="#FFFFFF" filled="t" stroked="t" coordsize="21600,21600" o:gfxdata="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pY2BhNsAAAAL&#10;AQAADwAAAAAAAAABACAAAAAiAAAAZHJzL2Rvd25yZXYueG1sUEsBAhQAFAAAAAgAh07iQJh9TSNS&#10;AgAAvgQAAA4AAAAAAAAAAQAgAAAAKgEAAGRycy9lMm9Eb2MueG1sUEsFBgAAAAAGAAYAWQEAAO4F&#10;AAAAAA==&#10;" adj="-2602,33527,14400">
                      <v:fill on="t" focussize="0,0"/>
                      <v:stroke color="#000000" joinstyle="miter"/>
                      <v:imagedata o:title=""/>
                      <o:lock v:ext="edit" aspectratio="f"/>
                      <v:textbox>
                        <w:txbxContent>
                          <w:p>
                            <w:pPr>
                              <w:ind w:left="0" w:leftChars="0" w:firstLine="0" w:firstLineChars="0"/>
                              <w:jc w:val="center"/>
                              <w:rPr>
                                <w:rFonts w:hint="eastAsia" w:eastAsia="宋体"/>
                                <w:lang w:eastAsia="zh-CN"/>
                              </w:rPr>
                            </w:pPr>
                            <w:r>
                              <w:rPr>
                                <w:rFonts w:hint="eastAsia"/>
                                <w:lang w:eastAsia="zh-CN"/>
                              </w:rPr>
                              <w:t>本项目</w:t>
                            </w:r>
                          </w:p>
                        </w:txbxContent>
                      </v:textbox>
                    </v:shape>
                  </w:pict>
                </mc:Fallback>
              </mc:AlternateContent>
            </w:r>
            <w:r>
              <w:rPr>
                <w:rFonts w:hint="default"/>
              </w:rPr>
              <mc:AlternateContent>
                <mc:Choice Requires="wps">
                  <w:drawing>
                    <wp:anchor distT="0" distB="0" distL="114300" distR="114300" simplePos="0" relativeHeight="251662336" behindDoc="0" locked="0" layoutInCell="1" allowOverlap="1">
                      <wp:simplePos x="0" y="0"/>
                      <wp:positionH relativeFrom="column">
                        <wp:posOffset>2802255</wp:posOffset>
                      </wp:positionH>
                      <wp:positionV relativeFrom="paragraph">
                        <wp:posOffset>1655445</wp:posOffset>
                      </wp:positionV>
                      <wp:extent cx="76200" cy="76200"/>
                      <wp:effectExtent l="1270" t="2540" r="17780" b="16510"/>
                      <wp:wrapNone/>
                      <wp:docPr id="41" name="五角星 41"/>
                      <wp:cNvGraphicFramePr/>
                      <a:graphic xmlns:a="http://schemas.openxmlformats.org/drawingml/2006/main">
                        <a:graphicData uri="http://schemas.microsoft.com/office/word/2010/wordprocessingShape">
                          <wps:wsp>
                            <wps:cNvSpPr/>
                            <wps:spPr>
                              <a:xfrm flipV="1">
                                <a:off x="0" y="0"/>
                                <a:ext cx="76200" cy="76200"/>
                              </a:xfrm>
                              <a:prstGeom prst="star5">
                                <a:avLst>
                                  <a:gd name="adj" fmla="val 0"/>
                                  <a:gd name="hf" fmla="val 105146"/>
                                  <a:gd name="vf" fmla="val 110557"/>
                                </a:avLst>
                              </a:prstGeom>
                              <a:solidFill>
                                <a:srgbClr val="FF0000"/>
                              </a:solidFill>
                              <a:ln w="9525" cap="flat" cmpd="sng">
                                <a:solidFill>
                                  <a:srgbClr val="FFFF00"/>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style="position:absolute;left:0pt;flip:y;margin-left:220.65pt;margin-top:130.35pt;height:6pt;width:6pt;z-index:251662336;mso-width-relative:page;mso-height-relative:page;" fillcolor="#FF0000" filled="t" stroked="t" coordsize="76200,76200" o:gfxdata="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uWpQ93AAAAAsBAAAPAAAAAAAAAAEAIAAAACIAAABkcnMv&#10;ZG93bnJldi54bWxQSwECFAAUAAAACACHTuJAl3vs3DgCAACkBAAADgAAAAAAAAABACAAAAArAQAA&#10;ZHJzL2Uyb0RvYy54bWxQSwUGAAAAAAYABgBZAQAA1QUAAAAA&#10;" path="m0,29105l38100,42122,38100,0,38100,42122,76199,29105,38100,42122,61647,76199,38100,42122,14552,76199,38100,42122xe">
                      <v:path textboxrect="0,0,76200,76200" o:connectlocs="38100,0;0,29105;14552,76199;61647,76199;76199,29105" o:connectangles="247,164,82,82,0"/>
                      <v:fill on="t" focussize="0,0"/>
                      <v:stroke color="#FFFF00" joinstyle="miter"/>
                      <v:imagedata o:title=""/>
                      <o:lock v:ext="edit" aspectratio="f"/>
                      <v:textbox>
                        <w:txbxContent>
                          <w:p/>
                        </w:txbxContent>
                      </v:textbox>
                    </v:shape>
                  </w:pict>
                </mc:Fallback>
              </mc:AlternateContent>
            </w:r>
            <w:r>
              <w:drawing>
                <wp:inline distT="0" distB="0" distL="114300" distR="114300">
                  <wp:extent cx="5027930" cy="3053715"/>
                  <wp:effectExtent l="0" t="0" r="1270" b="13335"/>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9"/>
                          <a:stretch>
                            <a:fillRect/>
                          </a:stretch>
                        </pic:blipFill>
                        <pic:spPr>
                          <a:xfrm>
                            <a:off x="0" y="0"/>
                            <a:ext cx="5027930" cy="3053715"/>
                          </a:xfrm>
                          <a:prstGeom prst="rect">
                            <a:avLst/>
                          </a:prstGeom>
                          <a:noFill/>
                          <a:ln>
                            <a:noFill/>
                          </a:ln>
                        </pic:spPr>
                      </pic:pic>
                    </a:graphicData>
                  </a:graphic>
                </wp:inline>
              </w:drawing>
            </w:r>
          </w:p>
          <w:p>
            <w:pPr>
              <w:adjustRightInd w:val="0"/>
              <w:snapToGrid w:val="0"/>
              <w:spacing w:line="360" w:lineRule="auto"/>
              <w:jc w:val="center"/>
            </w:pPr>
            <w:r>
              <w:drawing>
                <wp:inline distT="0" distB="0" distL="114300" distR="114300">
                  <wp:extent cx="5051425" cy="1378585"/>
                  <wp:effectExtent l="0" t="0" r="15875" b="1206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0"/>
                          <a:stretch>
                            <a:fillRect/>
                          </a:stretch>
                        </pic:blipFill>
                        <pic:spPr>
                          <a:xfrm>
                            <a:off x="0" y="0"/>
                            <a:ext cx="5051425" cy="1378585"/>
                          </a:xfrm>
                          <a:prstGeom prst="rect">
                            <a:avLst/>
                          </a:prstGeom>
                          <a:noFill/>
                          <a:ln>
                            <a:noFill/>
                          </a:ln>
                        </pic:spPr>
                      </pic:pic>
                    </a:graphicData>
                  </a:graphic>
                </wp:inline>
              </w:drawing>
            </w:r>
          </w:p>
          <w:p>
            <w:pPr>
              <w:adjustRightInd w:val="0"/>
              <w:snapToGrid w:val="0"/>
              <w:spacing w:line="360" w:lineRule="auto"/>
              <w:jc w:val="center"/>
              <w:rPr>
                <w:rFonts w:hint="default" w:ascii="Times New Roman" w:hAnsi="Times New Roman" w:cs="Times New Roman"/>
                <w:sz w:val="21"/>
                <w:szCs w:val="21"/>
              </w:rPr>
            </w:pPr>
            <w:r>
              <w:rPr>
                <w:rFonts w:hint="default" w:ascii="Times New Roman" w:hAnsi="Times New Roman" w:cs="Times New Roman"/>
                <w:b/>
                <w:color w:val="auto"/>
                <w:sz w:val="21"/>
                <w:szCs w:val="21"/>
              </w:rPr>
              <w:t>图1-</w:t>
            </w:r>
            <w:r>
              <w:rPr>
                <w:rFonts w:hint="eastAsia" w:ascii="Times New Roman" w:hAnsi="Times New Roman" w:cs="Times New Roman"/>
                <w:b/>
                <w:color w:val="auto"/>
                <w:sz w:val="21"/>
                <w:szCs w:val="21"/>
                <w:lang w:val="en-US" w:eastAsia="zh-CN"/>
              </w:rPr>
              <w:t>3</w:t>
            </w:r>
            <w:r>
              <w:rPr>
                <w:rFonts w:hint="default" w:ascii="Times New Roman" w:hAnsi="Times New Roman" w:cs="Times New Roman"/>
                <w:b/>
                <w:color w:val="auto"/>
                <w:sz w:val="21"/>
                <w:szCs w:val="21"/>
                <w:lang w:val="en-US" w:eastAsia="zh-CN"/>
              </w:rPr>
              <w:t xml:space="preserve">  </w:t>
            </w:r>
            <w:r>
              <w:rPr>
                <w:rFonts w:hint="default" w:ascii="Times New Roman" w:hAnsi="Times New Roman" w:cs="Times New Roman"/>
                <w:b/>
                <w:color w:val="auto"/>
                <w:sz w:val="21"/>
                <w:szCs w:val="21"/>
              </w:rPr>
              <w:t>承德市生态功能区图</w:t>
            </w:r>
          </w:p>
          <w:p>
            <w:pPr>
              <w:adjustRightInd w:val="0"/>
              <w:snapToGrid w:val="0"/>
              <w:spacing w:line="360" w:lineRule="auto"/>
              <w:ind w:firstLine="480" w:firstLineChars="200"/>
              <w:rPr>
                <w:rFonts w:hint="eastAsia" w:ascii="Times New Roman" w:hAnsi="Times New Roman" w:eastAsia="宋体" w:cs="Times New Roman"/>
                <w:kern w:val="0"/>
                <w:sz w:val="24"/>
              </w:rPr>
            </w:pPr>
            <w:r>
              <w:rPr>
                <w:rFonts w:ascii="Times New Roman" w:hAnsi="Times New Roman" w:eastAsia="宋体" w:cs="Times New Roman"/>
                <w:kern w:val="0"/>
                <w:sz w:val="24"/>
              </w:rPr>
              <w:t>《承德市城市总体规划》（2016-2030）中的生态功能区划将承德市划分出一级区两个，即坝上高原生态区、冀北及燕山山地生态区；生态亚区六个，即坝上高原西部草原生态亚区、坝上高原东部森林草原生态亚区、冀北山地森林生态亚区、七老图山森林灌草生态亚区、燕山山地南部林果生态亚区、城市规划发展生态亚区。本项目所属区域为</w:t>
            </w:r>
            <w:r>
              <w:rPr>
                <w:rFonts w:hint="default" w:ascii="Times New Roman" w:hAnsi="Times New Roman" w:eastAsia="宋体" w:cs="Times New Roman"/>
                <w:kern w:val="0"/>
                <w:sz w:val="24"/>
                <w:lang w:val="en-US" w:eastAsia="zh-CN"/>
              </w:rPr>
              <w:t>围场满族蒙古族自治县半截塔镇</w:t>
            </w:r>
            <w:r>
              <w:rPr>
                <w:rFonts w:ascii="Times New Roman" w:hAnsi="Times New Roman" w:eastAsia="宋体" w:cs="Times New Roman"/>
                <w:kern w:val="0"/>
                <w:sz w:val="24"/>
              </w:rPr>
              <w:t>，根据承德市总体规划，</w:t>
            </w:r>
            <w:r>
              <w:rPr>
                <w:rFonts w:hint="default" w:ascii="Times New Roman" w:hAnsi="Times New Roman" w:eastAsia="宋体" w:cs="Times New Roman"/>
                <w:kern w:val="0"/>
                <w:sz w:val="24"/>
              </w:rPr>
              <w:t>围场满族蒙古族自治县半截塔镇</w:t>
            </w:r>
            <w:r>
              <w:rPr>
                <w:rFonts w:ascii="Times New Roman" w:hAnsi="Times New Roman" w:eastAsia="宋体" w:cs="Times New Roman"/>
                <w:kern w:val="0"/>
                <w:sz w:val="24"/>
              </w:rPr>
              <w:t>属于“冀北及燕山山地生态区（Ⅱ）——</w:t>
            </w:r>
            <w:r>
              <w:rPr>
                <w:rFonts w:hint="eastAsia" w:ascii="Times New Roman" w:hAnsi="Times New Roman" w:eastAsia="宋体" w:cs="Times New Roman"/>
                <w:kern w:val="0"/>
                <w:sz w:val="24"/>
              </w:rPr>
              <w:t>冀北山地森林生态亚区</w:t>
            </w:r>
            <w:r>
              <w:rPr>
                <w:rFonts w:ascii="Times New Roman" w:hAnsi="Times New Roman" w:eastAsia="宋体" w:cs="Times New Roman"/>
                <w:kern w:val="0"/>
                <w:sz w:val="24"/>
              </w:rPr>
              <w:t>（Ⅱ-</w:t>
            </w:r>
            <w:r>
              <w:rPr>
                <w:rFonts w:hint="eastAsia" w:ascii="Times New Roman" w:hAnsi="Times New Roman" w:eastAsia="宋体" w:cs="Times New Roman"/>
                <w:kern w:val="0"/>
                <w:sz w:val="24"/>
              </w:rPr>
              <w:t>1</w:t>
            </w:r>
            <w:r>
              <w:rPr>
                <w:rFonts w:ascii="Times New Roman" w:hAnsi="Times New Roman" w:eastAsia="宋体" w:cs="Times New Roman"/>
                <w:kern w:val="0"/>
                <w:sz w:val="24"/>
              </w:rPr>
              <w:t>）——</w:t>
            </w:r>
            <w:r>
              <w:rPr>
                <w:rFonts w:hint="eastAsia" w:ascii="Times New Roman" w:hAnsi="Times New Roman" w:eastAsia="宋体" w:cs="Times New Roman"/>
                <w:kern w:val="0"/>
                <w:sz w:val="24"/>
                <w:lang w:eastAsia="zh-CN"/>
              </w:rPr>
              <w:t>滦河</w:t>
            </w:r>
            <w:r>
              <w:rPr>
                <w:rFonts w:ascii="Times New Roman" w:hAnsi="Times New Roman" w:eastAsia="宋体" w:cs="Times New Roman"/>
                <w:kern w:val="0"/>
                <w:sz w:val="24"/>
                <w:lang w:val="en-US" w:eastAsia="zh-CN"/>
              </w:rPr>
              <w:t>上游生物多样性保护功能区</w:t>
            </w:r>
            <w:r>
              <w:rPr>
                <w:rFonts w:ascii="Times New Roman" w:hAnsi="Times New Roman" w:eastAsia="宋体" w:cs="Times New Roman"/>
                <w:kern w:val="0"/>
                <w:sz w:val="24"/>
              </w:rPr>
              <w:t>（Ⅱ-</w:t>
            </w:r>
            <w:r>
              <w:rPr>
                <w:rFonts w:hint="eastAsia" w:ascii="Times New Roman" w:hAnsi="Times New Roman" w:eastAsia="宋体" w:cs="Times New Roman"/>
                <w:kern w:val="0"/>
                <w:sz w:val="24"/>
              </w:rPr>
              <w:t>1-</w:t>
            </w:r>
            <w:r>
              <w:rPr>
                <w:rFonts w:hint="eastAsia" w:ascii="Times New Roman" w:hAnsi="Times New Roman" w:eastAsia="宋体" w:cs="Times New Roman"/>
                <w:kern w:val="0"/>
                <w:sz w:val="24"/>
                <w:lang w:val="en-US" w:eastAsia="zh-CN"/>
              </w:rPr>
              <w:t>3</w:t>
            </w:r>
            <w:r>
              <w:rPr>
                <w:rFonts w:ascii="Times New Roman" w:hAnsi="Times New Roman" w:eastAsia="宋体" w:cs="Times New Roman"/>
                <w:kern w:val="0"/>
                <w:sz w:val="24"/>
              </w:rPr>
              <w:t>）”，该区域主要生态环境问题</w:t>
            </w:r>
            <w:r>
              <w:rPr>
                <w:rFonts w:hint="eastAsia" w:ascii="Times New Roman" w:hAnsi="Times New Roman" w:eastAsia="宋体" w:cs="Times New Roman"/>
                <w:kern w:val="0"/>
                <w:sz w:val="24"/>
              </w:rPr>
              <w:t>、</w:t>
            </w:r>
            <w:r>
              <w:rPr>
                <w:rFonts w:ascii="Times New Roman" w:hAnsi="Times New Roman" w:eastAsia="宋体" w:cs="Times New Roman"/>
                <w:kern w:val="0"/>
                <w:sz w:val="24"/>
              </w:rPr>
              <w:t>生态服务功能、建设方向及措施如下表所示</w:t>
            </w:r>
            <w:r>
              <w:rPr>
                <w:rFonts w:hint="eastAsia" w:ascii="Times New Roman" w:hAnsi="Times New Roman" w:eastAsia="宋体" w:cs="Times New Roman"/>
                <w:kern w:val="0"/>
                <w:sz w:val="24"/>
              </w:rPr>
              <w:t>。</w:t>
            </w:r>
          </w:p>
          <w:p>
            <w:pPr>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表1-</w:t>
            </w:r>
            <w:r>
              <w:rPr>
                <w:rFonts w:hint="default" w:ascii="Times New Roman" w:hAnsi="Times New Roman" w:cs="Times New Roman"/>
                <w:b/>
                <w:bCs/>
                <w:color w:val="auto"/>
                <w:sz w:val="21"/>
                <w:szCs w:val="21"/>
                <w:lang w:val="en-US" w:eastAsia="zh-CN"/>
              </w:rPr>
              <w:t>2</w:t>
            </w:r>
            <w:r>
              <w:rPr>
                <w:rFonts w:hint="default" w:ascii="Times New Roman" w:hAnsi="Times New Roman" w:cs="Times New Roman"/>
                <w:b/>
                <w:bCs/>
                <w:color w:val="auto"/>
                <w:sz w:val="21"/>
                <w:szCs w:val="21"/>
              </w:rPr>
              <w:t xml:space="preserve">  承德市总体规划中生态功能区划相关功能分区</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71"/>
              <w:gridCol w:w="1297"/>
              <w:gridCol w:w="1740"/>
              <w:gridCol w:w="986"/>
              <w:gridCol w:w="3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pct"/>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生态区</w:t>
                  </w:r>
                </w:p>
              </w:tc>
              <w:tc>
                <w:tcPr>
                  <w:tcW w:w="449" w:type="pct"/>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生态亚区</w:t>
                  </w:r>
                </w:p>
              </w:tc>
              <w:tc>
                <w:tcPr>
                  <w:tcW w:w="756" w:type="pct"/>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生态功能区</w:t>
                  </w:r>
                </w:p>
              </w:tc>
              <w:tc>
                <w:tcPr>
                  <w:tcW w:w="1014" w:type="pct"/>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主要生态环境问题</w:t>
                  </w:r>
                </w:p>
              </w:tc>
              <w:tc>
                <w:tcPr>
                  <w:tcW w:w="574" w:type="pct"/>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生态服务功能</w:t>
                  </w:r>
                </w:p>
              </w:tc>
              <w:tc>
                <w:tcPr>
                  <w:tcW w:w="1791" w:type="pct"/>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建设方向及措施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pct"/>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冀北及燕山山地生态区Ⅱ</w:t>
                  </w:r>
                </w:p>
              </w:tc>
              <w:tc>
                <w:tcPr>
                  <w:tcW w:w="449" w:type="pct"/>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冀北山地森林生态亚区Ⅱ-</w:t>
                  </w:r>
                  <w:r>
                    <w:rPr>
                      <w:rFonts w:hint="default" w:ascii="Times New Roman" w:hAnsi="Times New Roman" w:cs="Times New Roman"/>
                      <w:color w:val="auto"/>
                      <w:sz w:val="21"/>
                      <w:szCs w:val="21"/>
                      <w:lang w:val="en-US" w:eastAsia="zh-CN"/>
                    </w:rPr>
                    <w:t>1</w:t>
                  </w:r>
                </w:p>
              </w:tc>
              <w:tc>
                <w:tcPr>
                  <w:tcW w:w="756" w:type="pct"/>
                  <w:vAlign w:val="center"/>
                </w:tcPr>
                <w:p>
                  <w:pPr>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color w:val="auto"/>
                      <w:sz w:val="21"/>
                      <w:szCs w:val="21"/>
                      <w:lang w:eastAsia="zh-CN"/>
                    </w:rPr>
                    <w:t>滦河</w:t>
                  </w:r>
                  <w:r>
                    <w:rPr>
                      <w:rFonts w:hint="default" w:ascii="Times New Roman" w:hAnsi="Times New Roman" w:cs="Times New Roman"/>
                      <w:color w:val="auto"/>
                      <w:sz w:val="21"/>
                      <w:szCs w:val="21"/>
                      <w:lang w:val="en-US" w:eastAsia="zh-CN"/>
                    </w:rPr>
                    <w:t>上游生物多样性保护功能区</w:t>
                  </w:r>
                  <w:r>
                    <w:rPr>
                      <w:rFonts w:hint="default" w:ascii="Times New Roman" w:hAnsi="Times New Roman" w:cs="Times New Roman"/>
                      <w:color w:val="auto"/>
                    </w:rPr>
                    <w:t>Ⅱ-1-</w:t>
                  </w:r>
                  <w:r>
                    <w:rPr>
                      <w:rFonts w:hint="default" w:ascii="Times New Roman" w:hAnsi="Times New Roman" w:cs="Times New Roman"/>
                      <w:color w:val="auto"/>
                      <w:lang w:val="en-US" w:eastAsia="zh-CN"/>
                    </w:rPr>
                    <w:t>3</w:t>
                  </w:r>
                </w:p>
              </w:tc>
              <w:tc>
                <w:tcPr>
                  <w:tcW w:w="1014" w:type="pct"/>
                  <w:vAlign w:val="center"/>
                </w:tcPr>
                <w:p>
                  <w:pPr>
                    <w:spacing w:line="240" w:lineRule="auto"/>
                    <w:ind w:firstLine="0" w:firstLineChars="0"/>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生物多样性减少，水土流失严重，草地退化，沙化面积不断扩大。</w:t>
                  </w:r>
                </w:p>
              </w:tc>
              <w:tc>
                <w:tcPr>
                  <w:tcW w:w="574" w:type="pct"/>
                  <w:vAlign w:val="center"/>
                </w:tcPr>
                <w:p>
                  <w:pPr>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生物多样性保护、荒漠化防治、水资源保护</w:t>
                  </w:r>
                </w:p>
              </w:tc>
              <w:tc>
                <w:tcPr>
                  <w:tcW w:w="1791" w:type="pct"/>
                  <w:vAlign w:val="center"/>
                </w:tcPr>
                <w:p>
                  <w:pPr>
                    <w:spacing w:line="240" w:lineRule="auto"/>
                    <w:ind w:firstLine="0" w:firstLineChars="0"/>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积极进行生物多样性保护工作，水土流失综合防治，积极推进退耕还林;增加植被覆度，增强水源涵养功能。加强滦河上游自然保护区的保护与管理，强力恢复植被、不断扩大种群，防治病虫害。</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eastAsia" w:ascii="Times New Roman" w:hAnsi="Times New Roman" w:eastAsia="宋体"/>
                <w:sz w:val="24"/>
              </w:rPr>
            </w:pPr>
            <w:r>
              <w:rPr>
                <w:rFonts w:hint="eastAsia" w:ascii="Times New Roman" w:hAnsi="Times New Roman" w:eastAsia="宋体"/>
                <w:sz w:val="24"/>
              </w:rPr>
              <w:t>本项目</w:t>
            </w:r>
            <w:r>
              <w:rPr>
                <w:rFonts w:hint="eastAsia" w:ascii="Times New Roman" w:hAnsi="Times New Roman" w:eastAsia="宋体"/>
                <w:sz w:val="24"/>
                <w:lang w:eastAsia="zh-CN"/>
              </w:rPr>
              <w:t>为木兰皇家农业综合示范区蒸汽供给项目</w:t>
            </w:r>
            <w:r>
              <w:rPr>
                <w:rFonts w:hint="eastAsia" w:ascii="Times New Roman" w:hAnsi="Times New Roman" w:eastAsia="宋体"/>
                <w:sz w:val="24"/>
              </w:rPr>
              <w:t>，</w:t>
            </w:r>
            <w:r>
              <w:rPr>
                <w:rFonts w:hint="eastAsia" w:ascii="Times New Roman" w:hAnsi="Times New Roman" w:eastAsia="宋体"/>
                <w:sz w:val="24"/>
                <w:lang w:eastAsia="zh-CN"/>
              </w:rPr>
              <w:t>项目</w:t>
            </w:r>
            <w:r>
              <w:rPr>
                <w:rFonts w:hint="eastAsia" w:ascii="Times New Roman" w:hAnsi="Times New Roman" w:eastAsia="宋体"/>
                <w:sz w:val="24"/>
              </w:rPr>
              <w:t>在</w:t>
            </w:r>
            <w:r>
              <w:rPr>
                <w:rFonts w:hint="eastAsia" w:ascii="Times New Roman" w:hAnsi="Times New Roman" w:eastAsia="宋体"/>
                <w:sz w:val="24"/>
                <w:lang w:eastAsia="zh-CN"/>
              </w:rPr>
              <w:t>承德富龙现代农业发展有限公司内部</w:t>
            </w:r>
            <w:r>
              <w:rPr>
                <w:rFonts w:hint="eastAsia" w:ascii="Times New Roman" w:hAnsi="Times New Roman" w:eastAsia="宋体"/>
                <w:sz w:val="24"/>
              </w:rPr>
              <w:t>建设，不新增用地。因此，</w:t>
            </w:r>
            <w:r>
              <w:rPr>
                <w:rFonts w:hint="eastAsia" w:ascii="Times New Roman" w:hAnsi="Times New Roman" w:eastAsia="宋体"/>
                <w:sz w:val="24"/>
                <w:lang w:val="en-US" w:eastAsia="zh-CN"/>
              </w:rPr>
              <w:t>本项目建设符合承德市总体规划中生态功能区划相关功能分区的相关要求</w:t>
            </w:r>
            <w:r>
              <w:rPr>
                <w:rFonts w:hint="eastAsia" w:ascii="Times New Roman" w:hAnsi="Times New Roman" w:eastAsia="宋体"/>
                <w:sz w:val="24"/>
              </w:rPr>
              <w:t>。</w:t>
            </w:r>
          </w:p>
          <w:p>
            <w:pPr>
              <w:adjustRightInd w:val="0"/>
              <w:snapToGrid w:val="0"/>
              <w:spacing w:line="360" w:lineRule="auto"/>
              <w:ind w:firstLine="482" w:firstLineChars="200"/>
              <w:rPr>
                <w:rFonts w:hint="eastAsia" w:ascii="Times New Roman" w:hAnsi="Times New Roman" w:eastAsia="宋体" w:cs="Times New Roman"/>
                <w:b/>
                <w:bCs/>
                <w:kern w:val="0"/>
                <w:sz w:val="24"/>
                <w:lang w:val="en-US" w:eastAsia="zh-CN"/>
              </w:rPr>
            </w:pPr>
            <w:r>
              <w:rPr>
                <w:rFonts w:hint="eastAsia" w:ascii="Times New Roman" w:hAnsi="Times New Roman" w:eastAsia="宋体" w:cs="Times New Roman"/>
                <w:b/>
                <w:bCs/>
                <w:kern w:val="0"/>
                <w:sz w:val="24"/>
                <w:lang w:val="en-US" w:eastAsia="zh-CN"/>
              </w:rPr>
              <w:t>3、产业政策符合性分析</w:t>
            </w:r>
          </w:p>
          <w:p>
            <w:pPr>
              <w:adjustRightInd w:val="0"/>
              <w:snapToGrid w:val="0"/>
              <w:spacing w:line="360" w:lineRule="auto"/>
              <w:ind w:firstLine="480" w:firstLineChars="200"/>
              <w:rPr>
                <w:rFonts w:hint="eastAsia" w:ascii="Times New Roman" w:hAnsi="Times New Roman" w:eastAsia="宋体"/>
                <w:sz w:val="24"/>
                <w:lang w:val="en-US" w:eastAsia="zh-CN"/>
              </w:rPr>
            </w:pPr>
            <w:r>
              <w:rPr>
                <w:rFonts w:hint="eastAsia" w:ascii="Times New Roman" w:hAnsi="Times New Roman" w:eastAsia="宋体"/>
                <w:sz w:val="24"/>
                <w:lang w:val="en-US" w:eastAsia="zh-CN"/>
              </w:rPr>
              <w:t>本项目为《国民经济行业分类》（GB/T4754-2017）中D4430热力生产和供应，经查阅《产业结构调整指导目录(2019年本)》，本项目不属于限制类、淘汰类，运营过程中不使用国家明令禁止淘汰类和限制类工艺和设备，且未列入《市场准入负面清单（2022版）》，符合国家产业政策。</w:t>
            </w:r>
          </w:p>
          <w:p>
            <w:pPr>
              <w:adjustRightInd w:val="0"/>
              <w:snapToGrid w:val="0"/>
              <w:spacing w:line="360" w:lineRule="auto"/>
              <w:ind w:firstLine="480" w:firstLineChars="200"/>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根据《承德市2022年大气污染综合治理工作实施方案》，全市范围内禁止新建35蒸吨/小时及以下燃煤锅炉，新上用煤项目执行减（等）量替代，新建35蒸吨/小时及以上燃煤锅炉必须符合设区市政府的集中供暖规划或者工业园区建设规划，建设符合节能和环保要求的治理措施，污染物排放达到《锅炉大气污染物排放标准》（DB13/5151-2020）要求。</w:t>
            </w:r>
          </w:p>
          <w:p>
            <w:pPr>
              <w:adjustRightInd w:val="0"/>
              <w:snapToGrid w:val="0"/>
              <w:spacing w:line="360" w:lineRule="auto"/>
              <w:ind w:firstLine="480" w:firstLineChars="200"/>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项目主要新增一台40t/h循环流化床燃煤锅炉及配套设备为园区企业供汽，符合园区建设规划，</w:t>
            </w:r>
            <w:r>
              <w:rPr>
                <w:rFonts w:hint="eastAsia" w:ascii="Times New Roman" w:hAnsi="Times New Roman" w:eastAsia="宋体" w:cs="Times New Roman"/>
                <w:b w:val="0"/>
                <w:bCs/>
                <w:color w:val="auto"/>
                <w:sz w:val="24"/>
                <w:szCs w:val="24"/>
                <w:highlight w:val="none"/>
                <w:lang w:eastAsia="zh-CN"/>
              </w:rPr>
              <w:t>用煤量</w:t>
            </w:r>
            <w:r>
              <w:rPr>
                <w:rFonts w:hint="eastAsia" w:ascii="Times New Roman" w:hAnsi="Times New Roman" w:eastAsia="宋体" w:cs="Times New Roman"/>
                <w:b w:val="0"/>
                <w:bCs/>
                <w:color w:val="auto"/>
                <w:sz w:val="24"/>
                <w:szCs w:val="24"/>
                <w:highlight w:val="none"/>
                <w:lang w:val="en-US" w:eastAsia="zh-CN"/>
              </w:rPr>
              <w:t>已经取得了承德市发展和改革委员会《关于木兰皇家农业综合示范区用煤项目新增用煤指标的划拨意见》。40t/h循环流化床燃煤锅炉废气经布袋除尘器+脱硫塔+PNCR高分子炉内脱硝后经1根45m高排气筒（DA001）排放，</w:t>
            </w:r>
            <w:r>
              <w:rPr>
                <w:rFonts w:hint="eastAsia" w:ascii="Times New Roman" w:hAnsi="Times New Roman" w:cs="Times New Roman"/>
                <w:color w:val="auto"/>
                <w:sz w:val="24"/>
                <w:szCs w:val="24"/>
                <w:lang w:val="en-US" w:eastAsia="zh-CN"/>
              </w:rPr>
              <w:t>污染物排放达到《锅炉大气污染物排放标准》（DB13/5151-2020）相关要求。</w:t>
            </w:r>
            <w:r>
              <w:rPr>
                <w:rFonts w:hint="eastAsia" w:ascii="Times New Roman" w:hAnsi="Times New Roman" w:eastAsia="宋体" w:cs="Times New Roman"/>
                <w:b w:val="0"/>
                <w:bCs/>
                <w:color w:val="auto"/>
                <w:sz w:val="24"/>
                <w:szCs w:val="24"/>
                <w:highlight w:val="none"/>
                <w:lang w:val="en-US" w:eastAsia="zh-CN"/>
              </w:rPr>
              <w:t>项目建设符合</w:t>
            </w:r>
            <w:r>
              <w:rPr>
                <w:rFonts w:hint="eastAsia" w:ascii="Times New Roman" w:hAnsi="Times New Roman" w:cs="Times New Roman"/>
                <w:color w:val="auto"/>
                <w:sz w:val="24"/>
                <w:szCs w:val="24"/>
                <w:lang w:val="en-US" w:eastAsia="zh-CN"/>
              </w:rPr>
              <w:t>《承德市2022年大气污染综合治理工作实施方案》的相关要求。</w:t>
            </w:r>
          </w:p>
          <w:p>
            <w:pPr>
              <w:adjustRightInd w:val="0"/>
              <w:snapToGrid w:val="0"/>
              <w:spacing w:line="360" w:lineRule="auto"/>
              <w:ind w:firstLine="480" w:firstLineChars="200"/>
              <w:rPr>
                <w:rFonts w:hint="default" w:ascii="Times New Roman" w:hAnsi="Times New Roman" w:eastAsia="宋体"/>
                <w:sz w:val="24"/>
                <w:lang w:val="en-US" w:eastAsia="zh-CN"/>
              </w:rPr>
            </w:pPr>
            <w:r>
              <w:rPr>
                <w:rFonts w:hint="eastAsia" w:ascii="Times New Roman" w:hAnsi="Times New Roman" w:eastAsia="宋体"/>
                <w:sz w:val="24"/>
                <w:lang w:val="en-US" w:eastAsia="zh-CN"/>
              </w:rPr>
              <w:t>承德富龙现代农业发展有限公司于2021年取得围场满族蒙古族自治县行政审批局关于《木兰皇家农业综合示范区蒸汽供给项目》备案（围审批备字[2021]14号）。项目建设符合国家和地方产业政策。</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宋体" w:cs="Times New Roman"/>
                <w:b/>
                <w:bCs w:val="0"/>
                <w:color w:val="auto"/>
                <w:sz w:val="24"/>
                <w:szCs w:val="24"/>
                <w:highlight w:val="none"/>
                <w:lang w:eastAsia="zh-CN"/>
              </w:rPr>
            </w:pPr>
            <w:r>
              <w:rPr>
                <w:rFonts w:hint="eastAsia" w:ascii="Times New Roman" w:hAnsi="Times New Roman" w:eastAsia="宋体" w:cs="Times New Roman"/>
                <w:b/>
                <w:bCs w:val="0"/>
                <w:color w:val="auto"/>
                <w:sz w:val="24"/>
                <w:szCs w:val="24"/>
                <w:highlight w:val="none"/>
                <w:lang w:val="en-US" w:eastAsia="zh-CN"/>
              </w:rPr>
              <w:t>4、</w:t>
            </w:r>
            <w:r>
              <w:rPr>
                <w:rFonts w:hint="default" w:ascii="Times New Roman" w:hAnsi="Times New Roman" w:eastAsia="宋体" w:cs="Times New Roman"/>
                <w:b/>
                <w:bCs w:val="0"/>
                <w:color w:val="auto"/>
                <w:sz w:val="24"/>
                <w:szCs w:val="24"/>
                <w:highlight w:val="none"/>
              </w:rPr>
              <w:t>《河北省生态环境保护“十</w:t>
            </w:r>
            <w:r>
              <w:rPr>
                <w:rFonts w:hint="default" w:ascii="Times New Roman" w:hAnsi="Times New Roman" w:eastAsia="宋体" w:cs="Times New Roman"/>
                <w:b/>
                <w:bCs w:val="0"/>
                <w:color w:val="auto"/>
                <w:sz w:val="24"/>
                <w:szCs w:val="24"/>
                <w:highlight w:val="none"/>
                <w:lang w:eastAsia="zh-CN"/>
              </w:rPr>
              <w:t>四</w:t>
            </w:r>
            <w:r>
              <w:rPr>
                <w:rFonts w:hint="default" w:ascii="Times New Roman" w:hAnsi="Times New Roman" w:eastAsia="宋体" w:cs="Times New Roman"/>
                <w:b/>
                <w:bCs w:val="0"/>
                <w:color w:val="auto"/>
                <w:sz w:val="24"/>
                <w:szCs w:val="24"/>
                <w:highlight w:val="none"/>
              </w:rPr>
              <w:t>五”规划》</w:t>
            </w:r>
            <w:r>
              <w:rPr>
                <w:rFonts w:hint="default" w:ascii="Times New Roman" w:hAnsi="Times New Roman" w:eastAsia="宋体" w:cs="Times New Roman"/>
                <w:b/>
                <w:bCs w:val="0"/>
                <w:color w:val="auto"/>
                <w:sz w:val="24"/>
                <w:szCs w:val="24"/>
                <w:highlight w:val="none"/>
                <w:lang w:eastAsia="zh-CN"/>
              </w:rPr>
              <w:t>（</w:t>
            </w:r>
            <w:r>
              <w:rPr>
                <w:rFonts w:hint="default" w:ascii="Times New Roman" w:hAnsi="Times New Roman" w:eastAsia="宋体" w:cs="Times New Roman"/>
                <w:b/>
                <w:bCs w:val="0"/>
                <w:color w:val="auto"/>
                <w:sz w:val="24"/>
                <w:szCs w:val="24"/>
                <w:highlight w:val="none"/>
                <w:lang w:val="en-US" w:eastAsia="zh-CN"/>
              </w:rPr>
              <w:t>冀政字〔2022〕2号</w:t>
            </w:r>
            <w:r>
              <w:rPr>
                <w:rFonts w:hint="default" w:ascii="Times New Roman" w:hAnsi="Times New Roman" w:eastAsia="宋体" w:cs="Times New Roman"/>
                <w:b/>
                <w:bCs w:val="0"/>
                <w:color w:val="auto"/>
                <w:sz w:val="24"/>
                <w:szCs w:val="24"/>
                <w:highlight w:val="none"/>
                <w:lang w:eastAsia="zh-CN"/>
              </w:rPr>
              <w:t>）</w:t>
            </w:r>
            <w:r>
              <w:rPr>
                <w:rFonts w:hint="default" w:ascii="Times New Roman" w:hAnsi="Times New Roman" w:eastAsia="宋体" w:cs="Times New Roman"/>
                <w:b/>
                <w:color w:val="auto"/>
                <w:sz w:val="28"/>
                <w:szCs w:val="28"/>
                <w:highlight w:val="none"/>
              </w:rPr>
              <w:t xml:space="preserve"> </w:t>
            </w:r>
            <w:r>
              <w:rPr>
                <w:rFonts w:hint="default" w:ascii="Times New Roman" w:hAnsi="Times New Roman" w:eastAsia="宋体" w:cs="Times New Roman"/>
                <w:b/>
                <w:bCs w:val="0"/>
                <w:color w:val="auto"/>
                <w:sz w:val="24"/>
                <w:szCs w:val="24"/>
                <w:highlight w:val="none"/>
                <w:lang w:eastAsia="zh-CN"/>
              </w:rPr>
              <w:t>符合性</w:t>
            </w:r>
            <w:r>
              <w:rPr>
                <w:rFonts w:hint="eastAsia" w:ascii="Times New Roman" w:hAnsi="Times New Roman" w:eastAsia="宋体" w:cs="Times New Roman"/>
                <w:b/>
                <w:bCs w:val="0"/>
                <w:color w:val="auto"/>
                <w:sz w:val="24"/>
                <w:szCs w:val="24"/>
                <w:highlight w:val="none"/>
                <w:lang w:eastAsia="zh-CN"/>
              </w:rPr>
              <w:t>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color w:val="auto"/>
                <w:sz w:val="24"/>
                <w:szCs w:val="24"/>
                <w:highlight w:val="none"/>
                <w:lang w:eastAsia="zh-CN"/>
              </w:rPr>
            </w:pPr>
            <w:r>
              <w:rPr>
                <w:rFonts w:hint="default" w:ascii="Times New Roman" w:hAnsi="Times New Roman" w:eastAsia="宋体" w:cs="Times New Roman"/>
                <w:b w:val="0"/>
                <w:bCs/>
                <w:color w:val="auto"/>
                <w:sz w:val="24"/>
                <w:szCs w:val="24"/>
                <w:highlight w:val="none"/>
                <w:lang w:eastAsia="zh-CN"/>
              </w:rPr>
              <w:t>《河北省生态环境保护“十四五”规划》指出</w:t>
            </w:r>
            <w:r>
              <w:rPr>
                <w:rFonts w:hint="eastAsia" w:ascii="Times New Roman" w:hAnsi="Times New Roman" w:eastAsia="宋体" w:cs="Times New Roman"/>
                <w:b w:val="0"/>
                <w:bCs/>
                <w:color w:val="auto"/>
                <w:sz w:val="24"/>
                <w:szCs w:val="24"/>
                <w:highlight w:val="none"/>
                <w:lang w:eastAsia="zh-CN"/>
              </w:rPr>
              <w:t>：控制煤炭消费总量。全面实施煤炭消费总量控制，建设项目严格执行煤炭减量替代。严格控制燃煤发电装机规模，严禁新建自备燃煤机组，推动自备燃煤机组实施清洁能源替代，鼓励自备电厂转为公用电厂。加强农村散煤复燃管控，强化散煤治理监督体系建设。</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z w:val="24"/>
                <w:szCs w:val="24"/>
                <w:highlight w:val="none"/>
                <w:lang w:eastAsia="zh-CN"/>
              </w:rPr>
            </w:pPr>
            <w:r>
              <w:rPr>
                <w:rFonts w:hint="default" w:ascii="Times New Roman" w:hAnsi="Times New Roman" w:eastAsia="宋体" w:cs="Times New Roman"/>
                <w:b w:val="0"/>
                <w:bCs/>
                <w:color w:val="auto"/>
                <w:sz w:val="24"/>
                <w:szCs w:val="24"/>
                <w:highlight w:val="none"/>
                <w:lang w:eastAsia="zh-CN"/>
              </w:rPr>
              <w:t>实施终端用能清洁化替代。建设产业集群集中供汽供热或清洁低碳能源中心，推动锅炉和工业炉窑使用清洁低碳能源或利用工厂余热、电厂热力。有序推进清洁取暖，实施农村清洁取暖农户动态管理，规范“新增”和“退出”农户标准、程序，建立健全维修服务体系，基本完成种养殖业及农副产品加工业燃煤设施清洁能源替代。加强煤炭等化石能源清洁高效利用，提升煤矿洗选技术水平，煤矿原煤入选率保持在90%以上。</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eastAsia="宋体"/>
                <w:lang w:eastAsia="zh-CN"/>
              </w:rPr>
            </w:pPr>
            <w:r>
              <w:rPr>
                <w:rFonts w:hint="eastAsia" w:ascii="Times New Roman" w:hAnsi="Times New Roman" w:eastAsia="宋体" w:cs="Times New Roman"/>
                <w:b w:val="0"/>
                <w:bCs/>
                <w:color w:val="auto"/>
                <w:sz w:val="24"/>
                <w:szCs w:val="24"/>
                <w:highlight w:val="none"/>
                <w:lang w:eastAsia="zh-CN"/>
              </w:rPr>
              <w:t>本项目属于木兰皇家农业综合示范区蒸汽供给项目，用煤量</w:t>
            </w:r>
            <w:r>
              <w:rPr>
                <w:rFonts w:hint="eastAsia" w:ascii="Times New Roman" w:hAnsi="Times New Roman" w:eastAsia="宋体" w:cs="Times New Roman"/>
                <w:b w:val="0"/>
                <w:bCs/>
                <w:color w:val="auto"/>
                <w:sz w:val="24"/>
                <w:szCs w:val="24"/>
                <w:highlight w:val="none"/>
                <w:lang w:val="en-US" w:eastAsia="zh-CN"/>
              </w:rPr>
              <w:t>已经取得了承德市发展和改革委员会《关于木兰皇家农业综合示范区用煤项目新增用煤指标的划拨意见》，</w:t>
            </w:r>
            <w:r>
              <w:rPr>
                <w:rFonts w:hint="default" w:ascii="Times New Roman" w:hAnsi="Times New Roman" w:eastAsia="宋体" w:cs="Times New Roman"/>
                <w:color w:val="auto"/>
                <w:sz w:val="24"/>
                <w:szCs w:val="24"/>
                <w:highlight w:val="none"/>
                <w:lang w:eastAsia="zh-CN"/>
              </w:rPr>
              <w:t>项目建设</w:t>
            </w:r>
            <w:r>
              <w:rPr>
                <w:rFonts w:hint="default" w:ascii="Times New Roman" w:hAnsi="Times New Roman" w:eastAsia="宋体" w:cs="Times New Roman"/>
                <w:color w:val="auto"/>
                <w:sz w:val="24"/>
                <w:szCs w:val="24"/>
                <w:highlight w:val="none"/>
              </w:rPr>
              <w:t>符合《河北省生态环境保护“十</w:t>
            </w:r>
            <w:r>
              <w:rPr>
                <w:rFonts w:hint="default" w:ascii="Times New Roman" w:hAnsi="Times New Roman" w:eastAsia="宋体" w:cs="Times New Roman"/>
                <w:color w:val="auto"/>
                <w:sz w:val="24"/>
                <w:szCs w:val="24"/>
                <w:highlight w:val="none"/>
                <w:lang w:eastAsia="zh-CN"/>
              </w:rPr>
              <w:t>四</w:t>
            </w:r>
            <w:r>
              <w:rPr>
                <w:rFonts w:hint="default" w:ascii="Times New Roman" w:hAnsi="Times New Roman" w:eastAsia="宋体" w:cs="Times New Roman"/>
                <w:color w:val="auto"/>
                <w:sz w:val="24"/>
                <w:szCs w:val="24"/>
                <w:highlight w:val="none"/>
              </w:rPr>
              <w:t>五”规划》中的相关要求</w:t>
            </w:r>
            <w:r>
              <w:rPr>
                <w:rFonts w:hint="eastAsia" w:ascii="Times New Roman" w:hAnsi="Times New Roman" w:eastAsia="宋体" w:cs="Times New Roman"/>
                <w:color w:val="auto"/>
                <w:sz w:val="24"/>
                <w:szCs w:val="24"/>
                <w:highlight w:val="none"/>
                <w:lang w:eastAsia="zh-CN"/>
              </w:rPr>
              <w:t>。</w:t>
            </w:r>
          </w:p>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val="0"/>
                <w:color w:val="auto"/>
                <w:sz w:val="24"/>
                <w:szCs w:val="24"/>
                <w:highlight w:val="none"/>
                <w:lang w:eastAsia="zh-CN"/>
              </w:rPr>
            </w:pPr>
            <w:r>
              <w:rPr>
                <w:rFonts w:hint="eastAsia" w:ascii="Times New Roman" w:hAnsi="Times New Roman" w:eastAsia="宋体" w:cs="Times New Roman"/>
                <w:b/>
                <w:bCs w:val="0"/>
                <w:color w:val="auto"/>
                <w:sz w:val="24"/>
                <w:szCs w:val="24"/>
                <w:highlight w:val="none"/>
                <w:lang w:val="en-US" w:eastAsia="zh-CN"/>
              </w:rPr>
              <w:t xml:space="preserve">《承德市生态环境保护“十四五”规划》（承市政字〔2022〕16号） </w:t>
            </w:r>
            <w:r>
              <w:rPr>
                <w:rFonts w:hint="default" w:ascii="Times New Roman" w:hAnsi="Times New Roman" w:eastAsia="宋体" w:cs="Times New Roman"/>
                <w:b/>
                <w:bCs w:val="0"/>
                <w:color w:val="auto"/>
                <w:sz w:val="24"/>
                <w:szCs w:val="24"/>
                <w:highlight w:val="none"/>
                <w:lang w:eastAsia="zh-CN"/>
              </w:rPr>
              <w:t>符合性</w:t>
            </w:r>
            <w:r>
              <w:rPr>
                <w:rFonts w:hint="eastAsia" w:ascii="Times New Roman" w:hAnsi="Times New Roman" w:eastAsia="宋体" w:cs="Times New Roman"/>
                <w:b/>
                <w:bCs w:val="0"/>
                <w:color w:val="auto"/>
                <w:sz w:val="24"/>
                <w:szCs w:val="24"/>
                <w:highlight w:val="none"/>
                <w:lang w:eastAsia="zh-CN"/>
              </w:rPr>
              <w:t>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《承德市生态环境保护“十四五”规划》指出：</w:t>
            </w:r>
            <w:r>
              <w:rPr>
                <w:rFonts w:hint="default" w:ascii="Times New Roman" w:hAnsi="Times New Roman" w:eastAsia="宋体" w:cs="Times New Roman"/>
                <w:b w:val="0"/>
                <w:bCs/>
                <w:color w:val="auto"/>
                <w:sz w:val="24"/>
                <w:szCs w:val="24"/>
                <w:highlight w:val="none"/>
                <w:lang w:val="en-US" w:eastAsia="zh-CN"/>
              </w:rPr>
              <w:t>控制煤炭消费总量。加强煤炭等化石能源清洁高效利用，建设项目严格执行煤炭减量替代，全面实施煤炭消费总量控制。严格控制燃煤发电装机规模，严禁新建自备燃煤机组，推动自备燃煤机组实施清洁能源替代，鼓励自备电厂转为公用电厂。加强农村散煤复燃管控，强化散煤治理监督体系建设。</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实施终端用能清洁化替代。建设产业集群集中供汽供热或清洁低碳能源中心，推动锅炉和工业炉窑使用清洁低碳能源或利用工厂余热、电厂热力。有序推进清洁取暖，到2025年，除不具备改造条件的偏远山区和坝上地区外，其他农村地区实现清洁取暖全覆盖，基本完成种养殖业及农副产品加工业燃煤设施清洁能源替代。</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kern w:val="0"/>
                <w:szCs w:val="21"/>
              </w:rPr>
            </w:pPr>
            <w:r>
              <w:rPr>
                <w:rFonts w:hint="eastAsia" w:ascii="Times New Roman" w:hAnsi="Times New Roman" w:eastAsia="宋体" w:cs="Times New Roman"/>
                <w:b w:val="0"/>
                <w:bCs/>
                <w:color w:val="auto"/>
                <w:sz w:val="24"/>
                <w:szCs w:val="24"/>
                <w:highlight w:val="none"/>
                <w:lang w:eastAsia="zh-CN"/>
              </w:rPr>
              <w:t>本项目属于木兰皇家农业综合示范区蒸汽供给项目，用煤量</w:t>
            </w:r>
            <w:r>
              <w:rPr>
                <w:rFonts w:hint="eastAsia" w:ascii="Times New Roman" w:hAnsi="Times New Roman" w:eastAsia="宋体" w:cs="Times New Roman"/>
                <w:b w:val="0"/>
                <w:bCs/>
                <w:color w:val="auto"/>
                <w:sz w:val="24"/>
                <w:szCs w:val="24"/>
                <w:highlight w:val="none"/>
                <w:lang w:val="en-US" w:eastAsia="zh-CN"/>
              </w:rPr>
              <w:t>已经取得了承德市发展和改革委员会《关于木兰皇家农业综合示范区用煤项目新增用煤指标的划拨意见》，</w:t>
            </w:r>
            <w:r>
              <w:rPr>
                <w:rFonts w:hint="default" w:ascii="Times New Roman" w:hAnsi="Times New Roman" w:eastAsia="宋体" w:cs="Times New Roman"/>
                <w:color w:val="auto"/>
                <w:sz w:val="24"/>
                <w:szCs w:val="24"/>
                <w:highlight w:val="none"/>
                <w:lang w:eastAsia="zh-CN"/>
              </w:rPr>
              <w:t>项目建设</w:t>
            </w:r>
            <w:r>
              <w:rPr>
                <w:rFonts w:hint="default" w:ascii="Times New Roman" w:hAnsi="Times New Roman" w:eastAsia="宋体" w:cs="Times New Roman"/>
                <w:color w:val="auto"/>
                <w:sz w:val="24"/>
                <w:szCs w:val="24"/>
                <w:highlight w:val="none"/>
              </w:rPr>
              <w:t>符合</w:t>
            </w:r>
            <w:r>
              <w:rPr>
                <w:rFonts w:hint="default" w:ascii="Times New Roman" w:hAnsi="Times New Roman" w:eastAsia="宋体" w:cs="Times New Roman"/>
                <w:color w:val="auto"/>
                <w:sz w:val="24"/>
                <w:szCs w:val="24"/>
                <w:highlight w:val="none"/>
                <w:lang w:val="en-US" w:eastAsia="zh-CN"/>
              </w:rPr>
              <w:t>《承德市生态环境保护“十四五”规划》</w:t>
            </w:r>
            <w:r>
              <w:rPr>
                <w:rFonts w:hint="default" w:ascii="Times New Roman" w:hAnsi="Times New Roman" w:eastAsia="宋体" w:cs="Times New Roman"/>
                <w:color w:val="auto"/>
                <w:sz w:val="24"/>
                <w:szCs w:val="24"/>
                <w:highlight w:val="none"/>
              </w:rPr>
              <w:t>中的相关要求</w:t>
            </w:r>
            <w:r>
              <w:rPr>
                <w:rFonts w:hint="eastAsia" w:ascii="Times New Roman" w:hAnsi="Times New Roman" w:eastAsia="宋体" w:cs="Times New Roman"/>
                <w:color w:val="auto"/>
                <w:sz w:val="24"/>
                <w:szCs w:val="24"/>
                <w:highlight w:val="none"/>
                <w:lang w:eastAsia="zh-CN"/>
              </w:rPr>
              <w:t>。</w:t>
            </w:r>
          </w:p>
        </w:tc>
      </w:tr>
    </w:tbl>
    <w:p>
      <w:pPr>
        <w:spacing w:line="360" w:lineRule="auto"/>
        <w:rPr>
          <w:rFonts w:ascii="Times New Roman" w:hAnsi="Times New Roman" w:eastAsia="黑体" w:cs="Times New Roman"/>
          <w:sz w:val="30"/>
          <w:lang w:bidi="ar"/>
        </w:rPr>
        <w:sectPr>
          <w:footerReference r:id="rId3" w:type="default"/>
          <w:pgSz w:w="11906" w:h="16838"/>
          <w:pgMar w:top="1702" w:right="1531" w:bottom="1702" w:left="1531" w:header="851" w:footer="1077" w:gutter="0"/>
          <w:pgNumType w:start="1"/>
          <w:cols w:space="425" w:num="1"/>
          <w:docGrid w:type="lines" w:linePitch="312" w:charSpace="0"/>
        </w:sectPr>
      </w:pPr>
    </w:p>
    <w:p>
      <w:pPr>
        <w:pStyle w:val="19"/>
        <w:spacing w:beforeAutospacing="0" w:afterAutospacing="0" w:line="360" w:lineRule="auto"/>
        <w:jc w:val="center"/>
        <w:outlineLvl w:val="0"/>
        <w:rPr>
          <w:rFonts w:hint="default" w:ascii="黑体" w:eastAsia="黑体" w:cs="黑体"/>
          <w:snapToGrid w:val="0"/>
          <w:sz w:val="30"/>
          <w:szCs w:val="30"/>
        </w:rPr>
      </w:pPr>
      <w:r>
        <w:rPr>
          <w:rFonts w:ascii="黑体" w:eastAsia="黑体" w:cs="黑体"/>
          <w:snapToGrid w:val="0"/>
          <w:sz w:val="30"/>
          <w:szCs w:val="30"/>
        </w:rPr>
        <w:t>二、建设项目工程分析</w:t>
      </w:r>
    </w:p>
    <w:tbl>
      <w:tblPr>
        <w:tblStyle w:val="24"/>
        <w:tblW w:w="935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8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dxa"/>
            <w:tcBorders>
              <w:top w:val="single" w:color="auto" w:sz="8" w:space="0"/>
              <w:left w:val="single" w:color="auto" w:sz="8" w:space="0"/>
              <w:bottom w:val="single" w:color="auto" w:sz="4" w:space="0"/>
              <w:right w:val="single" w:color="auto" w:sz="4" w:space="0"/>
            </w:tcBorders>
            <w:shd w:val="clear" w:color="auto" w:fill="auto"/>
            <w:vAlign w:val="center"/>
          </w:tcPr>
          <w:p>
            <w:pPr>
              <w:pStyle w:val="19"/>
              <w:adjustRightInd w:val="0"/>
              <w:snapToGrid w:val="0"/>
              <w:spacing w:beforeAutospacing="0" w:afterAutospacing="0"/>
              <w:jc w:val="center"/>
              <w:rPr>
                <w:rFonts w:hint="default" w:ascii="Times New Roman" w:hAnsi="Times New Roman"/>
                <w:sz w:val="21"/>
                <w:szCs w:val="21"/>
              </w:rPr>
            </w:pPr>
            <w:r>
              <w:rPr>
                <w:rFonts w:hint="default" w:ascii="Times New Roman" w:hAnsi="Times New Roman"/>
                <w:sz w:val="21"/>
                <w:szCs w:val="21"/>
              </w:rPr>
              <w:t>建设内容</w:t>
            </w:r>
          </w:p>
        </w:tc>
        <w:tc>
          <w:tcPr>
            <w:tcW w:w="8894" w:type="dxa"/>
            <w:tcBorders>
              <w:top w:val="single" w:color="auto" w:sz="8" w:space="0"/>
              <w:left w:val="single" w:color="auto" w:sz="4" w:space="0"/>
              <w:bottom w:val="single" w:color="auto" w:sz="4" w:space="0"/>
              <w:right w:val="single" w:color="auto" w:sz="8" w:space="0"/>
            </w:tcBorders>
            <w:shd w:val="clear" w:color="auto" w:fill="auto"/>
          </w:tcPr>
          <w:p>
            <w:pPr>
              <w:autoSpaceDE w:val="0"/>
              <w:autoSpaceDN w:val="0"/>
              <w:adjustRightInd w:val="0"/>
              <w:snapToGrid w:val="0"/>
              <w:spacing w:line="360" w:lineRule="auto"/>
              <w:ind w:firstLine="482" w:firstLineChars="200"/>
              <w:jc w:val="left"/>
              <w:rPr>
                <w:rFonts w:ascii="Times New Roman" w:hAnsi="Times New Roman" w:eastAsia="宋体" w:cs="Times New Roman"/>
                <w:b/>
                <w:bCs/>
                <w:kern w:val="0"/>
                <w:sz w:val="24"/>
              </w:rPr>
            </w:pPr>
            <w:r>
              <w:rPr>
                <w:rFonts w:hint="eastAsia" w:ascii="Times New Roman" w:hAnsi="Times New Roman" w:eastAsia="宋体" w:cs="Times New Roman"/>
                <w:b/>
                <w:bCs/>
                <w:kern w:val="0"/>
                <w:sz w:val="24"/>
              </w:rPr>
              <w:t>1</w:t>
            </w:r>
            <w:r>
              <w:rPr>
                <w:rFonts w:ascii="Times New Roman" w:hAnsi="Times New Roman" w:eastAsia="宋体" w:cs="Times New Roman"/>
                <w:b/>
                <w:bCs/>
                <w:kern w:val="0"/>
                <w:sz w:val="24"/>
              </w:rPr>
              <w:t>、工程内容</w:t>
            </w:r>
          </w:p>
          <w:p>
            <w:pPr>
              <w:pStyle w:val="45"/>
              <w:snapToGrid w:val="0"/>
              <w:ind w:firstLine="480"/>
              <w:rPr>
                <w:rFonts w:ascii="Times New Roman" w:hAnsi="Times New Roman" w:cs="Times New Roman"/>
                <w:sz w:val="24"/>
                <w:szCs w:val="24"/>
              </w:rPr>
            </w:pPr>
            <w:r>
              <w:rPr>
                <w:rFonts w:hint="eastAsia" w:ascii="Times New Roman" w:hAnsi="Times New Roman" w:cs="Times New Roman"/>
                <w:sz w:val="24"/>
                <w:szCs w:val="24"/>
                <w:lang w:val="en-US" w:eastAsia="zh-CN"/>
              </w:rPr>
              <w:t>本项目为木兰皇家农业综合示范区蒸汽供给项目，承德富龙现代农业发展有限公司作为示范区集中供热站，为示范区内用汽企业提供蒸汽。项目主要新增一台40t/h循环流化床燃煤锅炉及配套设备为园区企业供汽，改造1台20t/h生物质锅炉，作为应急备用锅炉，同时对原有的锅炉房进行改造，将原有的生物质库改造成煤棚，改造原有渣库，新建破碎楼、灰仓及配套设施等。项目建成后，前期主要为园区内承德富龙现代农业发展有限公司和围场满族蒙古族自治县保承中药材种植有限公司提供蒸汽，后期如有其他用汽企业入驻需另行环评。</w:t>
            </w:r>
            <w:r>
              <w:rPr>
                <w:rFonts w:hint="eastAsia" w:ascii="Times New Roman" w:hAnsi="Times New Roman" w:cs="Times New Roman"/>
                <w:sz w:val="24"/>
                <w:szCs w:val="24"/>
              </w:rPr>
              <w:t>本项目主要建设内容详见下表：</w:t>
            </w:r>
          </w:p>
          <w:p>
            <w:pPr>
              <w:pStyle w:val="45"/>
              <w:snapToGrid w:val="0"/>
              <w:jc w:val="center"/>
              <w:rPr>
                <w:rFonts w:ascii="Times New Roman" w:hAnsi="Times New Roman" w:cs="Times New Roman"/>
                <w:b/>
                <w:bCs/>
                <w:sz w:val="21"/>
                <w:szCs w:val="21"/>
              </w:rPr>
            </w:pPr>
            <w:r>
              <w:rPr>
                <w:rFonts w:ascii="Times New Roman" w:hAnsi="Times New Roman" w:cs="Times New Roman"/>
                <w:b/>
                <w:bCs/>
                <w:sz w:val="21"/>
                <w:szCs w:val="21"/>
              </w:rPr>
              <w:t>表</w:t>
            </w:r>
            <w:r>
              <w:rPr>
                <w:rFonts w:hint="eastAsia" w:ascii="Times New Roman" w:hAnsi="Times New Roman" w:cs="Times New Roman"/>
                <w:b/>
                <w:bCs/>
                <w:sz w:val="21"/>
                <w:szCs w:val="21"/>
              </w:rPr>
              <w:t>2-1</w:t>
            </w:r>
            <w:r>
              <w:rPr>
                <w:rFonts w:ascii="Times New Roman" w:hAnsi="Times New Roman" w:cs="Times New Roman"/>
                <w:b/>
                <w:bCs/>
                <w:sz w:val="21"/>
                <w:szCs w:val="21"/>
              </w:rPr>
              <w:t xml:space="preserve">  主要建设内容一览表</w:t>
            </w:r>
          </w:p>
          <w:tbl>
            <w:tblPr>
              <w:tblStyle w:val="24"/>
              <w:tblW w:w="4983"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99"/>
              <w:gridCol w:w="885"/>
              <w:gridCol w:w="6021"/>
              <w:gridCol w:w="92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462" w:type="pct"/>
                  <w:shd w:val="clear" w:color="auto" w:fill="auto"/>
                  <w:tcMar>
                    <w:top w:w="0" w:type="dxa"/>
                    <w:left w:w="108" w:type="dxa"/>
                    <w:bottom w:w="0" w:type="dxa"/>
                    <w:right w:w="108" w:type="dxa"/>
                  </w:tcMar>
                  <w:vAlign w:val="center"/>
                </w:tcPr>
                <w:p>
                  <w:pPr>
                    <w:spacing w:line="0" w:lineRule="atLeast"/>
                    <w:jc w:val="center"/>
                    <w:rPr>
                      <w:rFonts w:ascii="Times New Roman" w:hAnsi="Times New Roman" w:cs="Times New Roman"/>
                      <w:b/>
                      <w:szCs w:val="21"/>
                    </w:rPr>
                  </w:pPr>
                  <w:r>
                    <w:rPr>
                      <w:rFonts w:ascii="Times New Roman" w:hAnsi="Times New Roman" w:cs="Times New Roman"/>
                      <w:b/>
                      <w:szCs w:val="21"/>
                    </w:rPr>
                    <w:t>工程类型</w:t>
                  </w:r>
                </w:p>
              </w:tc>
              <w:tc>
                <w:tcPr>
                  <w:tcW w:w="512" w:type="pct"/>
                  <w:shd w:val="clear" w:color="auto" w:fill="auto"/>
                  <w:tcMar>
                    <w:top w:w="0" w:type="dxa"/>
                    <w:left w:w="108" w:type="dxa"/>
                    <w:bottom w:w="0" w:type="dxa"/>
                    <w:right w:w="108" w:type="dxa"/>
                  </w:tcMar>
                  <w:vAlign w:val="center"/>
                </w:tcPr>
                <w:p>
                  <w:pPr>
                    <w:spacing w:line="0" w:lineRule="atLeast"/>
                    <w:jc w:val="center"/>
                    <w:rPr>
                      <w:rFonts w:ascii="Times New Roman" w:hAnsi="Times New Roman" w:cs="Times New Roman"/>
                      <w:b/>
                      <w:szCs w:val="21"/>
                    </w:rPr>
                  </w:pPr>
                  <w:r>
                    <w:rPr>
                      <w:rFonts w:ascii="Times New Roman" w:hAnsi="Times New Roman" w:cs="Times New Roman"/>
                      <w:b/>
                      <w:szCs w:val="21"/>
                    </w:rPr>
                    <w:t>名称</w:t>
                  </w:r>
                </w:p>
              </w:tc>
              <w:tc>
                <w:tcPr>
                  <w:tcW w:w="3487" w:type="pct"/>
                  <w:shd w:val="clear" w:color="auto" w:fill="auto"/>
                  <w:tcMar>
                    <w:top w:w="0" w:type="dxa"/>
                    <w:left w:w="108" w:type="dxa"/>
                    <w:bottom w:w="0" w:type="dxa"/>
                    <w:right w:w="108" w:type="dxa"/>
                  </w:tcMar>
                  <w:vAlign w:val="center"/>
                </w:tcPr>
                <w:p>
                  <w:pPr>
                    <w:spacing w:line="280" w:lineRule="exact"/>
                    <w:jc w:val="center"/>
                    <w:rPr>
                      <w:rFonts w:ascii="Times New Roman" w:hAnsi="Times New Roman" w:cs="Times New Roman"/>
                      <w:b/>
                      <w:szCs w:val="21"/>
                    </w:rPr>
                  </w:pPr>
                  <w:r>
                    <w:rPr>
                      <w:rFonts w:ascii="Times New Roman" w:hAnsi="Times New Roman" w:cs="Times New Roman"/>
                      <w:b/>
                      <w:szCs w:val="21"/>
                    </w:rPr>
                    <w:t>建设内容及规模</w:t>
                  </w:r>
                </w:p>
              </w:tc>
              <w:tc>
                <w:tcPr>
                  <w:tcW w:w="537" w:type="pct"/>
                  <w:shd w:val="clear" w:color="auto" w:fill="auto"/>
                  <w:tcMar>
                    <w:top w:w="0" w:type="dxa"/>
                    <w:left w:w="108" w:type="dxa"/>
                    <w:bottom w:w="0" w:type="dxa"/>
                    <w:right w:w="108" w:type="dxa"/>
                  </w:tcMar>
                  <w:vAlign w:val="center"/>
                </w:tcPr>
                <w:p>
                  <w:pPr>
                    <w:spacing w:line="280" w:lineRule="exact"/>
                    <w:jc w:val="center"/>
                    <w:rPr>
                      <w:rFonts w:hint="eastAsia" w:ascii="Times New Roman" w:hAnsi="Times New Roman" w:cs="Times New Roman" w:eastAsiaTheme="minorEastAsia"/>
                      <w:b/>
                      <w:szCs w:val="21"/>
                      <w:lang w:eastAsia="zh-CN"/>
                    </w:rPr>
                  </w:pPr>
                  <w:r>
                    <w:rPr>
                      <w:rFonts w:hint="eastAsia" w:ascii="Times New Roman" w:hAnsi="Times New Roman" w:cs="Times New Roman"/>
                      <w:b/>
                      <w:szCs w:val="21"/>
                      <w:lang w:eastAsia="zh-CN"/>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462" w:type="pct"/>
                  <w:vMerge w:val="restart"/>
                  <w:shd w:val="clear" w:color="auto" w:fill="auto"/>
                  <w:tcMar>
                    <w:top w:w="0" w:type="dxa"/>
                    <w:left w:w="108" w:type="dxa"/>
                    <w:bottom w:w="0" w:type="dxa"/>
                    <w:right w:w="108" w:type="dxa"/>
                  </w:tcMar>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主体工程</w:t>
                  </w:r>
                </w:p>
              </w:tc>
              <w:tc>
                <w:tcPr>
                  <w:tcW w:w="512" w:type="pct"/>
                  <w:shd w:val="clear" w:color="auto" w:fill="auto"/>
                  <w:tcMar>
                    <w:top w:w="0" w:type="dxa"/>
                    <w:left w:w="108" w:type="dxa"/>
                    <w:bottom w:w="0" w:type="dxa"/>
                    <w:right w:w="108" w:type="dxa"/>
                  </w:tcMar>
                  <w:vAlign w:val="center"/>
                </w:tcPr>
                <w:p>
                  <w:pPr>
                    <w:pStyle w:val="53"/>
                    <w:ind w:firstLine="0" w:firstLineChars="0"/>
                    <w:rPr>
                      <w:rFonts w:ascii="Times New Roman" w:hAnsi="Times New Roman" w:cs="Times New Roman"/>
                      <w:szCs w:val="21"/>
                    </w:rPr>
                  </w:pPr>
                  <w:r>
                    <w:rPr>
                      <w:rFonts w:hint="default" w:ascii="Times New Roman" w:hAnsi="Times New Roman" w:eastAsia="宋体" w:cs="Times New Roman"/>
                      <w:sz w:val="21"/>
                      <w:szCs w:val="21"/>
                      <w:lang w:val="en-US" w:eastAsia="zh-CN"/>
                    </w:rPr>
                    <w:t>锅炉房</w:t>
                  </w:r>
                </w:p>
              </w:tc>
              <w:tc>
                <w:tcPr>
                  <w:tcW w:w="3487" w:type="pct"/>
                  <w:shd w:val="clear" w:color="auto" w:fill="auto"/>
                  <w:tcMar>
                    <w:top w:w="0" w:type="dxa"/>
                    <w:left w:w="108" w:type="dxa"/>
                    <w:bottom w:w="0" w:type="dxa"/>
                    <w:right w:w="108" w:type="dxa"/>
                  </w:tcMar>
                  <w:vAlign w:val="center"/>
                </w:tcPr>
                <w:p>
                  <w:pPr>
                    <w:pStyle w:val="53"/>
                    <w:ind w:firstLine="0" w:firstLineChars="0"/>
                    <w:rPr>
                      <w:rFonts w:ascii="Times New Roman" w:hAnsi="Times New Roman" w:cs="Times New Roman"/>
                      <w:szCs w:val="21"/>
                      <w:u w:val="none"/>
                    </w:rPr>
                  </w:pPr>
                  <w:r>
                    <w:rPr>
                      <w:rFonts w:hint="default" w:ascii="Times New Roman" w:hAnsi="Times New Roman" w:eastAsia="宋体" w:cs="Times New Roman"/>
                      <w:color w:val="auto"/>
                      <w:sz w:val="21"/>
                      <w:szCs w:val="21"/>
                      <w:u w:val="none"/>
                      <w:lang w:val="en-US" w:eastAsia="zh-CN"/>
                    </w:rPr>
                    <w:t>1座，占地面积为</w:t>
                  </w:r>
                  <w:r>
                    <w:rPr>
                      <w:rFonts w:hint="eastAsia" w:eastAsia="宋体" w:cs="Times New Roman"/>
                      <w:color w:val="auto"/>
                      <w:sz w:val="21"/>
                      <w:szCs w:val="21"/>
                      <w:u w:val="none"/>
                      <w:lang w:val="en-US" w:eastAsia="zh-CN"/>
                    </w:rPr>
                    <w:t>1000</w:t>
                  </w:r>
                  <w:r>
                    <w:rPr>
                      <w:rFonts w:hint="eastAsia" w:ascii="Times New Roman" w:hAnsi="Times New Roman" w:eastAsia="宋体" w:cs="Times New Roman"/>
                      <w:color w:val="auto"/>
                      <w:sz w:val="21"/>
                      <w:szCs w:val="21"/>
                      <w:u w:val="none"/>
                      <w:lang w:val="en-US" w:eastAsia="zh-CN"/>
                    </w:rPr>
                    <w:t xml:space="preserve"> </w:t>
                  </w:r>
                  <w:r>
                    <w:rPr>
                      <w:rFonts w:hint="default" w:ascii="Times New Roman" w:hAnsi="Times New Roman" w:eastAsia="宋体" w:cs="Times New Roman"/>
                      <w:color w:val="auto"/>
                      <w:sz w:val="21"/>
                      <w:szCs w:val="21"/>
                      <w:u w:val="none"/>
                      <w:lang w:val="en-US" w:eastAsia="zh-CN"/>
                    </w:rPr>
                    <w:t>m</w:t>
                  </w:r>
                  <w:r>
                    <w:rPr>
                      <w:rFonts w:hint="default" w:ascii="Times New Roman" w:hAnsi="Times New Roman" w:eastAsia="宋体" w:cs="Times New Roman"/>
                      <w:color w:val="auto"/>
                      <w:sz w:val="21"/>
                      <w:szCs w:val="21"/>
                      <w:u w:val="none"/>
                      <w:vertAlign w:val="superscript"/>
                      <w:lang w:val="en-US" w:eastAsia="zh-CN"/>
                    </w:rPr>
                    <w:t>2</w:t>
                  </w:r>
                  <w:r>
                    <w:rPr>
                      <w:rFonts w:hint="default" w:ascii="Times New Roman" w:hAnsi="Times New Roman" w:eastAsia="宋体" w:cs="Times New Roman"/>
                      <w:color w:val="auto"/>
                      <w:sz w:val="21"/>
                      <w:szCs w:val="21"/>
                      <w:u w:val="none"/>
                      <w:lang w:val="en-US" w:eastAsia="zh-CN"/>
                    </w:rPr>
                    <w:t>，位于厂区东南侧</w:t>
                  </w: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w:t>
                  </w:r>
                </w:p>
              </w:tc>
              <w:tc>
                <w:tcPr>
                  <w:tcW w:w="537" w:type="pct"/>
                  <w:shd w:val="clear" w:color="auto" w:fill="auto"/>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改造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462" w:type="pct"/>
                  <w:vMerge w:val="continue"/>
                  <w:shd w:val="clear" w:color="auto" w:fill="auto"/>
                  <w:tcMar>
                    <w:top w:w="0" w:type="dxa"/>
                    <w:left w:w="108" w:type="dxa"/>
                    <w:bottom w:w="0" w:type="dxa"/>
                    <w:right w:w="108" w:type="dxa"/>
                  </w:tcMar>
                  <w:vAlign w:val="center"/>
                </w:tcPr>
                <w:p>
                  <w:pPr>
                    <w:spacing w:line="0" w:lineRule="atLeast"/>
                    <w:jc w:val="center"/>
                    <w:rPr>
                      <w:rFonts w:ascii="Times New Roman" w:hAnsi="Times New Roman" w:cs="Times New Roman"/>
                      <w:szCs w:val="21"/>
                    </w:rPr>
                  </w:pPr>
                </w:p>
              </w:tc>
              <w:tc>
                <w:tcPr>
                  <w:tcW w:w="512" w:type="pct"/>
                  <w:shd w:val="clear" w:color="auto" w:fill="auto"/>
                  <w:tcMar>
                    <w:top w:w="0" w:type="dxa"/>
                    <w:left w:w="108" w:type="dxa"/>
                    <w:bottom w:w="0" w:type="dxa"/>
                    <w:right w:w="108" w:type="dxa"/>
                  </w:tcMar>
                  <w:vAlign w:val="center"/>
                </w:tcPr>
                <w:p>
                  <w:pPr>
                    <w:pStyle w:val="53"/>
                    <w:ind w:firstLine="0" w:firstLineChars="0"/>
                    <w:rPr>
                      <w:rFonts w:hint="default" w:ascii="Times New Roman" w:hAnsi="Times New Roman" w:eastAsia="宋体" w:cs="Times New Roman"/>
                      <w:kern w:val="2"/>
                      <w:sz w:val="21"/>
                      <w:szCs w:val="21"/>
                      <w:lang w:val="en-US" w:eastAsia="zh-CN" w:bidi="ar-SA"/>
                    </w:rPr>
                  </w:pPr>
                  <w:r>
                    <w:rPr>
                      <w:rFonts w:hint="eastAsia" w:eastAsia="宋体" w:cs="Times New Roman"/>
                      <w:sz w:val="21"/>
                      <w:szCs w:val="21"/>
                      <w:lang w:val="en-US" w:eastAsia="zh-CN"/>
                    </w:rPr>
                    <w:t>破碎楼</w:t>
                  </w:r>
                </w:p>
              </w:tc>
              <w:tc>
                <w:tcPr>
                  <w:tcW w:w="3487" w:type="pct"/>
                  <w:shd w:val="clear" w:color="auto" w:fill="auto"/>
                  <w:tcMar>
                    <w:top w:w="0" w:type="dxa"/>
                    <w:left w:w="108" w:type="dxa"/>
                    <w:bottom w:w="0" w:type="dxa"/>
                    <w:right w:w="108" w:type="dxa"/>
                  </w:tcMar>
                  <w:vAlign w:val="center"/>
                </w:tcPr>
                <w:p>
                  <w:pPr>
                    <w:pStyle w:val="53"/>
                    <w:ind w:firstLine="0" w:firstLineChars="0"/>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1</w:t>
                  </w: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座</w:t>
                  </w: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，占地面积为</w:t>
                  </w:r>
                  <w:r>
                    <w:rPr>
                      <w:rFonts w:hint="eastAsia" w:eastAsia="宋体" w:cs="Times New Roman"/>
                      <w:color w:val="000000" w:themeColor="text1"/>
                      <w:sz w:val="21"/>
                      <w:szCs w:val="21"/>
                      <w:u w:val="none"/>
                      <w:lang w:val="en-US" w:eastAsia="zh-CN"/>
                      <w14:textFill>
                        <w14:solidFill>
                          <w14:schemeClr w14:val="tx1"/>
                        </w14:solidFill>
                      </w14:textFill>
                    </w:rPr>
                    <w:t>43</w:t>
                  </w: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u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，用于</w:t>
                  </w:r>
                  <w:r>
                    <w:rPr>
                      <w:rFonts w:hint="eastAsia" w:eastAsia="宋体" w:cs="Times New Roman"/>
                      <w:color w:val="000000" w:themeColor="text1"/>
                      <w:sz w:val="21"/>
                      <w:szCs w:val="21"/>
                      <w:u w:val="none"/>
                      <w:lang w:val="en-US" w:eastAsia="zh-CN"/>
                      <w14:textFill>
                        <w14:solidFill>
                          <w14:schemeClr w14:val="tx1"/>
                        </w14:solidFill>
                      </w14:textFill>
                    </w:rPr>
                    <w:t>标煤破碎</w:t>
                  </w:r>
                </w:p>
              </w:tc>
              <w:tc>
                <w:tcPr>
                  <w:tcW w:w="537" w:type="pct"/>
                  <w:shd w:val="clear" w:color="auto" w:fill="auto"/>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Cs w:val="21"/>
                      <w:lang w:eastAsia="zh-CN"/>
                    </w:rPr>
                    <w:t>新建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462" w:type="pct"/>
                  <w:vMerge w:val="restart"/>
                  <w:shd w:val="clear" w:color="auto" w:fill="auto"/>
                  <w:tcMar>
                    <w:top w:w="0" w:type="dxa"/>
                    <w:left w:w="108" w:type="dxa"/>
                    <w:bottom w:w="0" w:type="dxa"/>
                    <w:right w:w="108" w:type="dxa"/>
                  </w:tcMar>
                  <w:vAlign w:val="center"/>
                </w:tcPr>
                <w:p>
                  <w:pPr>
                    <w:spacing w:line="0" w:lineRule="atLeast"/>
                    <w:jc w:val="center"/>
                    <w:rPr>
                      <w:rFonts w:ascii="Times New Roman" w:hAnsi="Times New Roman" w:eastAsia="宋体" w:cs="Times New Roman"/>
                      <w:szCs w:val="21"/>
                    </w:rPr>
                  </w:pPr>
                  <w:r>
                    <w:rPr>
                      <w:rFonts w:hint="eastAsia" w:ascii="Times New Roman" w:hAnsi="Times New Roman" w:cs="Times New Roman"/>
                      <w:szCs w:val="21"/>
                      <w:lang w:eastAsia="zh-CN"/>
                    </w:rPr>
                    <w:t>储存</w:t>
                  </w:r>
                  <w:r>
                    <w:rPr>
                      <w:rFonts w:ascii="Times New Roman" w:hAnsi="Times New Roman" w:cs="Times New Roman"/>
                      <w:szCs w:val="21"/>
                    </w:rPr>
                    <w:t>工程</w:t>
                  </w:r>
                </w:p>
              </w:tc>
              <w:tc>
                <w:tcPr>
                  <w:tcW w:w="512" w:type="pct"/>
                  <w:shd w:val="clear" w:color="auto" w:fill="auto"/>
                  <w:tcMar>
                    <w:top w:w="0" w:type="dxa"/>
                    <w:left w:w="108" w:type="dxa"/>
                    <w:bottom w:w="0" w:type="dxa"/>
                    <w:right w:w="108" w:type="dxa"/>
                  </w:tcMar>
                  <w:vAlign w:val="center"/>
                </w:tcPr>
                <w:p>
                  <w:pPr>
                    <w:pStyle w:val="53"/>
                    <w:ind w:firstLine="0" w:firstLineChars="0"/>
                    <w:rPr>
                      <w:rFonts w:hint="eastAsia" w:ascii="Times New Roman" w:hAnsi="Times New Roman" w:eastAsia="宋体" w:cs="Times New Roman"/>
                      <w:szCs w:val="21"/>
                      <w:lang w:eastAsia="zh-CN"/>
                    </w:rPr>
                  </w:pPr>
                  <w:r>
                    <w:rPr>
                      <w:rFonts w:hint="default" w:ascii="Times New Roman" w:hAnsi="Times New Roman" w:eastAsia="宋体" w:cs="Times New Roman"/>
                      <w:sz w:val="21"/>
                      <w:szCs w:val="21"/>
                    </w:rPr>
                    <w:t>煤</w:t>
                  </w:r>
                  <w:r>
                    <w:rPr>
                      <w:rFonts w:hint="eastAsia" w:ascii="Times New Roman" w:hAnsi="Times New Roman" w:eastAsia="宋体" w:cs="Times New Roman"/>
                      <w:sz w:val="21"/>
                      <w:szCs w:val="21"/>
                      <w:lang w:eastAsia="zh-CN"/>
                    </w:rPr>
                    <w:t>棚</w:t>
                  </w:r>
                </w:p>
              </w:tc>
              <w:tc>
                <w:tcPr>
                  <w:tcW w:w="3487" w:type="pct"/>
                  <w:shd w:val="clear" w:color="auto" w:fill="auto"/>
                  <w:tcMar>
                    <w:top w:w="0" w:type="dxa"/>
                    <w:left w:w="108" w:type="dxa"/>
                    <w:bottom w:w="0" w:type="dxa"/>
                    <w:right w:w="108" w:type="dxa"/>
                  </w:tcMar>
                  <w:vAlign w:val="center"/>
                </w:tcPr>
                <w:p>
                  <w:pPr>
                    <w:pStyle w:val="53"/>
                    <w:ind w:firstLine="0" w:firstLineChars="0"/>
                    <w:rPr>
                      <w:rFonts w:ascii="Times New Roman" w:hAnsi="Times New Roman" w:cs="Times New Roman"/>
                      <w:szCs w:val="21"/>
                      <w:u w:val="none"/>
                    </w:rPr>
                  </w:pPr>
                  <w:r>
                    <w:rPr>
                      <w:rFonts w:hint="default" w:ascii="Times New Roman" w:hAnsi="Times New Roman" w:eastAsia="宋体" w:cs="Times New Roman"/>
                      <w:color w:val="auto"/>
                      <w:sz w:val="21"/>
                      <w:szCs w:val="21"/>
                      <w:u w:val="none"/>
                      <w:lang w:val="en-US" w:eastAsia="zh-CN"/>
                    </w:rPr>
                    <w:t>1</w:t>
                  </w:r>
                  <w:r>
                    <w:rPr>
                      <w:rFonts w:hint="eastAsia" w:ascii="Times New Roman" w:hAnsi="Times New Roman" w:eastAsia="宋体" w:cs="Times New Roman"/>
                      <w:color w:val="auto"/>
                      <w:sz w:val="21"/>
                      <w:szCs w:val="21"/>
                      <w:u w:val="none"/>
                      <w:lang w:val="en-US" w:eastAsia="zh-CN"/>
                    </w:rPr>
                    <w:t>座</w:t>
                  </w:r>
                  <w:r>
                    <w:rPr>
                      <w:rFonts w:hint="default" w:ascii="Times New Roman" w:hAnsi="Times New Roman" w:eastAsia="宋体" w:cs="Times New Roman"/>
                      <w:color w:val="auto"/>
                      <w:sz w:val="21"/>
                      <w:szCs w:val="21"/>
                      <w:u w:val="none"/>
                      <w:lang w:val="en-US" w:eastAsia="zh-CN"/>
                    </w:rPr>
                    <w:t>，占地面积为</w:t>
                  </w:r>
                  <w:r>
                    <w:rPr>
                      <w:rFonts w:hint="eastAsia" w:eastAsia="宋体" w:cs="Times New Roman"/>
                      <w:color w:val="auto"/>
                      <w:sz w:val="21"/>
                      <w:szCs w:val="21"/>
                      <w:u w:val="none"/>
                      <w:lang w:val="en-US" w:eastAsia="zh-CN"/>
                    </w:rPr>
                    <w:t>2000</w:t>
                  </w:r>
                  <w:r>
                    <w:rPr>
                      <w:rFonts w:hint="default" w:ascii="Times New Roman" w:hAnsi="Times New Roman" w:eastAsia="宋体" w:cs="Times New Roman"/>
                      <w:color w:val="auto"/>
                      <w:sz w:val="21"/>
                      <w:szCs w:val="21"/>
                      <w:u w:val="none"/>
                      <w:lang w:val="en-US" w:eastAsia="zh-CN"/>
                    </w:rPr>
                    <w:t>m</w:t>
                  </w:r>
                  <w:r>
                    <w:rPr>
                      <w:rFonts w:hint="default" w:ascii="Times New Roman" w:hAnsi="Times New Roman" w:eastAsia="宋体" w:cs="Times New Roman"/>
                      <w:color w:val="auto"/>
                      <w:sz w:val="21"/>
                      <w:szCs w:val="21"/>
                      <w:u w:val="none"/>
                      <w:vertAlign w:val="superscript"/>
                      <w:lang w:val="en-US" w:eastAsia="zh-CN"/>
                    </w:rPr>
                    <w:t>2</w:t>
                  </w:r>
                  <w:r>
                    <w:rPr>
                      <w:rFonts w:hint="default" w:ascii="Times New Roman" w:hAnsi="Times New Roman" w:eastAsia="宋体" w:cs="Times New Roman"/>
                      <w:color w:val="auto"/>
                      <w:sz w:val="21"/>
                      <w:szCs w:val="21"/>
                      <w:u w:val="none"/>
                      <w:lang w:val="en-US" w:eastAsia="zh-CN"/>
                    </w:rPr>
                    <w:t>，位于锅炉房西侧，用于煤储存。</w:t>
                  </w:r>
                </w:p>
              </w:tc>
              <w:tc>
                <w:tcPr>
                  <w:tcW w:w="537" w:type="pct"/>
                  <w:shd w:val="clear" w:color="auto" w:fill="auto"/>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改造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462" w:type="pct"/>
                  <w:vMerge w:val="continue"/>
                  <w:shd w:val="clear" w:color="auto" w:fill="auto"/>
                  <w:tcMar>
                    <w:top w:w="0" w:type="dxa"/>
                    <w:left w:w="108" w:type="dxa"/>
                    <w:bottom w:w="0" w:type="dxa"/>
                    <w:right w:w="108" w:type="dxa"/>
                  </w:tcMar>
                  <w:vAlign w:val="center"/>
                </w:tcPr>
                <w:p>
                  <w:pPr>
                    <w:spacing w:line="0" w:lineRule="atLeast"/>
                    <w:jc w:val="center"/>
                    <w:rPr>
                      <w:rFonts w:ascii="Times New Roman" w:hAnsi="Times New Roman" w:cs="Times New Roman"/>
                      <w:szCs w:val="21"/>
                    </w:rPr>
                  </w:pPr>
                </w:p>
              </w:tc>
              <w:tc>
                <w:tcPr>
                  <w:tcW w:w="512" w:type="pct"/>
                  <w:tcBorders>
                    <w:bottom w:val="single" w:color="auto" w:sz="4" w:space="0"/>
                  </w:tcBorders>
                  <w:shd w:val="clear" w:color="auto" w:fill="auto"/>
                  <w:tcMar>
                    <w:top w:w="0" w:type="dxa"/>
                    <w:left w:w="108" w:type="dxa"/>
                    <w:bottom w:w="0" w:type="dxa"/>
                    <w:right w:w="108" w:type="dxa"/>
                  </w:tcMar>
                  <w:vAlign w:val="center"/>
                </w:tcPr>
                <w:p>
                  <w:pPr>
                    <w:pStyle w:val="53"/>
                    <w:ind w:firstLine="0" w:firstLineChars="0"/>
                    <w:rPr>
                      <w:rFonts w:hint="eastAsia" w:ascii="Times New Roman" w:hAnsi="Times New Roman" w:cs="Times New Roman"/>
                      <w:kern w:val="44"/>
                      <w:szCs w:val="21"/>
                    </w:rPr>
                  </w:pPr>
                  <w:r>
                    <w:rPr>
                      <w:rFonts w:hint="default" w:ascii="Times New Roman" w:hAnsi="Times New Roman" w:eastAsia="宋体" w:cs="Times New Roman"/>
                      <w:sz w:val="21"/>
                      <w:szCs w:val="21"/>
                      <w:lang w:val="en-US" w:eastAsia="zh-CN"/>
                    </w:rPr>
                    <w:t>渣库</w:t>
                  </w:r>
                </w:p>
              </w:tc>
              <w:tc>
                <w:tcPr>
                  <w:tcW w:w="3487" w:type="pct"/>
                  <w:tcBorders>
                    <w:bottom w:val="single" w:color="auto" w:sz="4" w:space="0"/>
                  </w:tcBorders>
                  <w:shd w:val="clear" w:color="auto" w:fill="auto"/>
                  <w:tcMar>
                    <w:top w:w="0" w:type="dxa"/>
                    <w:left w:w="108" w:type="dxa"/>
                    <w:bottom w:w="0" w:type="dxa"/>
                    <w:right w:w="108" w:type="dxa"/>
                  </w:tcMar>
                  <w:vAlign w:val="center"/>
                </w:tcPr>
                <w:p>
                  <w:pPr>
                    <w:pStyle w:val="53"/>
                    <w:ind w:firstLine="0" w:firstLineChars="0"/>
                    <w:rPr>
                      <w:rFonts w:hint="eastAsia" w:ascii="Times New Roman" w:hAnsi="Times New Roman" w:cs="Times New Roman"/>
                      <w:szCs w:val="21"/>
                      <w:u w:val="none"/>
                    </w:rPr>
                  </w:pPr>
                  <w:r>
                    <w:rPr>
                      <w:rFonts w:hint="default" w:ascii="Times New Roman" w:hAnsi="Times New Roman" w:eastAsia="宋体" w:cs="Times New Roman"/>
                      <w:color w:val="auto"/>
                      <w:sz w:val="21"/>
                      <w:szCs w:val="21"/>
                      <w:u w:val="none"/>
                      <w:lang w:val="en-US" w:eastAsia="zh-CN"/>
                    </w:rPr>
                    <w:t>1</w:t>
                  </w:r>
                  <w:r>
                    <w:rPr>
                      <w:rFonts w:hint="eastAsia" w:ascii="Times New Roman" w:hAnsi="Times New Roman" w:eastAsia="宋体" w:cs="Times New Roman"/>
                      <w:color w:val="auto"/>
                      <w:sz w:val="21"/>
                      <w:szCs w:val="21"/>
                      <w:u w:val="none"/>
                      <w:lang w:val="en-US" w:eastAsia="zh-CN"/>
                    </w:rPr>
                    <w:t>座</w:t>
                  </w:r>
                  <w:r>
                    <w:rPr>
                      <w:rFonts w:hint="default" w:ascii="Times New Roman" w:hAnsi="Times New Roman" w:eastAsia="宋体" w:cs="Times New Roman"/>
                      <w:color w:val="auto"/>
                      <w:sz w:val="21"/>
                      <w:szCs w:val="21"/>
                      <w:u w:val="none"/>
                      <w:lang w:val="en-US" w:eastAsia="zh-CN"/>
                    </w:rPr>
                    <w:t>，占地面积为</w:t>
                  </w:r>
                  <w:r>
                    <w:rPr>
                      <w:rFonts w:hint="eastAsia" w:eastAsia="宋体" w:cs="Times New Roman"/>
                      <w:color w:val="auto"/>
                      <w:sz w:val="21"/>
                      <w:szCs w:val="21"/>
                      <w:u w:val="none"/>
                      <w:lang w:val="en-US" w:eastAsia="zh-CN"/>
                    </w:rPr>
                    <w:t>42</w:t>
                  </w:r>
                  <w:r>
                    <w:rPr>
                      <w:rFonts w:hint="default" w:ascii="Times New Roman" w:hAnsi="Times New Roman" w:eastAsia="宋体" w:cs="Times New Roman"/>
                      <w:color w:val="auto"/>
                      <w:sz w:val="21"/>
                      <w:szCs w:val="21"/>
                      <w:u w:val="none"/>
                      <w:lang w:val="en-US" w:eastAsia="zh-CN"/>
                    </w:rPr>
                    <w:t>m</w:t>
                  </w:r>
                  <w:r>
                    <w:rPr>
                      <w:rFonts w:hint="default" w:ascii="Times New Roman" w:hAnsi="Times New Roman" w:eastAsia="宋体" w:cs="Times New Roman"/>
                      <w:color w:val="auto"/>
                      <w:sz w:val="21"/>
                      <w:szCs w:val="21"/>
                      <w:u w:val="none"/>
                      <w:vertAlign w:val="superscript"/>
                      <w:lang w:val="en-US" w:eastAsia="zh-CN"/>
                    </w:rPr>
                    <w:t>2</w:t>
                  </w:r>
                  <w:r>
                    <w:rPr>
                      <w:rFonts w:hint="default" w:ascii="Times New Roman" w:hAnsi="Times New Roman" w:eastAsia="宋体" w:cs="Times New Roman"/>
                      <w:color w:val="auto"/>
                      <w:sz w:val="21"/>
                      <w:szCs w:val="21"/>
                      <w:u w:val="none"/>
                      <w:lang w:val="en-US" w:eastAsia="zh-CN"/>
                    </w:rPr>
                    <w:t>，用于</w:t>
                  </w:r>
                  <w:r>
                    <w:rPr>
                      <w:rFonts w:hint="eastAsia" w:eastAsia="宋体" w:cs="Times New Roman"/>
                      <w:color w:val="auto"/>
                      <w:sz w:val="21"/>
                      <w:szCs w:val="21"/>
                      <w:u w:val="none"/>
                      <w:lang w:val="en-US" w:eastAsia="zh-CN"/>
                    </w:rPr>
                    <w:t>炉</w:t>
                  </w:r>
                  <w:r>
                    <w:rPr>
                      <w:rFonts w:hint="default" w:ascii="Times New Roman" w:hAnsi="Times New Roman" w:eastAsia="宋体" w:cs="Times New Roman"/>
                      <w:color w:val="auto"/>
                      <w:sz w:val="21"/>
                      <w:szCs w:val="21"/>
                      <w:u w:val="none"/>
                      <w:lang w:val="en-US" w:eastAsia="zh-CN"/>
                    </w:rPr>
                    <w:t>渣储存</w:t>
                  </w:r>
                </w:p>
              </w:tc>
              <w:tc>
                <w:tcPr>
                  <w:tcW w:w="537" w:type="pct"/>
                  <w:shd w:val="clear" w:color="auto" w:fill="auto"/>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Cs w:val="21"/>
                      <w:lang w:eastAsia="zh-CN"/>
                    </w:rPr>
                  </w:pPr>
                  <w:r>
                    <w:rPr>
                      <w:rFonts w:hint="eastAsia" w:ascii="宋体" w:hAnsi="宋体" w:eastAsia="宋体" w:cs="宋体"/>
                      <w:szCs w:val="21"/>
                      <w:lang w:eastAsia="zh-CN"/>
                    </w:rPr>
                    <w:t>改造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462" w:type="pct"/>
                  <w:vMerge w:val="continue"/>
                  <w:shd w:val="clear" w:color="auto" w:fill="auto"/>
                  <w:tcMar>
                    <w:top w:w="0" w:type="dxa"/>
                    <w:left w:w="108" w:type="dxa"/>
                    <w:bottom w:w="0" w:type="dxa"/>
                    <w:right w:w="108" w:type="dxa"/>
                  </w:tcMar>
                  <w:vAlign w:val="center"/>
                </w:tcPr>
                <w:p>
                  <w:pPr>
                    <w:spacing w:line="0" w:lineRule="atLeast"/>
                    <w:jc w:val="center"/>
                    <w:rPr>
                      <w:rFonts w:ascii="Times New Roman" w:hAnsi="Times New Roman" w:cs="Times New Roman"/>
                      <w:szCs w:val="21"/>
                    </w:rPr>
                  </w:pPr>
                </w:p>
              </w:tc>
              <w:tc>
                <w:tcPr>
                  <w:tcW w:w="512" w:type="pct"/>
                  <w:tcBorders>
                    <w:top w:val="single" w:color="auto" w:sz="4" w:space="0"/>
                  </w:tcBorders>
                  <w:shd w:val="clear" w:color="auto" w:fill="auto"/>
                  <w:tcMar>
                    <w:top w:w="0" w:type="dxa"/>
                    <w:left w:w="108" w:type="dxa"/>
                    <w:bottom w:w="0" w:type="dxa"/>
                    <w:right w:w="108" w:type="dxa"/>
                  </w:tcMar>
                  <w:vAlign w:val="center"/>
                </w:tcPr>
                <w:p>
                  <w:pPr>
                    <w:pStyle w:val="53"/>
                    <w:ind w:firstLine="0" w:firstLineChars="0"/>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灰仓</w:t>
                  </w:r>
                </w:p>
              </w:tc>
              <w:tc>
                <w:tcPr>
                  <w:tcW w:w="3487" w:type="pct"/>
                  <w:tcBorders>
                    <w:top w:val="single" w:color="auto" w:sz="4" w:space="0"/>
                  </w:tcBorders>
                  <w:shd w:val="clear" w:color="auto" w:fill="auto"/>
                  <w:tcMar>
                    <w:top w:w="0" w:type="dxa"/>
                    <w:left w:w="108" w:type="dxa"/>
                    <w:bottom w:w="0" w:type="dxa"/>
                    <w:right w:w="108" w:type="dxa"/>
                  </w:tcMar>
                  <w:vAlign w:val="center"/>
                </w:tcPr>
                <w:p>
                  <w:pPr>
                    <w:pStyle w:val="53"/>
                    <w:ind w:firstLine="0" w:firstLineChars="0"/>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1</w:t>
                  </w:r>
                  <w:r>
                    <w:rPr>
                      <w:rFonts w:hint="eastAsia" w:ascii="Times New Roman" w:hAnsi="Times New Roman" w:eastAsia="宋体" w:cs="Times New Roman"/>
                      <w:color w:val="auto"/>
                      <w:sz w:val="21"/>
                      <w:szCs w:val="21"/>
                      <w:u w:val="none"/>
                      <w:lang w:val="en-US" w:eastAsia="zh-CN"/>
                    </w:rPr>
                    <w:t>座</w:t>
                  </w:r>
                  <w:r>
                    <w:rPr>
                      <w:rFonts w:hint="default" w:ascii="Times New Roman" w:hAnsi="Times New Roman" w:eastAsia="宋体" w:cs="Times New Roman"/>
                      <w:color w:val="auto"/>
                      <w:sz w:val="21"/>
                      <w:szCs w:val="21"/>
                      <w:u w:val="none"/>
                      <w:lang w:val="en-US" w:eastAsia="zh-CN"/>
                    </w:rPr>
                    <w:t>，占地面积为</w:t>
                  </w:r>
                  <w:r>
                    <w:rPr>
                      <w:rFonts w:hint="eastAsia" w:eastAsia="宋体" w:cs="Times New Roman"/>
                      <w:color w:val="auto"/>
                      <w:sz w:val="21"/>
                      <w:szCs w:val="21"/>
                      <w:u w:val="none"/>
                      <w:lang w:val="en-US" w:eastAsia="zh-CN"/>
                    </w:rPr>
                    <w:t>48</w:t>
                  </w:r>
                  <w:r>
                    <w:rPr>
                      <w:rFonts w:hint="default" w:ascii="Times New Roman" w:hAnsi="Times New Roman" w:eastAsia="宋体" w:cs="Times New Roman"/>
                      <w:color w:val="auto"/>
                      <w:sz w:val="21"/>
                      <w:szCs w:val="21"/>
                      <w:u w:val="none"/>
                      <w:lang w:val="en-US" w:eastAsia="zh-CN"/>
                    </w:rPr>
                    <w:t>m</w:t>
                  </w:r>
                  <w:r>
                    <w:rPr>
                      <w:rFonts w:hint="default" w:ascii="Times New Roman" w:hAnsi="Times New Roman" w:eastAsia="宋体" w:cs="Times New Roman"/>
                      <w:color w:val="auto"/>
                      <w:sz w:val="21"/>
                      <w:szCs w:val="21"/>
                      <w:u w:val="none"/>
                      <w:vertAlign w:val="superscript"/>
                      <w:lang w:val="en-US" w:eastAsia="zh-CN"/>
                    </w:rPr>
                    <w:t>2</w:t>
                  </w:r>
                  <w:r>
                    <w:rPr>
                      <w:rFonts w:hint="default" w:ascii="Times New Roman" w:hAnsi="Times New Roman" w:eastAsia="宋体" w:cs="Times New Roman"/>
                      <w:color w:val="auto"/>
                      <w:sz w:val="21"/>
                      <w:szCs w:val="21"/>
                      <w:u w:val="none"/>
                      <w:lang w:val="en-US" w:eastAsia="zh-CN"/>
                    </w:rPr>
                    <w:t>，用于</w:t>
                  </w:r>
                  <w:r>
                    <w:rPr>
                      <w:rFonts w:hint="eastAsia" w:eastAsia="宋体" w:cs="Times New Roman"/>
                      <w:color w:val="auto"/>
                      <w:sz w:val="21"/>
                      <w:szCs w:val="21"/>
                      <w:u w:val="none"/>
                      <w:lang w:val="en-US" w:eastAsia="zh-CN"/>
                    </w:rPr>
                    <w:t>炉灰</w:t>
                  </w:r>
                  <w:r>
                    <w:rPr>
                      <w:rFonts w:hint="default" w:ascii="Times New Roman" w:hAnsi="Times New Roman" w:eastAsia="宋体" w:cs="Times New Roman"/>
                      <w:color w:val="auto"/>
                      <w:sz w:val="21"/>
                      <w:szCs w:val="21"/>
                      <w:u w:val="none"/>
                      <w:lang w:val="en-US" w:eastAsia="zh-CN"/>
                    </w:rPr>
                    <w:t>储存</w:t>
                  </w:r>
                </w:p>
              </w:tc>
              <w:tc>
                <w:tcPr>
                  <w:tcW w:w="537" w:type="pct"/>
                  <w:shd w:val="clear" w:color="auto" w:fill="auto"/>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Cs w:val="21"/>
                    </w:rPr>
                  </w:pPr>
                  <w:r>
                    <w:rPr>
                      <w:rFonts w:hint="eastAsia" w:ascii="宋体" w:hAnsi="宋体" w:eastAsia="宋体" w:cs="宋体"/>
                      <w:szCs w:val="21"/>
                      <w:lang w:eastAsia="zh-CN"/>
                    </w:rPr>
                    <w:t>新建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462" w:type="pct"/>
                  <w:vMerge w:val="restart"/>
                  <w:shd w:val="clear" w:color="auto" w:fill="auto"/>
                  <w:tcMar>
                    <w:top w:w="0" w:type="dxa"/>
                    <w:left w:w="108" w:type="dxa"/>
                    <w:bottom w:w="0" w:type="dxa"/>
                    <w:right w:w="108" w:type="dxa"/>
                  </w:tcMar>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公用工程</w:t>
                  </w:r>
                </w:p>
              </w:tc>
              <w:tc>
                <w:tcPr>
                  <w:tcW w:w="512" w:type="pct"/>
                  <w:shd w:val="clear" w:color="auto" w:fill="auto"/>
                  <w:tcMar>
                    <w:top w:w="0" w:type="dxa"/>
                    <w:left w:w="108" w:type="dxa"/>
                    <w:bottom w:w="0" w:type="dxa"/>
                    <w:right w:w="108" w:type="dxa"/>
                  </w:tcMar>
                  <w:vAlign w:val="center"/>
                </w:tcPr>
                <w:p>
                  <w:pPr>
                    <w:pStyle w:val="53"/>
                    <w:ind w:firstLine="0" w:firstLineChars="0"/>
                    <w:rPr>
                      <w:rFonts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给水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工程</w:t>
                  </w:r>
                </w:p>
              </w:tc>
              <w:tc>
                <w:tcPr>
                  <w:tcW w:w="3487" w:type="pct"/>
                  <w:shd w:val="clear" w:color="auto" w:fill="auto"/>
                  <w:tcMar>
                    <w:top w:w="0" w:type="dxa"/>
                    <w:left w:w="108" w:type="dxa"/>
                    <w:bottom w:w="0" w:type="dxa"/>
                    <w:right w:w="108" w:type="dxa"/>
                  </w:tcMar>
                  <w:vAlign w:val="center"/>
                </w:tcPr>
                <w:p>
                  <w:pPr>
                    <w:widowControl/>
                    <w:snapToGrid w:val="0"/>
                    <w:jc w:val="center"/>
                    <w:rPr>
                      <w:rFonts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b w:val="0"/>
                      <w:bCs/>
                      <w:color w:val="000000" w:themeColor="text1"/>
                      <w:kern w:val="44"/>
                      <w:sz w:val="21"/>
                      <w:szCs w:val="21"/>
                      <w:vertAlign w:val="baseline"/>
                      <w:lang w:val="en-US" w:eastAsia="zh-CN"/>
                      <w14:textFill>
                        <w14:solidFill>
                          <w14:schemeClr w14:val="tx1"/>
                        </w14:solidFill>
                      </w14:textFill>
                    </w:rPr>
                    <w:t>依托</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厂区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现有水井</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供水</w:t>
                  </w:r>
                </w:p>
              </w:tc>
              <w:tc>
                <w:tcPr>
                  <w:tcW w:w="537" w:type="pct"/>
                  <w:shd w:val="clear" w:color="auto" w:fill="auto"/>
                  <w:tcMar>
                    <w:top w:w="0" w:type="dxa"/>
                    <w:left w:w="108" w:type="dxa"/>
                    <w:bottom w:w="0" w:type="dxa"/>
                    <w:right w:w="108" w:type="dxa"/>
                  </w:tcMar>
                  <w:vAlign w:val="center"/>
                </w:tcPr>
                <w:p>
                  <w:pPr>
                    <w:widowControl/>
                    <w:snapToGrid w:val="0"/>
                    <w:jc w:val="center"/>
                    <w:rPr>
                      <w:rFonts w:hint="eastAsia" w:ascii="Times New Roman" w:hAnsi="Times New Roman" w:cs="Times New Roman"/>
                      <w:szCs w:val="21"/>
                    </w:rPr>
                  </w:pPr>
                  <w:r>
                    <w:rPr>
                      <w:rFonts w:hint="eastAsia" w:ascii="Times New Roman" w:hAnsi="Times New Roman" w:cs="Times New Roman"/>
                      <w:szCs w:val="21"/>
                      <w:lang w:val="en-US" w:eastAsia="zh-CN"/>
                    </w:rPr>
                    <w:t>依托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462" w:type="pct"/>
                  <w:vMerge w:val="continue"/>
                  <w:shd w:val="clear" w:color="auto" w:fill="auto"/>
                  <w:tcMar>
                    <w:top w:w="0" w:type="dxa"/>
                    <w:left w:w="108" w:type="dxa"/>
                    <w:bottom w:w="0" w:type="dxa"/>
                    <w:right w:w="108" w:type="dxa"/>
                  </w:tcMar>
                  <w:vAlign w:val="center"/>
                </w:tcPr>
                <w:p>
                  <w:pPr>
                    <w:widowControl/>
                    <w:snapToGrid w:val="0"/>
                    <w:jc w:val="center"/>
                    <w:rPr>
                      <w:rFonts w:ascii="Times New Roman" w:hAnsi="Times New Roman" w:cs="Times New Roman"/>
                      <w:szCs w:val="21"/>
                    </w:rPr>
                  </w:pPr>
                </w:p>
              </w:tc>
              <w:tc>
                <w:tcPr>
                  <w:tcW w:w="512" w:type="pct"/>
                  <w:shd w:val="clear" w:color="auto" w:fill="auto"/>
                  <w:tcMar>
                    <w:top w:w="0" w:type="dxa"/>
                    <w:left w:w="108" w:type="dxa"/>
                    <w:bottom w:w="0" w:type="dxa"/>
                    <w:right w:w="108" w:type="dxa"/>
                  </w:tcMar>
                  <w:vAlign w:val="center"/>
                </w:tcPr>
                <w:p>
                  <w:pPr>
                    <w:pStyle w:val="53"/>
                    <w:ind w:firstLine="0" w:firstLineChars="0"/>
                    <w:rPr>
                      <w:rFonts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排水工程</w:t>
                  </w:r>
                </w:p>
              </w:tc>
              <w:tc>
                <w:tcPr>
                  <w:tcW w:w="3487" w:type="pct"/>
                  <w:shd w:val="clear" w:color="auto" w:fill="auto"/>
                  <w:tcMar>
                    <w:top w:w="0" w:type="dxa"/>
                    <w:left w:w="108" w:type="dxa"/>
                    <w:bottom w:w="0" w:type="dxa"/>
                    <w:right w:w="108" w:type="dxa"/>
                  </w:tcMar>
                  <w:vAlign w:val="center"/>
                </w:tcPr>
                <w:p>
                  <w:pPr>
                    <w:widowControl/>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本项目不新增员工，无新增生活污水；反渗透纯水制备废水作为脱硫系统用水，锅炉定期排水用于厂区洒水降尘。</w:t>
                  </w:r>
                </w:p>
              </w:tc>
              <w:tc>
                <w:tcPr>
                  <w:tcW w:w="537" w:type="pct"/>
                  <w:shd w:val="clear" w:color="auto" w:fill="auto"/>
                  <w:tcMar>
                    <w:top w:w="0" w:type="dxa"/>
                    <w:left w:w="108" w:type="dxa"/>
                    <w:bottom w:w="0" w:type="dxa"/>
                    <w:right w:w="108" w:type="dxa"/>
                  </w:tcMar>
                  <w:vAlign w:val="center"/>
                </w:tcPr>
                <w:p>
                  <w:pPr>
                    <w:widowControl/>
                    <w:snapToGrid w:val="0"/>
                    <w:jc w:val="center"/>
                    <w:rPr>
                      <w:rFonts w:hint="eastAsia" w:ascii="Times New Roman" w:hAnsi="Times New Roman" w:cs="Times New Roman"/>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462" w:type="pct"/>
                  <w:vMerge w:val="continue"/>
                  <w:shd w:val="clear" w:color="auto" w:fill="auto"/>
                  <w:tcMar>
                    <w:top w:w="0" w:type="dxa"/>
                    <w:left w:w="108" w:type="dxa"/>
                    <w:bottom w:w="0" w:type="dxa"/>
                    <w:right w:w="108" w:type="dxa"/>
                  </w:tcMar>
                  <w:vAlign w:val="center"/>
                </w:tcPr>
                <w:p>
                  <w:pPr>
                    <w:widowControl/>
                    <w:snapToGrid w:val="0"/>
                    <w:jc w:val="center"/>
                    <w:rPr>
                      <w:rFonts w:ascii="Times New Roman" w:hAnsi="Times New Roman" w:cs="Times New Roman"/>
                      <w:szCs w:val="21"/>
                    </w:rPr>
                  </w:pPr>
                </w:p>
              </w:tc>
              <w:tc>
                <w:tcPr>
                  <w:tcW w:w="512" w:type="pct"/>
                  <w:shd w:val="clear" w:color="auto" w:fill="auto"/>
                  <w:tcMar>
                    <w:top w:w="0" w:type="dxa"/>
                    <w:left w:w="108" w:type="dxa"/>
                    <w:bottom w:w="0" w:type="dxa"/>
                    <w:right w:w="108" w:type="dxa"/>
                  </w:tcMar>
                  <w:vAlign w:val="center"/>
                </w:tcPr>
                <w:p>
                  <w:pPr>
                    <w:pStyle w:val="53"/>
                    <w:ind w:firstLine="0" w:firstLineChars="0"/>
                    <w:rPr>
                      <w:rFonts w:ascii="Times New Roman" w:hAnsi="Times New Roman" w:cs="Times New Roman"/>
                      <w:szCs w:val="21"/>
                    </w:rPr>
                  </w:pPr>
                  <w:r>
                    <w:rPr>
                      <w:rFonts w:hint="default" w:ascii="Times New Roman" w:hAnsi="Times New Roman" w:eastAsia="宋体" w:cs="Times New Roman"/>
                      <w:sz w:val="21"/>
                      <w:szCs w:val="21"/>
                    </w:rPr>
                    <w:t>供电</w:t>
                  </w:r>
                  <w:r>
                    <w:rPr>
                      <w:rFonts w:hint="default" w:ascii="Times New Roman" w:hAnsi="Times New Roman" w:eastAsia="宋体" w:cs="Times New Roman"/>
                      <w:sz w:val="21"/>
                      <w:szCs w:val="21"/>
                      <w:lang w:val="en-US" w:eastAsia="zh-CN"/>
                    </w:rPr>
                    <w:t>工程</w:t>
                  </w:r>
                </w:p>
              </w:tc>
              <w:tc>
                <w:tcPr>
                  <w:tcW w:w="3487" w:type="pct"/>
                  <w:shd w:val="clear" w:color="auto" w:fill="auto"/>
                  <w:tcMar>
                    <w:top w:w="0" w:type="dxa"/>
                    <w:left w:w="108" w:type="dxa"/>
                    <w:bottom w:w="0" w:type="dxa"/>
                    <w:right w:w="108" w:type="dxa"/>
                  </w:tcMar>
                  <w:vAlign w:val="center"/>
                </w:tcPr>
                <w:p>
                  <w:pPr>
                    <w:pStyle w:val="53"/>
                    <w:tabs>
                      <w:tab w:val="left" w:pos="498"/>
                      <w:tab w:val="center" w:pos="3342"/>
                    </w:tabs>
                    <w:ind w:firstLine="0" w:firstLineChars="0"/>
                    <w:jc w:val="center"/>
                    <w:rPr>
                      <w:rFonts w:hint="default" w:ascii="Times New Roman" w:hAnsi="Times New Roman" w:cs="Times New Roman"/>
                      <w:szCs w:val="21"/>
                      <w:lang w:val="en-US"/>
                    </w:rPr>
                  </w:pPr>
                  <w:r>
                    <w:rPr>
                      <w:rFonts w:hint="default" w:ascii="Times New Roman" w:hAnsi="Times New Roman" w:cs="Times New Roman"/>
                      <w:szCs w:val="21"/>
                      <w:lang w:val="en-US" w:eastAsia="zh-CN"/>
                    </w:rPr>
                    <w:t>由当地乡镇供电网供电</w:t>
                  </w:r>
                </w:p>
              </w:tc>
              <w:tc>
                <w:tcPr>
                  <w:tcW w:w="537" w:type="pct"/>
                  <w:shd w:val="clear" w:color="auto" w:fill="auto"/>
                  <w:tcMar>
                    <w:top w:w="0" w:type="dxa"/>
                    <w:left w:w="108" w:type="dxa"/>
                    <w:bottom w:w="0" w:type="dxa"/>
                    <w:right w:w="108" w:type="dxa"/>
                  </w:tcMar>
                  <w:vAlign w:val="center"/>
                </w:tcPr>
                <w:p>
                  <w:pPr>
                    <w:spacing w:line="0" w:lineRule="atLeast"/>
                    <w:jc w:val="center"/>
                    <w:rPr>
                      <w:rFonts w:ascii="Times New Roman" w:hAnsi="Times New Roman" w:cs="Times New Roman"/>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462" w:type="pct"/>
                  <w:vMerge w:val="continue"/>
                  <w:shd w:val="clear" w:color="auto" w:fill="auto"/>
                  <w:tcMar>
                    <w:top w:w="0" w:type="dxa"/>
                    <w:left w:w="108" w:type="dxa"/>
                    <w:bottom w:w="0" w:type="dxa"/>
                    <w:right w:w="108" w:type="dxa"/>
                  </w:tcMar>
                  <w:vAlign w:val="center"/>
                </w:tcPr>
                <w:p>
                  <w:pPr>
                    <w:widowControl/>
                    <w:snapToGrid w:val="0"/>
                    <w:jc w:val="center"/>
                    <w:rPr>
                      <w:rFonts w:ascii="Times New Roman" w:hAnsi="Times New Roman" w:cs="Times New Roman"/>
                      <w:szCs w:val="21"/>
                    </w:rPr>
                  </w:pPr>
                </w:p>
              </w:tc>
              <w:tc>
                <w:tcPr>
                  <w:tcW w:w="512" w:type="pct"/>
                  <w:shd w:val="clear" w:color="auto" w:fill="auto"/>
                  <w:tcMar>
                    <w:top w:w="0" w:type="dxa"/>
                    <w:left w:w="108" w:type="dxa"/>
                    <w:bottom w:w="0" w:type="dxa"/>
                    <w:right w:w="108" w:type="dxa"/>
                  </w:tcMar>
                  <w:vAlign w:val="center"/>
                </w:tcPr>
                <w:p>
                  <w:pPr>
                    <w:pStyle w:val="53"/>
                    <w:ind w:firstLine="0" w:firstLineChars="0"/>
                    <w:rPr>
                      <w:rFonts w:hint="eastAsia" w:ascii="Times New Roman" w:hAnsi="Times New Roman" w:eastAsia="宋体" w:cs="Times New Roman"/>
                      <w:sz w:val="21"/>
                      <w:szCs w:val="21"/>
                      <w:lang w:eastAsia="zh-CN"/>
                    </w:rPr>
                  </w:pPr>
                  <w:r>
                    <w:rPr>
                      <w:rFonts w:hint="eastAsia" w:eastAsia="宋体" w:cs="Times New Roman"/>
                      <w:sz w:val="21"/>
                      <w:szCs w:val="21"/>
                      <w:lang w:eastAsia="zh-CN"/>
                    </w:rPr>
                    <w:t>供热工程</w:t>
                  </w:r>
                </w:p>
              </w:tc>
              <w:tc>
                <w:tcPr>
                  <w:tcW w:w="3487" w:type="pct"/>
                  <w:shd w:val="clear" w:color="auto" w:fill="auto"/>
                  <w:tcMar>
                    <w:top w:w="0" w:type="dxa"/>
                    <w:left w:w="108" w:type="dxa"/>
                    <w:bottom w:w="0" w:type="dxa"/>
                    <w:right w:w="108" w:type="dxa"/>
                  </w:tcMar>
                  <w:vAlign w:val="center"/>
                </w:tcPr>
                <w:p>
                  <w:pPr>
                    <w:pStyle w:val="53"/>
                    <w:tabs>
                      <w:tab w:val="left" w:pos="498"/>
                      <w:tab w:val="center" w:pos="3342"/>
                    </w:tabs>
                    <w:ind w:firstLine="0" w:firstLineChars="0"/>
                    <w:jc w:val="center"/>
                    <w:rPr>
                      <w:rFonts w:hint="default" w:ascii="Times New Roman" w:hAnsi="Times New Roman" w:cs="Times New Roman"/>
                      <w:szCs w:val="21"/>
                      <w:lang w:val="en-US" w:eastAsia="zh-CN"/>
                    </w:rPr>
                  </w:pPr>
                  <w:r>
                    <w:rPr>
                      <w:rFonts w:hint="eastAsia" w:cs="Times New Roman"/>
                      <w:szCs w:val="21"/>
                      <w:lang w:val="en-US" w:eastAsia="zh-CN"/>
                    </w:rPr>
                    <w:t>由厂区内一台40t/h循环流化床燃煤锅炉进行供热</w:t>
                  </w:r>
                </w:p>
              </w:tc>
              <w:tc>
                <w:tcPr>
                  <w:tcW w:w="537" w:type="pct"/>
                  <w:shd w:val="clear" w:color="auto" w:fill="auto"/>
                  <w:tcMar>
                    <w:top w:w="0" w:type="dxa"/>
                    <w:left w:w="108" w:type="dxa"/>
                    <w:bottom w:w="0" w:type="dxa"/>
                    <w:right w:w="108" w:type="dxa"/>
                  </w:tcMar>
                  <w:vAlign w:val="center"/>
                </w:tcPr>
                <w:p>
                  <w:pPr>
                    <w:spacing w:line="0" w:lineRule="atLeast"/>
                    <w:jc w:val="center"/>
                    <w:rPr>
                      <w:rFonts w:ascii="Times New Roman" w:hAnsi="Times New Roman" w:cs="Times New Roman"/>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462" w:type="pct"/>
                  <w:vMerge w:val="restart"/>
                  <w:shd w:val="clear" w:color="auto" w:fill="auto"/>
                  <w:tcMar>
                    <w:top w:w="0" w:type="dxa"/>
                    <w:left w:w="108" w:type="dxa"/>
                    <w:bottom w:w="0" w:type="dxa"/>
                    <w:right w:w="108" w:type="dxa"/>
                  </w:tcMar>
                  <w:vAlign w:val="center"/>
                </w:tcPr>
                <w:p>
                  <w:pPr>
                    <w:spacing w:line="0" w:lineRule="atLeast"/>
                    <w:jc w:val="center"/>
                    <w:rPr>
                      <w:rFonts w:ascii="Times New Roman" w:hAnsi="Times New Roman" w:cs="Times New Roman"/>
                      <w:szCs w:val="21"/>
                    </w:rPr>
                  </w:pPr>
                  <w:r>
                    <w:rPr>
                      <w:rFonts w:ascii="Times New Roman" w:hAnsi="Times New Roman" w:cs="Times New Roman"/>
                      <w:szCs w:val="21"/>
                    </w:rPr>
                    <w:t>环保工程</w:t>
                  </w:r>
                </w:p>
              </w:tc>
              <w:tc>
                <w:tcPr>
                  <w:tcW w:w="512" w:type="pct"/>
                  <w:shd w:val="clear" w:color="auto" w:fill="auto"/>
                  <w:tcMar>
                    <w:top w:w="0" w:type="dxa"/>
                    <w:left w:w="108" w:type="dxa"/>
                    <w:bottom w:w="0" w:type="dxa"/>
                    <w:right w:w="108" w:type="dxa"/>
                  </w:tcMar>
                  <w:vAlign w:val="center"/>
                </w:tcPr>
                <w:p>
                  <w:pPr>
                    <w:widowControl/>
                    <w:snapToGrid w:val="0"/>
                    <w:jc w:val="center"/>
                    <w:rPr>
                      <w:rFonts w:ascii="Times New Roman" w:hAnsi="Times New Roman" w:cs="Times New Roman"/>
                      <w:szCs w:val="21"/>
                    </w:rPr>
                  </w:pPr>
                  <w:r>
                    <w:rPr>
                      <w:rFonts w:hint="eastAsia"/>
                    </w:rPr>
                    <w:t>废气治理工程</w:t>
                  </w:r>
                </w:p>
              </w:tc>
              <w:tc>
                <w:tcPr>
                  <w:tcW w:w="3487" w:type="pct"/>
                  <w:shd w:val="clear" w:color="auto" w:fill="auto"/>
                  <w:tcMar>
                    <w:top w:w="0" w:type="dxa"/>
                    <w:left w:w="108" w:type="dxa"/>
                    <w:bottom w:w="0" w:type="dxa"/>
                    <w:right w:w="108" w:type="dxa"/>
                  </w:tcMar>
                  <w:vAlign w:val="center"/>
                </w:tcPr>
                <w:p>
                  <w:pPr>
                    <w:snapToGrid w:val="0"/>
                    <w:jc w:val="center"/>
                    <w:rPr>
                      <w:rFonts w:ascii="Times New Roman" w:hAnsi="Times New Roman" w:cs="Times New Roman"/>
                      <w:szCs w:val="21"/>
                    </w:rPr>
                  </w:pPr>
                  <w:r>
                    <w:rPr>
                      <w:rFonts w:hint="eastAsia" w:ascii="Times New Roman" w:hAnsi="Times New Roman" w:cs="Times New Roman"/>
                      <w:color w:val="000000" w:themeColor="text1"/>
                      <w:szCs w:val="21"/>
                      <w:lang w:val="en-US" w:eastAsia="zh-CN"/>
                      <w14:textFill>
                        <w14:solidFill>
                          <w14:schemeClr w14:val="tx1"/>
                        </w14:solidFill>
                      </w14:textFill>
                    </w:rPr>
                    <w:t>40t/h循环流化床燃煤锅炉废气经布袋除尘器+脱硫塔+PNCR高分子炉内脱硝后经1根45m高排气筒（DA001）排放；锅炉制煤系统上料、破碎废气经集气装置收集后经1套脉冲布袋除尘器处理，处理后的废气经1根15m高排气筒（DA002）排放；20t/h生物质锅炉废气经布袋除尘+低氮燃烧技术后经1根45m高排气筒（DA001）排放；锅炉除尘灰由灰仓仓顶自带低压脉冲袋式除尘器处理，处理后的废气经1根15m高排气筒（DA004）排放；破碎楼、煤棚、渣库车间封闭，定期洒水降尘</w:t>
                  </w:r>
                </w:p>
              </w:tc>
              <w:tc>
                <w:tcPr>
                  <w:tcW w:w="537" w:type="pct"/>
                  <w:shd w:val="clear" w:color="auto" w:fill="auto"/>
                  <w:tcMar>
                    <w:top w:w="0" w:type="dxa"/>
                    <w:left w:w="108" w:type="dxa"/>
                    <w:bottom w:w="0" w:type="dxa"/>
                    <w:right w:w="108" w:type="dxa"/>
                  </w:tcMar>
                  <w:vAlign w:val="center"/>
                </w:tcPr>
                <w:p>
                  <w:pPr>
                    <w:snapToGrid w:val="0"/>
                    <w:jc w:val="center"/>
                    <w:rPr>
                      <w:rFonts w:hint="default" w:ascii="Times New Roman" w:hAnsi="Times New Roman" w:cs="Times New Roman" w:eastAsiaTheme="minorEastAsia"/>
                      <w:szCs w:val="21"/>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462" w:type="pct"/>
                  <w:vMerge w:val="continue"/>
                  <w:shd w:val="clear" w:color="auto" w:fill="auto"/>
                  <w:tcMar>
                    <w:top w:w="0" w:type="dxa"/>
                    <w:left w:w="108" w:type="dxa"/>
                    <w:bottom w:w="0" w:type="dxa"/>
                    <w:right w:w="108" w:type="dxa"/>
                  </w:tcMar>
                  <w:vAlign w:val="center"/>
                </w:tcPr>
                <w:p>
                  <w:pPr>
                    <w:widowControl/>
                    <w:snapToGrid w:val="0"/>
                    <w:jc w:val="center"/>
                    <w:rPr>
                      <w:rFonts w:ascii="Times New Roman" w:hAnsi="Times New Roman" w:cs="Times New Roman"/>
                      <w:szCs w:val="21"/>
                    </w:rPr>
                  </w:pPr>
                </w:p>
              </w:tc>
              <w:tc>
                <w:tcPr>
                  <w:tcW w:w="512" w:type="pct"/>
                  <w:shd w:val="clear" w:color="auto" w:fill="auto"/>
                  <w:tcMar>
                    <w:top w:w="0" w:type="dxa"/>
                    <w:left w:w="108" w:type="dxa"/>
                    <w:bottom w:w="0" w:type="dxa"/>
                    <w:right w:w="108" w:type="dxa"/>
                  </w:tcMar>
                  <w:vAlign w:val="center"/>
                </w:tcPr>
                <w:p>
                  <w:pPr>
                    <w:widowControl/>
                    <w:snapToGrid w:val="0"/>
                    <w:jc w:val="center"/>
                    <w:rPr>
                      <w:rFonts w:ascii="Times New Roman" w:hAnsi="Times New Roman" w:cs="Times New Roman"/>
                      <w:color w:val="auto"/>
                      <w:szCs w:val="21"/>
                    </w:rPr>
                  </w:pPr>
                  <w:r>
                    <w:rPr>
                      <w:rFonts w:ascii="Times New Roman" w:hAnsi="Times New Roman" w:cs="Times New Roman"/>
                      <w:color w:val="auto"/>
                      <w:szCs w:val="21"/>
                    </w:rPr>
                    <w:t>废水</w:t>
                  </w:r>
                  <w:r>
                    <w:rPr>
                      <w:rFonts w:hint="eastAsia"/>
                      <w:color w:val="auto"/>
                    </w:rPr>
                    <w:t>治理工程</w:t>
                  </w:r>
                </w:p>
              </w:tc>
              <w:tc>
                <w:tcPr>
                  <w:tcW w:w="3487" w:type="pct"/>
                  <w:shd w:val="clear" w:color="auto" w:fill="auto"/>
                  <w:tcMar>
                    <w:top w:w="0" w:type="dxa"/>
                    <w:left w:w="108" w:type="dxa"/>
                    <w:bottom w:w="0" w:type="dxa"/>
                    <w:right w:w="108" w:type="dxa"/>
                  </w:tcMar>
                  <w:vAlign w:val="center"/>
                </w:tcPr>
                <w:p>
                  <w:pPr>
                    <w:widowControl/>
                    <w:snapToGrid w:val="0"/>
                    <w:jc w:val="center"/>
                    <w:rPr>
                      <w:rFonts w:ascii="Times New Roman" w:hAnsi="Times New Roman" w:cs="Times New Roman"/>
                      <w:color w:val="auto"/>
                      <w:szCs w:val="21"/>
                    </w:rPr>
                  </w:pPr>
                  <w:r>
                    <w:rPr>
                      <w:rFonts w:hint="eastAsia" w:ascii="Times New Roman" w:hAnsi="Times New Roman" w:cs="Times New Roman"/>
                      <w:color w:val="auto"/>
                      <w:szCs w:val="21"/>
                      <w:lang w:val="en-US" w:eastAsia="zh-CN"/>
                    </w:rPr>
                    <w:t>本项目不新增员工，无新增生活污水；反渗透纯水制备废水作为脱硫系统用水，锅炉定期排水用于厂区洒水降尘。</w:t>
                  </w:r>
                </w:p>
              </w:tc>
              <w:tc>
                <w:tcPr>
                  <w:tcW w:w="537" w:type="pct"/>
                  <w:shd w:val="clear" w:color="auto" w:fill="auto"/>
                  <w:tcMar>
                    <w:top w:w="0" w:type="dxa"/>
                    <w:left w:w="108" w:type="dxa"/>
                    <w:bottom w:w="0" w:type="dxa"/>
                    <w:right w:w="108" w:type="dxa"/>
                  </w:tcMar>
                  <w:vAlign w:val="center"/>
                </w:tcPr>
                <w:p>
                  <w:pPr>
                    <w:widowControl/>
                    <w:snapToGrid w:val="0"/>
                    <w:jc w:val="center"/>
                    <w:rPr>
                      <w:rFonts w:hint="eastAsia" w:ascii="Times New Roman" w:hAnsi="Times New Roman" w:cs="Times New Roman"/>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462" w:type="pct"/>
                  <w:vMerge w:val="continue"/>
                  <w:shd w:val="clear" w:color="auto" w:fill="auto"/>
                  <w:tcMar>
                    <w:top w:w="0" w:type="dxa"/>
                    <w:left w:w="108" w:type="dxa"/>
                    <w:bottom w:w="0" w:type="dxa"/>
                    <w:right w:w="108" w:type="dxa"/>
                  </w:tcMar>
                  <w:vAlign w:val="center"/>
                </w:tcPr>
                <w:p>
                  <w:pPr>
                    <w:widowControl/>
                    <w:snapToGrid w:val="0"/>
                    <w:jc w:val="center"/>
                    <w:rPr>
                      <w:rFonts w:ascii="Times New Roman" w:hAnsi="Times New Roman" w:cs="Times New Roman"/>
                      <w:szCs w:val="21"/>
                    </w:rPr>
                  </w:pPr>
                </w:p>
              </w:tc>
              <w:tc>
                <w:tcPr>
                  <w:tcW w:w="512" w:type="pct"/>
                  <w:shd w:val="clear" w:color="auto" w:fill="auto"/>
                  <w:tcMar>
                    <w:top w:w="0" w:type="dxa"/>
                    <w:left w:w="108" w:type="dxa"/>
                    <w:bottom w:w="0" w:type="dxa"/>
                    <w:right w:w="108" w:type="dxa"/>
                  </w:tcMar>
                  <w:vAlign w:val="center"/>
                </w:tcPr>
                <w:p>
                  <w:pPr>
                    <w:widowControl/>
                    <w:snapToGrid w:val="0"/>
                    <w:jc w:val="center"/>
                    <w:rPr>
                      <w:rFonts w:ascii="Times New Roman" w:hAnsi="Times New Roman" w:cs="Times New Roman"/>
                      <w:szCs w:val="21"/>
                    </w:rPr>
                  </w:pPr>
                  <w:r>
                    <w:rPr>
                      <w:rFonts w:ascii="Times New Roman" w:hAnsi="Times New Roman" w:cs="Times New Roman"/>
                      <w:szCs w:val="21"/>
                    </w:rPr>
                    <w:t>噪声</w:t>
                  </w:r>
                  <w:r>
                    <w:rPr>
                      <w:rFonts w:hint="eastAsia"/>
                    </w:rPr>
                    <w:t>治理工程</w:t>
                  </w:r>
                </w:p>
              </w:tc>
              <w:tc>
                <w:tcPr>
                  <w:tcW w:w="3487" w:type="pct"/>
                  <w:shd w:val="clear" w:color="auto" w:fill="auto"/>
                  <w:tcMar>
                    <w:top w:w="0" w:type="dxa"/>
                    <w:left w:w="108" w:type="dxa"/>
                    <w:bottom w:w="0" w:type="dxa"/>
                    <w:right w:w="108" w:type="dxa"/>
                  </w:tcMar>
                  <w:vAlign w:val="center"/>
                </w:tcPr>
                <w:p>
                  <w:pPr>
                    <w:widowControl/>
                    <w:snapToGrid w:val="0"/>
                    <w:jc w:val="center"/>
                    <w:rPr>
                      <w:rFonts w:ascii="Times New Roman" w:hAnsi="Times New Roman" w:cs="Times New Roman"/>
                      <w:szCs w:val="21"/>
                    </w:rPr>
                  </w:pPr>
                  <w:r>
                    <w:rPr>
                      <w:rFonts w:hint="default" w:ascii="Times New Roman" w:hAnsi="Times New Roman" w:cs="Times New Roman"/>
                      <w:szCs w:val="21"/>
                      <w:lang w:val="en-US" w:eastAsia="zh-CN"/>
                    </w:rPr>
                    <w:t>本项目</w:t>
                  </w:r>
                  <w:r>
                    <w:rPr>
                      <w:rFonts w:hint="eastAsia" w:ascii="Times New Roman" w:hAnsi="Times New Roman" w:cs="Times New Roman"/>
                      <w:szCs w:val="21"/>
                      <w:lang w:val="en-US" w:eastAsia="zh-CN"/>
                    </w:rPr>
                    <w:t>设备</w:t>
                  </w:r>
                  <w:r>
                    <w:rPr>
                      <w:rFonts w:hint="default" w:ascii="Times New Roman" w:hAnsi="Times New Roman" w:cs="Times New Roman"/>
                      <w:szCs w:val="21"/>
                      <w:lang w:val="en-US" w:eastAsia="zh-CN"/>
                    </w:rPr>
                    <w:t>选用低产噪设备</w:t>
                  </w:r>
                  <w:r>
                    <w:rPr>
                      <w:rFonts w:hint="eastAsia" w:ascii="Times New Roman" w:hAnsi="Times New Roman" w:cs="Times New Roman"/>
                      <w:szCs w:val="21"/>
                      <w:lang w:val="en-US" w:eastAsia="zh-CN"/>
                    </w:rPr>
                    <w:t>，并且位于</w:t>
                  </w:r>
                  <w:r>
                    <w:rPr>
                      <w:rFonts w:hint="default" w:ascii="Times New Roman" w:hAnsi="Times New Roman" w:cs="Times New Roman"/>
                      <w:szCs w:val="21"/>
                      <w:lang w:val="en-US" w:eastAsia="zh-CN"/>
                    </w:rPr>
                    <w:t>封闭</w:t>
                  </w:r>
                  <w:r>
                    <w:rPr>
                      <w:rFonts w:hint="eastAsia" w:ascii="Times New Roman" w:hAnsi="Times New Roman" w:cs="Times New Roman"/>
                      <w:szCs w:val="21"/>
                      <w:lang w:val="en-US" w:eastAsia="zh-CN"/>
                    </w:rPr>
                    <w:t>的车间内</w:t>
                  </w:r>
                  <w:r>
                    <w:rPr>
                      <w:rFonts w:hint="default" w:ascii="Times New Roman" w:hAnsi="Times New Roman" w:cs="Times New Roman"/>
                      <w:szCs w:val="21"/>
                      <w:lang w:val="en-US" w:eastAsia="zh-CN"/>
                    </w:rPr>
                    <w:t>、设备基础减振、合理布局等措施；车辆减速慢行，禁止鸣笛</w:t>
                  </w:r>
                  <w:r>
                    <w:rPr>
                      <w:rFonts w:hint="eastAsia" w:ascii="Times New Roman" w:hAnsi="Times New Roman" w:cs="Times New Roman"/>
                      <w:szCs w:val="21"/>
                      <w:lang w:val="en-US" w:eastAsia="zh-CN"/>
                    </w:rPr>
                    <w:t>。</w:t>
                  </w:r>
                </w:p>
              </w:tc>
              <w:tc>
                <w:tcPr>
                  <w:tcW w:w="537" w:type="pct"/>
                  <w:shd w:val="clear" w:color="auto" w:fill="auto"/>
                  <w:tcMar>
                    <w:top w:w="0" w:type="dxa"/>
                    <w:left w:w="108" w:type="dxa"/>
                    <w:bottom w:w="0" w:type="dxa"/>
                    <w:right w:w="108" w:type="dxa"/>
                  </w:tcMar>
                  <w:vAlign w:val="center"/>
                </w:tcPr>
                <w:p>
                  <w:pPr>
                    <w:widowControl/>
                    <w:snapToGrid w:val="0"/>
                    <w:jc w:val="center"/>
                    <w:rPr>
                      <w:rFonts w:hint="eastAsia" w:ascii="Times New Roman" w:hAnsi="Times New Roman" w:cs="Times New Roman"/>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462" w:type="pct"/>
                  <w:vMerge w:val="continue"/>
                  <w:shd w:val="clear" w:color="auto" w:fill="auto"/>
                  <w:tcMar>
                    <w:top w:w="0" w:type="dxa"/>
                    <w:left w:w="108" w:type="dxa"/>
                    <w:bottom w:w="0" w:type="dxa"/>
                    <w:right w:w="108" w:type="dxa"/>
                  </w:tcMar>
                  <w:vAlign w:val="center"/>
                </w:tcPr>
                <w:p>
                  <w:pPr>
                    <w:widowControl/>
                    <w:snapToGrid w:val="0"/>
                    <w:jc w:val="center"/>
                    <w:rPr>
                      <w:rFonts w:ascii="Times New Roman" w:hAnsi="Times New Roman" w:cs="Times New Roman"/>
                      <w:szCs w:val="21"/>
                    </w:rPr>
                  </w:pPr>
                </w:p>
              </w:tc>
              <w:tc>
                <w:tcPr>
                  <w:tcW w:w="512" w:type="pct"/>
                  <w:shd w:val="clear" w:color="auto" w:fill="auto"/>
                  <w:tcMar>
                    <w:top w:w="0" w:type="dxa"/>
                    <w:left w:w="108" w:type="dxa"/>
                    <w:bottom w:w="0" w:type="dxa"/>
                    <w:right w:w="108" w:type="dxa"/>
                  </w:tcMar>
                  <w:vAlign w:val="center"/>
                </w:tcPr>
                <w:p>
                  <w:pPr>
                    <w:widowControl/>
                    <w:snapToGrid w:val="0"/>
                    <w:jc w:val="center"/>
                    <w:rPr>
                      <w:rFonts w:ascii="Times New Roman" w:hAnsi="Times New Roman" w:cs="Times New Roman"/>
                      <w:szCs w:val="21"/>
                    </w:rPr>
                  </w:pPr>
                  <w:r>
                    <w:rPr>
                      <w:rFonts w:hint="eastAsia" w:ascii="Times New Roman" w:hAnsi="Times New Roman" w:cs="Times New Roman"/>
                      <w:szCs w:val="21"/>
                    </w:rPr>
                    <w:t>固废</w:t>
                  </w:r>
                  <w:r>
                    <w:rPr>
                      <w:rFonts w:hint="eastAsia"/>
                    </w:rPr>
                    <w:t>治理工程</w:t>
                  </w:r>
                </w:p>
              </w:tc>
              <w:tc>
                <w:tcPr>
                  <w:tcW w:w="3487" w:type="pct"/>
                  <w:shd w:val="clear" w:color="auto" w:fill="auto"/>
                  <w:tcMar>
                    <w:top w:w="0" w:type="dxa"/>
                    <w:left w:w="108" w:type="dxa"/>
                    <w:bottom w:w="0" w:type="dxa"/>
                    <w:right w:w="108" w:type="dxa"/>
                  </w:tcMar>
                  <w:vAlign w:val="center"/>
                </w:tcPr>
                <w:p>
                  <w:pPr>
                    <w:widowControl/>
                    <w:snapToGrid w:val="0"/>
                    <w:jc w:val="center"/>
                    <w:rPr>
                      <w:rFonts w:ascii="Times New Roman" w:hAnsi="Times New Roman" w:cs="Times New Roman"/>
                      <w:szCs w:val="21"/>
                    </w:rPr>
                  </w:pPr>
                  <w:r>
                    <w:rPr>
                      <w:rFonts w:hint="default" w:ascii="Times New Roman" w:hAnsi="Times New Roman" w:cs="Times New Roman"/>
                      <w:szCs w:val="21"/>
                      <w:lang w:val="en-US" w:eastAsia="zh-CN"/>
                    </w:rPr>
                    <w:t>锅炉</w:t>
                  </w:r>
                  <w:r>
                    <w:rPr>
                      <w:rFonts w:hint="default" w:ascii="Times New Roman" w:hAnsi="Times New Roman" w:cs="Times New Roman"/>
                      <w:szCs w:val="21"/>
                    </w:rPr>
                    <w:t>炉渣</w:t>
                  </w:r>
                  <w:r>
                    <w:rPr>
                      <w:rFonts w:hint="eastAsia" w:ascii="Times New Roman" w:hAnsi="Times New Roman" w:cs="Times New Roman"/>
                      <w:szCs w:val="21"/>
                      <w:lang w:eastAsia="zh-CN"/>
                    </w:rPr>
                    <w:t>以及</w:t>
                  </w:r>
                  <w:r>
                    <w:rPr>
                      <w:rFonts w:hint="default" w:ascii="Times New Roman" w:hAnsi="Times New Roman" w:cs="Times New Roman"/>
                      <w:szCs w:val="21"/>
                      <w:lang w:val="en-US" w:eastAsia="zh-CN"/>
                    </w:rPr>
                    <w:t>除尘灰集中收集后</w:t>
                  </w:r>
                  <w:r>
                    <w:rPr>
                      <w:rFonts w:hint="eastAsia" w:ascii="Times New Roman" w:hAnsi="Times New Roman" w:cs="Times New Roman"/>
                      <w:szCs w:val="21"/>
                      <w:lang w:val="en-US" w:eastAsia="zh-CN"/>
                    </w:rPr>
                    <w:t>外售</w:t>
                  </w:r>
                  <w:r>
                    <w:rPr>
                      <w:rFonts w:hint="default" w:ascii="Times New Roman" w:hAnsi="Times New Roman" w:cs="Times New Roman"/>
                      <w:color w:val="000000" w:themeColor="text1"/>
                      <w:szCs w:val="21"/>
                      <w:lang w:val="en-US" w:eastAsia="zh-CN"/>
                      <w14:textFill>
                        <w14:solidFill>
                          <w14:schemeClr w14:val="tx1"/>
                        </w14:solidFill>
                      </w14:textFill>
                    </w:rPr>
                    <w:t>；脱硫过程会产生池底固形物MgSO</w:t>
                  </w:r>
                  <w:r>
                    <w:rPr>
                      <w:rFonts w:hint="default" w:ascii="Times New Roman" w:hAnsi="Times New Roman" w:cs="Times New Roman"/>
                      <w:color w:val="000000" w:themeColor="text1"/>
                      <w:szCs w:val="21"/>
                      <w:vertAlign w:val="subscript"/>
                      <w:lang w:val="en-US" w:eastAsia="zh-CN"/>
                      <w14:textFill>
                        <w14:solidFill>
                          <w14:schemeClr w14:val="tx1"/>
                        </w14:solidFill>
                      </w14:textFill>
                    </w:rPr>
                    <w:t>4</w:t>
                  </w:r>
                  <w:r>
                    <w:rPr>
                      <w:rFonts w:hint="default" w:ascii="Times New Roman" w:hAnsi="Times New Roman" w:cs="Times New Roman"/>
                      <w:szCs w:val="21"/>
                      <w:lang w:val="en-US" w:eastAsia="zh-CN"/>
                    </w:rPr>
                    <w:t>集中收集后</w:t>
                  </w:r>
                  <w:r>
                    <w:rPr>
                      <w:rFonts w:hint="eastAsia" w:ascii="Times New Roman" w:hAnsi="Times New Roman" w:cs="Times New Roman"/>
                      <w:szCs w:val="21"/>
                      <w:lang w:val="en-US" w:eastAsia="zh-CN"/>
                    </w:rPr>
                    <w:t>外售</w:t>
                  </w:r>
                  <w:r>
                    <w:rPr>
                      <w:rFonts w:hint="eastAsia" w:ascii="Times New Roman" w:hAnsi="Times New Roman" w:cs="Times New Roman"/>
                      <w:color w:val="000000" w:themeColor="text1"/>
                      <w:szCs w:val="21"/>
                      <w:lang w:val="en-US"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破碎</w:t>
                  </w:r>
                  <w:r>
                    <w:rPr>
                      <w:rFonts w:hint="default" w:ascii="Times New Roman" w:hAnsi="Times New Roman" w:cs="Times New Roman"/>
                      <w:szCs w:val="21"/>
                      <w:lang w:val="en-US" w:eastAsia="zh-CN"/>
                    </w:rPr>
                    <w:t>工序除尘灰收集后作为燃料回用；</w:t>
                  </w:r>
                  <w:r>
                    <w:rPr>
                      <w:rFonts w:hint="eastAsia" w:ascii="Times New Roman" w:hAnsi="Times New Roman" w:cs="Times New Roman"/>
                      <w:szCs w:val="21"/>
                      <w:lang w:val="en-US" w:eastAsia="zh-CN"/>
                    </w:rPr>
                    <w:t>单级反渗透水处理的废渗透膜，集中收集后定期由厂家回收；废润滑油、废油桶集中收集后贮存于危险废物暂存间，委托有危废处置资质的单位定期处理。</w:t>
                  </w:r>
                </w:p>
              </w:tc>
              <w:tc>
                <w:tcPr>
                  <w:tcW w:w="537" w:type="pct"/>
                  <w:shd w:val="clear" w:color="auto" w:fill="auto"/>
                  <w:tcMar>
                    <w:top w:w="0" w:type="dxa"/>
                    <w:left w:w="108" w:type="dxa"/>
                    <w:bottom w:w="0" w:type="dxa"/>
                    <w:right w:w="108" w:type="dxa"/>
                  </w:tcMar>
                  <w:vAlign w:val="center"/>
                </w:tcPr>
                <w:p>
                  <w:pPr>
                    <w:widowControl/>
                    <w:snapToGrid w:val="0"/>
                    <w:jc w:val="center"/>
                    <w:rPr>
                      <w:rFonts w:hint="eastAsia" w:ascii="Times New Roman" w:hAnsi="Times New Roman" w:eastAsia="宋体" w:cs="Times New Roman"/>
                      <w:szCs w:val="21"/>
                    </w:rPr>
                  </w:pPr>
                </w:p>
              </w:tc>
            </w:tr>
          </w:tbl>
          <w:p>
            <w:pPr>
              <w:pStyle w:val="45"/>
              <w:keepNext w:val="0"/>
              <w:keepLines w:val="0"/>
              <w:pageBreakBefore w:val="0"/>
              <w:widowControl w:val="0"/>
              <w:kinsoku/>
              <w:wordWrap/>
              <w:overflowPunct/>
              <w:topLinePunct w:val="0"/>
              <w:autoSpaceDE/>
              <w:autoSpaceDN/>
              <w:bidi w:val="0"/>
              <w:adjustRightInd w:val="0"/>
              <w:snapToGrid w:val="0"/>
              <w:spacing w:before="157" w:beforeLines="50"/>
              <w:ind w:firstLine="420"/>
              <w:textAlignment w:val="auto"/>
              <w:rPr>
                <w:rFonts w:hint="eastAsia" w:ascii="Times New Roman" w:hAnsi="Times New Roman" w:cs="Times New Roman" w:eastAsiaTheme="minorEastAsia"/>
                <w:b/>
                <w:bCs/>
                <w:sz w:val="24"/>
                <w:szCs w:val="24"/>
                <w:lang w:eastAsia="zh-CN"/>
              </w:rPr>
            </w:pPr>
            <w:r>
              <w:rPr>
                <w:rFonts w:hint="eastAsia" w:ascii="Times New Roman" w:hAnsi="Times New Roman" w:cs="Times New Roman"/>
                <w:b/>
                <w:bCs/>
                <w:sz w:val="24"/>
                <w:szCs w:val="24"/>
                <w:lang w:val="en-US" w:eastAsia="zh-CN"/>
              </w:rPr>
              <w:t>2</w:t>
            </w:r>
            <w:r>
              <w:rPr>
                <w:rFonts w:ascii="Times New Roman" w:hAnsi="Times New Roman" w:cs="Times New Roman"/>
                <w:b/>
                <w:bCs/>
                <w:sz w:val="24"/>
                <w:szCs w:val="24"/>
              </w:rPr>
              <w:t>、</w:t>
            </w:r>
            <w:r>
              <w:rPr>
                <w:rFonts w:hint="eastAsia" w:ascii="Times New Roman" w:hAnsi="Times New Roman" w:cs="Times New Roman"/>
                <w:b/>
                <w:bCs/>
                <w:sz w:val="24"/>
                <w:szCs w:val="24"/>
              </w:rPr>
              <w:t>主要原辅材料及燃料的种类和用量</w:t>
            </w:r>
          </w:p>
          <w:p>
            <w:pPr>
              <w:adjustRightInd w:val="0"/>
              <w:snapToGrid w:val="0"/>
              <w:spacing w:line="360" w:lineRule="auto"/>
              <w:ind w:firstLine="480"/>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项目主要新增一台40t/h循环流化床燃煤锅炉及配套设备为园区企业供汽，40t/h循环流化床燃煤锅炉型号为：QXF40-2.5-AⅠ燃煤锅炉，提供2.5MPa 225℃蒸汽，焓值为2805.57kJ/kg。目前需要用集中供热站蒸汽企业包括承德富龙现代农业发展有限公司和围场满族蒙古族自治县保承中药材种植有限公司，两家企业均为生产用汽。实际生产情况如下表所示：</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szCs w:val="21"/>
                <w:lang w:val="en-US" w:eastAsia="zh-CN"/>
              </w:rPr>
            </w:pPr>
            <w:r>
              <w:rPr>
                <w:rFonts w:ascii="Times New Roman" w:hAnsi="Times New Roman" w:cs="Times New Roman"/>
                <w:b/>
                <w:bCs/>
                <w:szCs w:val="21"/>
              </w:rPr>
              <w:t>表</w:t>
            </w:r>
            <w:r>
              <w:rPr>
                <w:rFonts w:hint="eastAsia" w:ascii="Times New Roman" w:hAnsi="Times New Roman" w:cs="Times New Roman"/>
                <w:b/>
                <w:bCs/>
                <w:szCs w:val="21"/>
              </w:rPr>
              <w:t>2-</w:t>
            </w:r>
            <w:r>
              <w:rPr>
                <w:rFonts w:hint="eastAsia" w:ascii="Times New Roman" w:hAnsi="Times New Roman" w:cs="Times New Roman"/>
                <w:b/>
                <w:bCs/>
                <w:szCs w:val="21"/>
                <w:lang w:val="en-US" w:eastAsia="zh-CN"/>
              </w:rPr>
              <w:t>2</w:t>
            </w:r>
            <w:r>
              <w:rPr>
                <w:rFonts w:ascii="Times New Roman" w:hAnsi="Times New Roman" w:cs="Times New Roman"/>
                <w:b/>
                <w:bCs/>
                <w:szCs w:val="21"/>
              </w:rPr>
              <w:t xml:space="preserve">  </w:t>
            </w:r>
            <w:r>
              <w:rPr>
                <w:rFonts w:hint="eastAsia" w:ascii="Times New Roman" w:hAnsi="Times New Roman" w:cs="Times New Roman"/>
                <w:b/>
                <w:bCs/>
                <w:szCs w:val="21"/>
                <w:lang w:val="en-US" w:eastAsia="zh-CN"/>
              </w:rPr>
              <w:t>本项目蒸汽消费量</w:t>
            </w:r>
          </w:p>
          <w:tbl>
            <w:tblPr>
              <w:tblStyle w:val="24"/>
              <w:tblW w:w="85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445"/>
              <w:gridCol w:w="2745"/>
              <w:gridCol w:w="12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30"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
                      <w:bCs/>
                      <w:kern w:val="0"/>
                      <w:sz w:val="21"/>
                      <w:szCs w:val="21"/>
                      <w:lang w:bidi="ar"/>
                    </w:rPr>
                  </w:pPr>
                  <w:r>
                    <w:rPr>
                      <w:rFonts w:hint="default" w:ascii="Times New Roman" w:hAnsi="Times New Roman" w:eastAsia="宋体" w:cs="Times New Roman"/>
                      <w:b/>
                      <w:bCs/>
                      <w:kern w:val="0"/>
                      <w:sz w:val="21"/>
                      <w:szCs w:val="21"/>
                      <w:lang w:bidi="ar"/>
                    </w:rPr>
                    <w:t>名   称</w:t>
                  </w:r>
                </w:p>
              </w:tc>
              <w:tc>
                <w:tcPr>
                  <w:tcW w:w="2445"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
                      <w:bCs/>
                      <w:kern w:val="0"/>
                      <w:sz w:val="21"/>
                      <w:szCs w:val="21"/>
                      <w:lang w:eastAsia="zh-CN" w:bidi="ar"/>
                    </w:rPr>
                  </w:pPr>
                  <w:r>
                    <w:rPr>
                      <w:rFonts w:hint="default" w:ascii="Times New Roman" w:hAnsi="Times New Roman" w:eastAsia="宋体" w:cs="Times New Roman"/>
                      <w:b/>
                      <w:bCs/>
                      <w:kern w:val="0"/>
                      <w:sz w:val="21"/>
                      <w:szCs w:val="21"/>
                      <w:lang w:val="en-US" w:eastAsia="zh-CN" w:bidi="ar"/>
                    </w:rPr>
                    <w:t>承德富龙现代农业发展有限公司</w:t>
                  </w:r>
                </w:p>
              </w:tc>
              <w:tc>
                <w:tcPr>
                  <w:tcW w:w="2745"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
                      <w:bCs/>
                      <w:kern w:val="0"/>
                      <w:sz w:val="21"/>
                      <w:szCs w:val="21"/>
                      <w:lang w:eastAsia="zh-CN" w:bidi="ar"/>
                    </w:rPr>
                  </w:pPr>
                  <w:r>
                    <w:rPr>
                      <w:rFonts w:hint="default" w:ascii="Times New Roman" w:hAnsi="Times New Roman" w:eastAsia="宋体" w:cs="Times New Roman"/>
                      <w:b/>
                      <w:bCs/>
                      <w:kern w:val="0"/>
                      <w:sz w:val="21"/>
                      <w:szCs w:val="21"/>
                      <w:lang w:val="en-US" w:eastAsia="zh-CN" w:bidi="ar"/>
                    </w:rPr>
                    <w:t>围场满族蒙古族自治县保承中药材种植有限公司</w:t>
                  </w:r>
                </w:p>
              </w:tc>
              <w:tc>
                <w:tcPr>
                  <w:tcW w:w="1204"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
                      <w:bCs/>
                      <w:kern w:val="0"/>
                      <w:sz w:val="21"/>
                      <w:szCs w:val="21"/>
                      <w:lang w:eastAsia="zh-CN" w:bidi="ar"/>
                    </w:rPr>
                  </w:pPr>
                  <w:r>
                    <w:rPr>
                      <w:rFonts w:hint="default" w:ascii="Times New Roman" w:hAnsi="Times New Roman" w:eastAsia="宋体" w:cs="Times New Roman"/>
                      <w:b/>
                      <w:bCs/>
                      <w:kern w:val="0"/>
                      <w:sz w:val="21"/>
                      <w:szCs w:val="21"/>
                      <w:lang w:eastAsia="zh-CN" w:bidi="ar"/>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30"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小时</w:t>
                  </w:r>
                  <w:r>
                    <w:rPr>
                      <w:rFonts w:hint="default" w:ascii="Times New Roman" w:hAnsi="Times New Roman" w:eastAsia="宋体" w:cs="Times New Roman"/>
                      <w:kern w:val="0"/>
                      <w:sz w:val="21"/>
                      <w:szCs w:val="21"/>
                      <w:lang w:eastAsia="zh-CN" w:bidi="ar"/>
                    </w:rPr>
                    <w:t>蒸汽耗</w:t>
                  </w:r>
                  <w:r>
                    <w:rPr>
                      <w:rFonts w:hint="default" w:ascii="Times New Roman" w:hAnsi="Times New Roman" w:eastAsia="宋体" w:cs="Times New Roman"/>
                      <w:kern w:val="0"/>
                      <w:sz w:val="21"/>
                      <w:szCs w:val="21"/>
                      <w:lang w:bidi="ar"/>
                    </w:rPr>
                    <w:t>量(t)</w:t>
                  </w:r>
                </w:p>
              </w:tc>
              <w:tc>
                <w:tcPr>
                  <w:tcW w:w="2445"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15</w:t>
                  </w:r>
                </w:p>
              </w:tc>
              <w:tc>
                <w:tcPr>
                  <w:tcW w:w="2745"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val="en-US" w:eastAsia="zh-CN" w:bidi="ar"/>
                    </w:rPr>
                    <w:t>2</w:t>
                  </w:r>
                </w:p>
              </w:tc>
              <w:tc>
                <w:tcPr>
                  <w:tcW w:w="1204"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30"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年利用小时（h）</w:t>
                  </w:r>
                </w:p>
              </w:tc>
              <w:tc>
                <w:tcPr>
                  <w:tcW w:w="2445"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2400</w:t>
                  </w:r>
                </w:p>
              </w:tc>
              <w:tc>
                <w:tcPr>
                  <w:tcW w:w="2745"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2400</w:t>
                  </w:r>
                </w:p>
              </w:tc>
              <w:tc>
                <w:tcPr>
                  <w:tcW w:w="1204"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30"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Cs/>
                      <w:kern w:val="0"/>
                      <w:sz w:val="21"/>
                      <w:szCs w:val="21"/>
                      <w:lang w:bidi="ar"/>
                    </w:rPr>
                  </w:pPr>
                  <w:r>
                    <w:rPr>
                      <w:rFonts w:hint="default" w:ascii="Times New Roman" w:hAnsi="Times New Roman" w:eastAsia="宋体" w:cs="Times New Roman"/>
                      <w:bCs/>
                      <w:kern w:val="0"/>
                      <w:sz w:val="21"/>
                      <w:szCs w:val="21"/>
                      <w:lang w:bidi="ar"/>
                    </w:rPr>
                    <w:t>本项目年耗</w:t>
                  </w:r>
                  <w:r>
                    <w:rPr>
                      <w:rFonts w:hint="default" w:ascii="Times New Roman" w:hAnsi="Times New Roman" w:eastAsia="宋体" w:cs="Times New Roman"/>
                      <w:bCs/>
                      <w:kern w:val="0"/>
                      <w:sz w:val="21"/>
                      <w:szCs w:val="21"/>
                      <w:lang w:eastAsia="zh-CN" w:bidi="ar"/>
                    </w:rPr>
                    <w:t>蒸汽</w:t>
                  </w:r>
                  <w:r>
                    <w:rPr>
                      <w:rFonts w:hint="default" w:ascii="Times New Roman" w:hAnsi="Times New Roman" w:eastAsia="宋体" w:cs="Times New Roman"/>
                      <w:bCs/>
                      <w:kern w:val="0"/>
                      <w:sz w:val="21"/>
                      <w:szCs w:val="21"/>
                      <w:lang w:bidi="ar"/>
                    </w:rPr>
                    <w:t>量(t)</w:t>
                  </w:r>
                </w:p>
              </w:tc>
              <w:tc>
                <w:tcPr>
                  <w:tcW w:w="2445"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Cs/>
                      <w:kern w:val="0"/>
                      <w:sz w:val="21"/>
                      <w:szCs w:val="21"/>
                      <w:lang w:val="en-US" w:eastAsia="zh-CN" w:bidi="ar"/>
                    </w:rPr>
                  </w:pPr>
                  <w:r>
                    <w:rPr>
                      <w:rFonts w:hint="eastAsia" w:ascii="Times New Roman" w:hAnsi="Times New Roman" w:eastAsia="宋体" w:cs="Times New Roman"/>
                      <w:bCs/>
                      <w:kern w:val="0"/>
                      <w:sz w:val="21"/>
                      <w:szCs w:val="21"/>
                      <w:lang w:val="en-US" w:eastAsia="zh-CN" w:bidi="ar"/>
                    </w:rPr>
                    <w:t>36000</w:t>
                  </w:r>
                </w:p>
              </w:tc>
              <w:tc>
                <w:tcPr>
                  <w:tcW w:w="2745"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Cs/>
                      <w:kern w:val="0"/>
                      <w:sz w:val="21"/>
                      <w:szCs w:val="21"/>
                      <w:lang w:val="en-US" w:eastAsia="zh-CN" w:bidi="ar"/>
                    </w:rPr>
                  </w:pPr>
                  <w:r>
                    <w:rPr>
                      <w:rFonts w:hint="eastAsia" w:ascii="Times New Roman" w:hAnsi="Times New Roman" w:eastAsia="宋体" w:cs="Times New Roman"/>
                      <w:bCs/>
                      <w:kern w:val="0"/>
                      <w:sz w:val="21"/>
                      <w:szCs w:val="21"/>
                      <w:lang w:val="en-US" w:eastAsia="zh-CN" w:bidi="ar"/>
                    </w:rPr>
                    <w:t>4800</w:t>
                  </w:r>
                </w:p>
              </w:tc>
              <w:tc>
                <w:tcPr>
                  <w:tcW w:w="1204"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Cs/>
                      <w:kern w:val="0"/>
                      <w:sz w:val="21"/>
                      <w:szCs w:val="21"/>
                      <w:lang w:val="en-US" w:eastAsia="zh-CN" w:bidi="ar"/>
                    </w:rPr>
                  </w:pPr>
                  <w:r>
                    <w:rPr>
                      <w:rFonts w:hint="eastAsia" w:ascii="Times New Roman" w:hAnsi="Times New Roman" w:eastAsia="宋体" w:cs="Times New Roman"/>
                      <w:bCs/>
                      <w:kern w:val="0"/>
                      <w:sz w:val="21"/>
                      <w:szCs w:val="21"/>
                      <w:lang w:val="en-US" w:eastAsia="zh-CN" w:bidi="ar"/>
                    </w:rPr>
                    <w:t>40800</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textAlignment w:val="auto"/>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根据燃煤低位发热值3213kcal/kg，折合13437kJ/kg，锅炉设计效率88%，计算项目所需燃煤量为：</w:t>
            </w:r>
          </w:p>
          <w:p>
            <w:pPr>
              <w:keepNext w:val="0"/>
              <w:keepLines w:val="0"/>
              <w:pageBreakBefore w:val="0"/>
              <w:widowControl w:val="0"/>
              <w:kinsoku/>
              <w:wordWrap/>
              <w:overflowPunct/>
              <w:topLinePunct w:val="0"/>
              <w:autoSpaceDE/>
              <w:autoSpaceDN/>
              <w:bidi w:val="0"/>
              <w:adjustRightInd w:val="0"/>
              <w:snapToGrid w:val="0"/>
              <w:spacing w:line="360" w:lineRule="auto"/>
              <w:ind w:firstLine="0"/>
              <w:jc w:val="center"/>
              <w:textAlignment w:val="auto"/>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40800×2805.57÷13437÷88%=9680t</w:t>
            </w:r>
          </w:p>
          <w:p>
            <w:pPr>
              <w:adjustRightInd w:val="0"/>
              <w:snapToGrid w:val="0"/>
              <w:spacing w:line="360" w:lineRule="auto"/>
              <w:ind w:firstLine="480"/>
              <w:rPr>
                <w:rFonts w:hint="eastAsia"/>
                <w:lang w:val="en-US" w:eastAsia="zh-CN"/>
              </w:rPr>
            </w:pPr>
            <w:r>
              <w:rPr>
                <w:rFonts w:hint="eastAsia" w:ascii="Times New Roman" w:hAnsi="Times New Roman" w:cs="Times New Roman"/>
                <w:sz w:val="24"/>
                <w:lang w:val="en-US" w:eastAsia="zh-CN"/>
              </w:rPr>
              <w:t>本项目主要原辅材料及燃料的种类和用量如下表所示：</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szCs w:val="21"/>
              </w:rPr>
            </w:pPr>
            <w:r>
              <w:rPr>
                <w:rFonts w:ascii="Times New Roman" w:hAnsi="Times New Roman" w:cs="Times New Roman"/>
                <w:b/>
                <w:bCs/>
                <w:szCs w:val="21"/>
              </w:rPr>
              <w:t>表</w:t>
            </w:r>
            <w:r>
              <w:rPr>
                <w:rFonts w:hint="eastAsia" w:ascii="Times New Roman" w:hAnsi="Times New Roman" w:cs="Times New Roman"/>
                <w:b/>
                <w:bCs/>
                <w:szCs w:val="21"/>
              </w:rPr>
              <w:t>2-</w:t>
            </w:r>
            <w:r>
              <w:rPr>
                <w:rFonts w:hint="eastAsia" w:ascii="Times New Roman" w:hAnsi="Times New Roman" w:cs="Times New Roman"/>
                <w:b/>
                <w:bCs/>
                <w:szCs w:val="21"/>
                <w:lang w:val="en-US" w:eastAsia="zh-CN"/>
              </w:rPr>
              <w:t>3</w:t>
            </w:r>
            <w:r>
              <w:rPr>
                <w:rFonts w:ascii="Times New Roman" w:hAnsi="Times New Roman" w:cs="Times New Roman"/>
                <w:b/>
                <w:bCs/>
                <w:szCs w:val="21"/>
              </w:rPr>
              <w:t xml:space="preserve">  </w:t>
            </w:r>
            <w:r>
              <w:rPr>
                <w:rFonts w:hint="eastAsia" w:ascii="Times New Roman" w:hAnsi="Times New Roman" w:cs="Times New Roman"/>
                <w:b/>
                <w:bCs/>
                <w:szCs w:val="21"/>
                <w:lang w:val="en-US" w:eastAsia="zh-CN"/>
              </w:rPr>
              <w:t>主要原辅材料及燃料的种类和用量表</w:t>
            </w:r>
          </w:p>
          <w:tbl>
            <w:tblPr>
              <w:tblStyle w:val="24"/>
              <w:tblW w:w="49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7"/>
              <w:gridCol w:w="2520"/>
              <w:gridCol w:w="1251"/>
              <w:gridCol w:w="1642"/>
              <w:gridCol w:w="2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1" w:type="pct"/>
                  <w:vAlign w:val="center"/>
                </w:tcPr>
                <w:p>
                  <w:pPr>
                    <w:snapToGrid w:val="0"/>
                    <w:jc w:val="center"/>
                    <w:rPr>
                      <w:rFonts w:hint="eastAsia" w:ascii="Times New Roman" w:hAnsi="Times New Roman" w:cs="Times New Roman" w:eastAsiaTheme="minorEastAsia"/>
                      <w:b/>
                      <w:szCs w:val="21"/>
                      <w:lang w:eastAsia="zh-CN"/>
                    </w:rPr>
                  </w:pPr>
                  <w:r>
                    <w:rPr>
                      <w:rFonts w:hint="eastAsia" w:ascii="Times New Roman" w:hAnsi="Times New Roman" w:cs="Times New Roman"/>
                      <w:b/>
                      <w:szCs w:val="21"/>
                      <w:lang w:eastAsia="zh-CN"/>
                    </w:rPr>
                    <w:t>序号</w:t>
                  </w:r>
                </w:p>
              </w:tc>
              <w:tc>
                <w:tcPr>
                  <w:tcW w:w="1456" w:type="pct"/>
                  <w:vAlign w:val="center"/>
                </w:tcPr>
                <w:p>
                  <w:pPr>
                    <w:snapToGrid w:val="0"/>
                    <w:jc w:val="center"/>
                    <w:rPr>
                      <w:rFonts w:ascii="Times New Roman" w:hAnsi="Times New Roman" w:cs="Times New Roman"/>
                      <w:b/>
                      <w:szCs w:val="21"/>
                    </w:rPr>
                  </w:pPr>
                  <w:r>
                    <w:rPr>
                      <w:rFonts w:ascii="Times New Roman" w:hAnsi="Times New Roman" w:cs="Times New Roman"/>
                      <w:b/>
                      <w:szCs w:val="21"/>
                    </w:rPr>
                    <w:t>名称</w:t>
                  </w:r>
                </w:p>
              </w:tc>
              <w:tc>
                <w:tcPr>
                  <w:tcW w:w="723" w:type="pct"/>
                  <w:vAlign w:val="center"/>
                </w:tcPr>
                <w:p>
                  <w:pPr>
                    <w:snapToGrid w:val="0"/>
                    <w:jc w:val="center"/>
                    <w:rPr>
                      <w:rFonts w:ascii="Times New Roman" w:hAnsi="Times New Roman" w:cs="Times New Roman"/>
                      <w:b/>
                      <w:szCs w:val="21"/>
                    </w:rPr>
                  </w:pPr>
                  <w:r>
                    <w:rPr>
                      <w:rFonts w:ascii="Times New Roman" w:hAnsi="Times New Roman" w:cs="Times New Roman"/>
                      <w:b/>
                      <w:szCs w:val="21"/>
                    </w:rPr>
                    <w:t>单位</w:t>
                  </w:r>
                </w:p>
              </w:tc>
              <w:tc>
                <w:tcPr>
                  <w:tcW w:w="949" w:type="pct"/>
                  <w:vAlign w:val="center"/>
                </w:tcPr>
                <w:p>
                  <w:pPr>
                    <w:snapToGrid w:val="0"/>
                    <w:jc w:val="center"/>
                    <w:rPr>
                      <w:rFonts w:ascii="Times New Roman" w:hAnsi="Times New Roman" w:cs="Times New Roman"/>
                      <w:b/>
                      <w:szCs w:val="21"/>
                    </w:rPr>
                  </w:pPr>
                  <w:r>
                    <w:rPr>
                      <w:rFonts w:hint="eastAsia" w:ascii="Times New Roman" w:hAnsi="Times New Roman" w:cs="Times New Roman"/>
                      <w:b/>
                      <w:szCs w:val="21"/>
                    </w:rPr>
                    <w:t>消耗量</w:t>
                  </w:r>
                </w:p>
              </w:tc>
              <w:tc>
                <w:tcPr>
                  <w:tcW w:w="1258" w:type="pct"/>
                  <w:vAlign w:val="center"/>
                </w:tcPr>
                <w:p>
                  <w:pPr>
                    <w:snapToGrid w:val="0"/>
                    <w:jc w:val="center"/>
                    <w:rPr>
                      <w:rFonts w:ascii="Times New Roman" w:hAnsi="Times New Roman" w:cs="Times New Roman"/>
                      <w:b/>
                      <w:szCs w:val="21"/>
                    </w:rPr>
                  </w:pPr>
                  <w:r>
                    <w:rPr>
                      <w:rFonts w:ascii="Times New Roman" w:hAnsi="Times New Roman" w:cs="Times New Roman"/>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1" w:type="pct"/>
                  <w:vAlign w:val="center"/>
                </w:tcPr>
                <w:p>
                  <w:pPr>
                    <w:snapToGrid w:val="0"/>
                    <w:jc w:val="center"/>
                    <w:rPr>
                      <w:rFonts w:hint="eastAsia" w:ascii="Times New Roman" w:hAnsi="Times New Roman" w:cs="Times New Roman" w:eastAsiaTheme="minorEastAsia"/>
                      <w:bCs/>
                      <w:szCs w:val="21"/>
                      <w:lang w:val="en-US" w:eastAsia="zh-CN"/>
                    </w:rPr>
                  </w:pPr>
                  <w:r>
                    <w:rPr>
                      <w:rFonts w:hint="eastAsia" w:ascii="Times New Roman" w:hAnsi="Times New Roman" w:cs="Times New Roman"/>
                      <w:bCs/>
                      <w:szCs w:val="21"/>
                      <w:lang w:val="en-US" w:eastAsia="zh-CN"/>
                    </w:rPr>
                    <w:t>1</w:t>
                  </w:r>
                </w:p>
              </w:tc>
              <w:tc>
                <w:tcPr>
                  <w:tcW w:w="1456" w:type="pct"/>
                  <w:vAlign w:val="center"/>
                </w:tcPr>
                <w:p>
                  <w:pPr>
                    <w:pStyle w:val="19"/>
                    <w:spacing w:line="280" w:lineRule="exact"/>
                    <w:jc w:val="center"/>
                    <w:rPr>
                      <w:rFonts w:ascii="Times New Roman" w:hAnsi="Times New Roman" w:cs="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标煤</w:t>
                  </w:r>
                </w:p>
              </w:tc>
              <w:tc>
                <w:tcPr>
                  <w:tcW w:w="723" w:type="pct"/>
                  <w:vAlign w:val="center"/>
                </w:tcPr>
                <w:p>
                  <w:pPr>
                    <w:snapToGrid w:val="0"/>
                    <w:jc w:val="center"/>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t/a</w:t>
                  </w:r>
                </w:p>
              </w:tc>
              <w:tc>
                <w:tcPr>
                  <w:tcW w:w="949" w:type="pct"/>
                  <w:vAlign w:val="center"/>
                </w:tcPr>
                <w:p>
                  <w:pPr>
                    <w:snapToGrid w:val="0"/>
                    <w:jc w:val="center"/>
                    <w:rPr>
                      <w:rFonts w:hint="default" w:ascii="Times New Roman" w:hAnsi="Times New Roman" w:cs="Times New Roman" w:eastAsiaTheme="minorEastAsia"/>
                      <w:bCs/>
                      <w:color w:val="000000" w:themeColor="text1"/>
                      <w:szCs w:val="21"/>
                      <w:lang w:val="en-US" w:eastAsia="zh-CN"/>
                      <w14:textFill>
                        <w14:solidFill>
                          <w14:schemeClr w14:val="tx1"/>
                        </w14:solidFill>
                      </w14:textFill>
                    </w:rPr>
                  </w:pPr>
                  <w:r>
                    <w:rPr>
                      <w:rFonts w:hint="default" w:ascii="Times New Roman" w:hAnsi="Times New Roman" w:cs="Times New Roman" w:eastAsiaTheme="minorEastAsia"/>
                      <w:bCs/>
                      <w:color w:val="000000" w:themeColor="text1"/>
                      <w:szCs w:val="21"/>
                      <w:lang w:val="en-US" w:eastAsia="zh-CN"/>
                      <w14:textFill>
                        <w14:solidFill>
                          <w14:schemeClr w14:val="tx1"/>
                        </w14:solidFill>
                      </w14:textFill>
                    </w:rPr>
                    <w:t>9680</w:t>
                  </w:r>
                </w:p>
              </w:tc>
              <w:tc>
                <w:tcPr>
                  <w:tcW w:w="1258" w:type="pct"/>
                  <w:vAlign w:val="center"/>
                </w:tcPr>
                <w:p>
                  <w:pPr>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褐煤</w:t>
                  </w:r>
                  <w:r>
                    <w:rPr>
                      <w:rFonts w:hint="default" w:ascii="Times New Roman" w:hAnsi="Times New Roman" w:cs="Times New Roman"/>
                      <w:color w:val="000000" w:themeColor="text1"/>
                      <w:szCs w:val="21"/>
                      <w14:textFill>
                        <w14:solidFill>
                          <w14:schemeClr w14:val="tx1"/>
                        </w14:solidFill>
                      </w14:textFill>
                    </w:rPr>
                    <w:t>外购，</w:t>
                  </w:r>
                  <w:r>
                    <w:rPr>
                      <w:rFonts w:hint="eastAsia" w:ascii="Times New Roman" w:hAnsi="Times New Roman" w:cs="Times New Roman"/>
                      <w:color w:val="000000" w:themeColor="text1"/>
                      <w:szCs w:val="21"/>
                      <w:lang w:eastAsia="zh-CN"/>
                      <w14:textFill>
                        <w14:solidFill>
                          <w14:schemeClr w14:val="tx1"/>
                        </w14:solidFill>
                      </w14:textFill>
                    </w:rPr>
                    <w:t>煤棚</w:t>
                  </w:r>
                  <w:r>
                    <w:rPr>
                      <w:rFonts w:hint="default" w:ascii="Times New Roman" w:hAnsi="Times New Roman" w:cs="Times New Roman"/>
                      <w:color w:val="000000" w:themeColor="text1"/>
                      <w:szCs w:val="21"/>
                      <w14:textFill>
                        <w14:solidFill>
                          <w14:schemeClr w14:val="tx1"/>
                        </w14:solidFill>
                      </w14:textFill>
                    </w:rPr>
                    <w:t>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1" w:type="pct"/>
                  <w:vAlign w:val="center"/>
                </w:tcPr>
                <w:p>
                  <w:pPr>
                    <w:snapToGrid w:val="0"/>
                    <w:jc w:val="center"/>
                    <w:rPr>
                      <w:rFonts w:hint="eastAsia" w:ascii="Times New Roman" w:hAnsi="Times New Roman" w:cs="Times New Roman" w:eastAsiaTheme="minorEastAsia"/>
                      <w:bCs/>
                      <w:szCs w:val="21"/>
                      <w:highlight w:val="yellow"/>
                      <w:lang w:val="en-US" w:eastAsia="zh-CN"/>
                    </w:rPr>
                  </w:pPr>
                  <w:r>
                    <w:rPr>
                      <w:rFonts w:hint="eastAsia" w:ascii="Times New Roman" w:hAnsi="Times New Roman" w:cs="Times New Roman"/>
                      <w:bCs/>
                      <w:szCs w:val="21"/>
                      <w:highlight w:val="none"/>
                      <w:lang w:val="en-US" w:eastAsia="zh-CN"/>
                    </w:rPr>
                    <w:t>2</w:t>
                  </w:r>
                </w:p>
              </w:tc>
              <w:tc>
                <w:tcPr>
                  <w:tcW w:w="1456" w:type="pct"/>
                  <w:vAlign w:val="center"/>
                </w:tcPr>
                <w:p>
                  <w:pPr>
                    <w:pStyle w:val="19"/>
                    <w:spacing w:line="280" w:lineRule="exact"/>
                    <w:jc w:val="center"/>
                    <w:rPr>
                      <w:rFonts w:ascii="Times New Roman" w:hAnsi="Times New Roman" w:cs="Times New Roman"/>
                      <w:bCs/>
                      <w:szCs w:val="21"/>
                    </w:rPr>
                  </w:pPr>
                  <w:r>
                    <w:rPr>
                      <w:rFonts w:hint="default" w:ascii="Times New Roman" w:hAnsi="Times New Roman" w:eastAsia="宋体" w:cs="Times New Roman"/>
                      <w:color w:val="auto"/>
                      <w:sz w:val="21"/>
                      <w:szCs w:val="21"/>
                      <w:lang w:val="en-US" w:eastAsia="zh-CN" w:bidi="ar"/>
                    </w:rPr>
                    <w:t>氧化镁</w:t>
                  </w:r>
                </w:p>
              </w:tc>
              <w:tc>
                <w:tcPr>
                  <w:tcW w:w="723" w:type="pct"/>
                  <w:vAlign w:val="center"/>
                </w:tcPr>
                <w:p>
                  <w:pPr>
                    <w:snapToGrid w:val="0"/>
                    <w:jc w:val="center"/>
                    <w:rPr>
                      <w:rFonts w:ascii="Times New Roman" w:hAnsi="Times New Roman" w:cs="Times New Roman"/>
                      <w:bCs/>
                      <w:szCs w:val="21"/>
                    </w:rPr>
                  </w:pPr>
                  <w:r>
                    <w:rPr>
                      <w:rFonts w:hint="eastAsia" w:ascii="Times New Roman" w:hAnsi="Times New Roman" w:cs="Times New Roman"/>
                      <w:bCs/>
                      <w:szCs w:val="21"/>
                    </w:rPr>
                    <w:t>t/a</w:t>
                  </w:r>
                </w:p>
              </w:tc>
              <w:tc>
                <w:tcPr>
                  <w:tcW w:w="949" w:type="pct"/>
                  <w:vAlign w:val="center"/>
                </w:tcPr>
                <w:p>
                  <w:pPr>
                    <w:snapToGrid w:val="0"/>
                    <w:jc w:val="center"/>
                    <w:rPr>
                      <w:rFonts w:hint="default" w:ascii="Times New Roman" w:hAnsi="Times New Roman" w:cs="Times New Roman" w:eastAsiaTheme="minorEastAsia"/>
                      <w:bCs/>
                      <w:szCs w:val="21"/>
                      <w:lang w:val="en-US" w:eastAsia="zh-CN"/>
                    </w:rPr>
                  </w:pPr>
                  <w:r>
                    <w:rPr>
                      <w:rFonts w:hint="eastAsia" w:ascii="Times New Roman" w:hAnsi="Times New Roman" w:cs="Times New Roman"/>
                      <w:bCs/>
                      <w:szCs w:val="21"/>
                      <w:lang w:val="en-US" w:eastAsia="zh-CN"/>
                    </w:rPr>
                    <w:t>258</w:t>
                  </w:r>
                </w:p>
              </w:tc>
              <w:tc>
                <w:tcPr>
                  <w:tcW w:w="1258" w:type="pct"/>
                  <w:vAlign w:val="center"/>
                </w:tcPr>
                <w:p>
                  <w:pPr>
                    <w:snapToGrid w:val="0"/>
                    <w:jc w:val="center"/>
                    <w:rPr>
                      <w:rFonts w:ascii="Times New Roman" w:hAnsi="Times New Roman" w:cs="Times New Roman"/>
                      <w:szCs w:val="21"/>
                    </w:rPr>
                  </w:pPr>
                  <w:r>
                    <w:rPr>
                      <w:rFonts w:hint="default" w:ascii="Times New Roman" w:hAnsi="Times New Roman" w:cs="Times New Roman"/>
                      <w:szCs w:val="21"/>
                    </w:rPr>
                    <w:t>外购，车间储存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1" w:type="pct"/>
                  <w:vAlign w:val="center"/>
                </w:tcPr>
                <w:p>
                  <w:pPr>
                    <w:snapToGrid w:val="0"/>
                    <w:jc w:val="center"/>
                    <w:rPr>
                      <w:rFonts w:hint="default" w:ascii="Times New Roman" w:hAnsi="Times New Roman" w:cs="Times New Roman"/>
                      <w:bCs/>
                      <w:szCs w:val="21"/>
                      <w:highlight w:val="none"/>
                      <w:lang w:val="en-US" w:eastAsia="zh-CN"/>
                    </w:rPr>
                  </w:pPr>
                  <w:r>
                    <w:rPr>
                      <w:rFonts w:hint="eastAsia" w:ascii="Times New Roman" w:hAnsi="Times New Roman" w:cs="Times New Roman"/>
                      <w:bCs/>
                      <w:szCs w:val="21"/>
                      <w:highlight w:val="none"/>
                      <w:lang w:val="en-US" w:eastAsia="zh-CN"/>
                    </w:rPr>
                    <w:t>3</w:t>
                  </w:r>
                </w:p>
              </w:tc>
              <w:tc>
                <w:tcPr>
                  <w:tcW w:w="1456" w:type="pct"/>
                  <w:vAlign w:val="center"/>
                </w:tcPr>
                <w:p>
                  <w:pPr>
                    <w:snapToGrid w:val="0"/>
                    <w:jc w:val="center"/>
                    <w:rPr>
                      <w:rFonts w:ascii="Times New Roman" w:hAnsi="Times New Roman" w:cs="Times New Roman"/>
                      <w:szCs w:val="21"/>
                    </w:rPr>
                  </w:pPr>
                  <w:r>
                    <w:rPr>
                      <w:rFonts w:hint="eastAsia" w:ascii="Times New Roman" w:hAnsi="Times New Roman" w:cs="Times New Roman"/>
                      <w:szCs w:val="21"/>
                      <w:lang w:val="en-US" w:eastAsia="zh-CN"/>
                    </w:rPr>
                    <w:t>脱硝剂</w:t>
                  </w:r>
                </w:p>
              </w:tc>
              <w:tc>
                <w:tcPr>
                  <w:tcW w:w="723" w:type="pct"/>
                  <w:vAlign w:val="center"/>
                </w:tcPr>
                <w:p>
                  <w:pPr>
                    <w:snapToGrid w:val="0"/>
                    <w:jc w:val="center"/>
                    <w:rPr>
                      <w:rFonts w:ascii="Times New Roman" w:hAnsi="Times New Roman" w:cs="Times New Roman"/>
                      <w:szCs w:val="21"/>
                    </w:rPr>
                  </w:pPr>
                  <w:r>
                    <w:rPr>
                      <w:rFonts w:hint="eastAsia" w:ascii="Times New Roman" w:hAnsi="Times New Roman" w:cs="Times New Roman"/>
                      <w:bCs/>
                      <w:szCs w:val="21"/>
                    </w:rPr>
                    <w:t>t/a</w:t>
                  </w:r>
                </w:p>
              </w:tc>
              <w:tc>
                <w:tcPr>
                  <w:tcW w:w="949" w:type="pct"/>
                  <w:vAlign w:val="center"/>
                </w:tcPr>
                <w:p>
                  <w:pPr>
                    <w:snapToGrid w:val="0"/>
                    <w:jc w:val="center"/>
                    <w:rPr>
                      <w:rFonts w:hint="default" w:ascii="Times New Roman" w:hAnsi="Times New Roman" w:cs="Times New Roman" w:eastAsiaTheme="minorEastAsia"/>
                      <w:bCs/>
                      <w:szCs w:val="21"/>
                      <w:lang w:val="en-US" w:eastAsia="zh-CN"/>
                    </w:rPr>
                  </w:pPr>
                  <w:r>
                    <w:rPr>
                      <w:rFonts w:hint="eastAsia" w:ascii="Times New Roman" w:hAnsi="Times New Roman" w:cs="Times New Roman"/>
                      <w:bCs/>
                      <w:szCs w:val="21"/>
                      <w:lang w:val="en-US" w:eastAsia="zh-CN"/>
                    </w:rPr>
                    <w:t>194</w:t>
                  </w:r>
                </w:p>
              </w:tc>
              <w:tc>
                <w:tcPr>
                  <w:tcW w:w="1258" w:type="pct"/>
                  <w:vAlign w:val="center"/>
                </w:tcPr>
                <w:p>
                  <w:pPr>
                    <w:snapToGrid w:val="0"/>
                    <w:jc w:val="center"/>
                    <w:rPr>
                      <w:rFonts w:hint="eastAsia" w:ascii="Times New Roman" w:hAnsi="Times New Roman" w:cs="Times New Roman"/>
                      <w:bCs/>
                      <w:szCs w:val="21"/>
                    </w:rPr>
                  </w:pPr>
                  <w:r>
                    <w:rPr>
                      <w:rFonts w:hint="eastAsia" w:ascii="Times New Roman" w:hAnsi="Times New Roman" w:cs="Times New Roman"/>
                      <w:bCs/>
                      <w:szCs w:val="21"/>
                    </w:rPr>
                    <w:t>外购，车间储存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1" w:type="pct"/>
                  <w:vAlign w:val="center"/>
                </w:tcPr>
                <w:p>
                  <w:pPr>
                    <w:snapToGrid w:val="0"/>
                    <w:jc w:val="center"/>
                    <w:rPr>
                      <w:rFonts w:hint="default" w:ascii="Times New Roman" w:hAnsi="Times New Roman" w:cs="Times New Roman"/>
                      <w:bCs/>
                      <w:color w:val="auto"/>
                      <w:szCs w:val="21"/>
                      <w:highlight w:val="none"/>
                      <w:lang w:val="en-US" w:eastAsia="zh-CN"/>
                    </w:rPr>
                  </w:pPr>
                  <w:r>
                    <w:rPr>
                      <w:rFonts w:hint="eastAsia" w:ascii="Times New Roman" w:hAnsi="Times New Roman" w:cs="Times New Roman"/>
                      <w:bCs/>
                      <w:color w:val="auto"/>
                      <w:szCs w:val="21"/>
                      <w:highlight w:val="none"/>
                      <w:lang w:val="en-US" w:eastAsia="zh-CN"/>
                    </w:rPr>
                    <w:t>4</w:t>
                  </w:r>
                </w:p>
              </w:tc>
              <w:tc>
                <w:tcPr>
                  <w:tcW w:w="1456" w:type="pct"/>
                  <w:vAlign w:val="center"/>
                </w:tcPr>
                <w:p>
                  <w:pPr>
                    <w:pStyle w:val="19"/>
                    <w:spacing w:line="280" w:lineRule="exact"/>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新鲜水</w:t>
                  </w:r>
                </w:p>
              </w:tc>
              <w:tc>
                <w:tcPr>
                  <w:tcW w:w="723" w:type="pct"/>
                  <w:vAlign w:val="center"/>
                </w:tcPr>
                <w:p>
                  <w:pPr>
                    <w:pStyle w:val="19"/>
                    <w:spacing w:line="28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w:t>
                  </w:r>
                  <w:r>
                    <w:rPr>
                      <w:rFonts w:hint="default" w:ascii="Times New Roman" w:hAnsi="Times New Roman" w:eastAsia="宋体" w:cs="Times New Roman"/>
                      <w:color w:val="auto"/>
                      <w:kern w:val="0"/>
                      <w:sz w:val="21"/>
                      <w:szCs w:val="21"/>
                      <w:vertAlign w:val="superscript"/>
                      <w:lang w:val="en-US" w:eastAsia="zh-CN" w:bidi="ar-SA"/>
                    </w:rPr>
                    <w:t>3</w:t>
                  </w:r>
                  <w:r>
                    <w:rPr>
                      <w:rFonts w:hint="default" w:ascii="Times New Roman" w:hAnsi="Times New Roman" w:eastAsia="宋体" w:cs="Times New Roman"/>
                      <w:color w:val="auto"/>
                      <w:kern w:val="0"/>
                      <w:sz w:val="21"/>
                      <w:szCs w:val="21"/>
                      <w:lang w:val="en-US" w:eastAsia="zh-CN" w:bidi="ar-SA"/>
                    </w:rPr>
                    <w:t>/a</w:t>
                  </w:r>
                </w:p>
              </w:tc>
              <w:tc>
                <w:tcPr>
                  <w:tcW w:w="949" w:type="pct"/>
                  <w:vAlign w:val="center"/>
                </w:tcPr>
                <w:p>
                  <w:pPr>
                    <w:snapToGrid w:val="0"/>
                    <w:jc w:val="center"/>
                    <w:rPr>
                      <w:rFonts w:hint="eastAsia" w:ascii="Times New Roman" w:hAnsi="Times New Roman" w:cs="Times New Roman"/>
                      <w:bCs/>
                      <w:color w:val="auto"/>
                      <w:szCs w:val="21"/>
                    </w:rPr>
                  </w:pPr>
                  <w:r>
                    <w:rPr>
                      <w:rFonts w:hint="eastAsia" w:ascii="Times New Roman" w:hAnsi="Times New Roman" w:cs="Times New Roman"/>
                      <w:bCs/>
                      <w:color w:val="auto"/>
                      <w:szCs w:val="21"/>
                      <w:lang w:val="en-US" w:eastAsia="zh-CN"/>
                    </w:rPr>
                    <w:t>48010</w:t>
                  </w:r>
                </w:p>
              </w:tc>
              <w:tc>
                <w:tcPr>
                  <w:tcW w:w="1258" w:type="pct"/>
                  <w:vAlign w:val="center"/>
                </w:tcPr>
                <w:p>
                  <w:pPr>
                    <w:snapToGrid w:val="0"/>
                    <w:jc w:val="center"/>
                    <w:rPr>
                      <w:rFonts w:hint="eastAsia" w:ascii="Times New Roman" w:hAnsi="Times New Roman" w:cs="Times New Roman" w:eastAsiaTheme="minorEastAsia"/>
                      <w:bCs/>
                      <w:color w:val="auto"/>
                      <w:szCs w:val="21"/>
                      <w:lang w:eastAsia="zh-CN"/>
                    </w:rPr>
                  </w:pPr>
                  <w:r>
                    <w:rPr>
                      <w:rFonts w:hint="eastAsia" w:ascii="Times New Roman" w:hAnsi="Times New Roman" w:cs="Times New Roman"/>
                      <w:bCs/>
                      <w:color w:val="auto"/>
                      <w:szCs w:val="21"/>
                      <w:lang w:eastAsia="zh-CN"/>
                    </w:rPr>
                    <w:t>厂区自备水井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1" w:type="pct"/>
                  <w:vAlign w:val="center"/>
                </w:tcPr>
                <w:p>
                  <w:pPr>
                    <w:snapToGrid w:val="0"/>
                    <w:jc w:val="center"/>
                    <w:rPr>
                      <w:rFonts w:hint="default" w:ascii="Times New Roman" w:hAnsi="Times New Roman" w:cs="Times New Roman"/>
                      <w:bCs/>
                      <w:szCs w:val="21"/>
                      <w:highlight w:val="none"/>
                      <w:lang w:val="en-US" w:eastAsia="zh-CN"/>
                    </w:rPr>
                  </w:pPr>
                  <w:r>
                    <w:rPr>
                      <w:rFonts w:hint="eastAsia" w:ascii="Times New Roman" w:hAnsi="Times New Roman" w:cs="Times New Roman"/>
                      <w:bCs/>
                      <w:szCs w:val="21"/>
                      <w:highlight w:val="none"/>
                      <w:lang w:val="en-US" w:eastAsia="zh-CN"/>
                    </w:rPr>
                    <w:t>5</w:t>
                  </w:r>
                </w:p>
              </w:tc>
              <w:tc>
                <w:tcPr>
                  <w:tcW w:w="1456" w:type="pct"/>
                  <w:vAlign w:val="center"/>
                </w:tcPr>
                <w:p>
                  <w:pPr>
                    <w:pStyle w:val="19"/>
                    <w:spacing w:line="280" w:lineRule="exact"/>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bidi="ar"/>
                    </w:rPr>
                    <w:t>电</w:t>
                  </w:r>
                </w:p>
              </w:tc>
              <w:tc>
                <w:tcPr>
                  <w:tcW w:w="723" w:type="pct"/>
                  <w:vAlign w:val="center"/>
                </w:tcPr>
                <w:p>
                  <w:pPr>
                    <w:pStyle w:val="19"/>
                    <w:spacing w:line="280" w:lineRule="exac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bidi="ar"/>
                    </w:rPr>
                    <w:t>kW·h/a</w:t>
                  </w:r>
                </w:p>
              </w:tc>
              <w:tc>
                <w:tcPr>
                  <w:tcW w:w="949" w:type="pct"/>
                  <w:vAlign w:val="center"/>
                </w:tcPr>
                <w:p>
                  <w:pPr>
                    <w:snapToGrid w:val="0"/>
                    <w:jc w:val="center"/>
                    <w:rPr>
                      <w:rFonts w:hint="default" w:ascii="Times New Roman" w:hAnsi="Times New Roman" w:cs="Times New Roman"/>
                      <w:bCs/>
                      <w:szCs w:val="21"/>
                      <w:lang w:val="en-US"/>
                    </w:rPr>
                  </w:pPr>
                  <w:r>
                    <w:rPr>
                      <w:rFonts w:hint="eastAsia" w:ascii="Times New Roman" w:hAnsi="Times New Roman" w:cs="Times New Roman"/>
                      <w:bCs/>
                      <w:szCs w:val="21"/>
                      <w:lang w:val="en-US" w:eastAsia="zh-CN"/>
                    </w:rPr>
                    <w:t>284.8万</w:t>
                  </w:r>
                </w:p>
              </w:tc>
              <w:tc>
                <w:tcPr>
                  <w:tcW w:w="1258" w:type="pct"/>
                  <w:vAlign w:val="center"/>
                </w:tcPr>
                <w:p>
                  <w:pPr>
                    <w:snapToGrid w:val="0"/>
                    <w:jc w:val="center"/>
                    <w:rPr>
                      <w:rFonts w:hint="eastAsia" w:ascii="Times New Roman" w:hAnsi="Times New Roman" w:cs="Times New Roman"/>
                      <w:bCs/>
                      <w:szCs w:val="21"/>
                    </w:rPr>
                  </w:pPr>
                  <w:r>
                    <w:rPr>
                      <w:rFonts w:hint="eastAsia" w:ascii="Times New Roman" w:hAnsi="Times New Roman" w:cs="Times New Roman"/>
                      <w:bCs/>
                      <w:szCs w:val="21"/>
                      <w:lang w:val="en-US" w:eastAsia="zh-CN"/>
                    </w:rPr>
                    <w:t>当地乡镇供电网供电</w:t>
                  </w:r>
                </w:p>
              </w:tc>
            </w:tr>
          </w:tbl>
          <w:p>
            <w:pPr>
              <w:keepNext w:val="0"/>
              <w:keepLines w:val="0"/>
              <w:pageBreakBefore w:val="0"/>
              <w:widowControl/>
              <w:suppressLineNumbers w:val="0"/>
              <w:kinsoku/>
              <w:wordWrap/>
              <w:overflowPunct/>
              <w:topLinePunct w:val="0"/>
              <w:autoSpaceDE/>
              <w:autoSpaceDN/>
              <w:bidi w:val="0"/>
              <w:adjustRightInd w:val="0"/>
              <w:snapToGrid w:val="0"/>
              <w:spacing w:before="157" w:beforeLines="50" w:line="360" w:lineRule="auto"/>
              <w:ind w:firstLine="482" w:firstLineChars="200"/>
              <w:jc w:val="left"/>
              <w:textAlignment w:val="auto"/>
              <w:rPr>
                <w:rFonts w:hint="default"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主要原辅材料物性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（1）</w:t>
            </w:r>
            <w:r>
              <w:rPr>
                <w:rFonts w:hint="default" w:ascii="Times New Roman" w:hAnsi="Times New Roman" w:eastAsia="宋体" w:cs="Times New Roman"/>
                <w:b w:val="0"/>
                <w:bCs/>
                <w:color w:val="auto"/>
                <w:sz w:val="24"/>
                <w:lang w:val="en-US" w:eastAsia="zh-CN"/>
              </w:rPr>
              <w:t xml:space="preserve">煤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color w:val="auto"/>
                <w:sz w:val="24"/>
                <w:lang w:val="en-US" w:eastAsia="zh-CN"/>
              </w:rPr>
            </w:pPr>
            <w:r>
              <w:rPr>
                <w:rFonts w:hint="default" w:ascii="Times New Roman" w:hAnsi="Times New Roman" w:eastAsia="宋体" w:cs="Times New Roman"/>
                <w:b w:val="0"/>
                <w:bCs/>
                <w:color w:val="auto"/>
                <w:sz w:val="24"/>
                <w:lang w:val="en-US" w:eastAsia="zh-CN"/>
              </w:rPr>
              <w:t>根据企业提供的煤炭测试报告（见附件</w:t>
            </w:r>
            <w:r>
              <w:rPr>
                <w:rFonts w:hint="eastAsia" w:ascii="Times New Roman" w:hAnsi="Times New Roman" w:eastAsia="宋体" w:cs="Times New Roman"/>
                <w:b w:val="0"/>
                <w:bCs/>
                <w:color w:val="auto"/>
                <w:sz w:val="24"/>
                <w:lang w:val="en-US" w:eastAsia="zh-CN"/>
              </w:rPr>
              <w:t>）</w:t>
            </w:r>
            <w:r>
              <w:rPr>
                <w:rFonts w:hint="default" w:ascii="Times New Roman" w:hAnsi="Times New Roman" w:eastAsia="宋体" w:cs="Times New Roman"/>
                <w:b w:val="0"/>
                <w:bCs/>
                <w:color w:val="auto"/>
                <w:sz w:val="24"/>
                <w:lang w:val="en-US" w:eastAsia="zh-CN"/>
              </w:rPr>
              <w:t>项目煤质分析见下表</w:t>
            </w:r>
            <w:r>
              <w:rPr>
                <w:rFonts w:hint="eastAsia" w:ascii="Times New Roman" w:hAnsi="Times New Roman" w:eastAsia="宋体" w:cs="Times New Roman"/>
                <w:b w:val="0"/>
                <w:bCs/>
                <w:color w:val="auto"/>
                <w:sz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bCs/>
                <w:szCs w:val="21"/>
              </w:rPr>
            </w:pPr>
            <w:r>
              <w:rPr>
                <w:rFonts w:ascii="Times New Roman" w:hAnsi="Times New Roman" w:cs="Times New Roman"/>
                <w:b/>
                <w:bCs/>
                <w:szCs w:val="21"/>
              </w:rPr>
              <w:t>表</w:t>
            </w:r>
            <w:r>
              <w:rPr>
                <w:rFonts w:hint="eastAsia" w:ascii="Times New Roman" w:hAnsi="Times New Roman" w:cs="Times New Roman"/>
                <w:b/>
                <w:bCs/>
                <w:szCs w:val="21"/>
              </w:rPr>
              <w:t>2-</w:t>
            </w:r>
            <w:r>
              <w:rPr>
                <w:rFonts w:hint="eastAsia" w:ascii="Times New Roman" w:hAnsi="Times New Roman" w:cs="Times New Roman"/>
                <w:b/>
                <w:bCs/>
                <w:szCs w:val="21"/>
                <w:lang w:val="en-US" w:eastAsia="zh-CN"/>
              </w:rPr>
              <w:t>4</w:t>
            </w:r>
            <w:r>
              <w:rPr>
                <w:rFonts w:ascii="Times New Roman" w:hAnsi="Times New Roman" w:cs="Times New Roman"/>
                <w:b/>
                <w:bCs/>
                <w:szCs w:val="21"/>
              </w:rPr>
              <w:t xml:space="preserve"> </w:t>
            </w:r>
            <w:r>
              <w:rPr>
                <w:rFonts w:hint="eastAsia" w:ascii="Times New Roman" w:hAnsi="Times New Roman" w:eastAsia="宋体" w:cs="Times New Roman"/>
                <w:b/>
                <w:color w:val="auto"/>
                <w:kern w:val="2"/>
                <w:sz w:val="21"/>
                <w:szCs w:val="21"/>
                <w:lang w:val="en-US" w:eastAsia="zh-CN" w:bidi="ar-SA"/>
              </w:rPr>
              <w:t>项目</w:t>
            </w:r>
            <w:r>
              <w:rPr>
                <w:rFonts w:hint="eastAsia" w:ascii="Times New Roman" w:hAnsi="Times New Roman" w:cs="Times New Roman"/>
                <w:b/>
                <w:color w:val="auto"/>
                <w:kern w:val="2"/>
                <w:sz w:val="21"/>
                <w:szCs w:val="21"/>
                <w:lang w:val="en-US" w:eastAsia="zh-CN" w:bidi="ar-SA"/>
              </w:rPr>
              <w:t>燃煤煤质成分</w:t>
            </w:r>
            <w:r>
              <w:rPr>
                <w:rFonts w:hint="eastAsia" w:ascii="Times New Roman" w:hAnsi="Times New Roman" w:eastAsia="宋体" w:cs="Times New Roman"/>
                <w:b/>
                <w:color w:val="auto"/>
                <w:kern w:val="2"/>
                <w:sz w:val="21"/>
                <w:szCs w:val="21"/>
                <w:lang w:val="en-US" w:eastAsia="zh-CN" w:bidi="ar-SA"/>
              </w:rPr>
              <w:t>表</w:t>
            </w:r>
          </w:p>
          <w:tbl>
            <w:tblPr>
              <w:tblStyle w:val="25"/>
              <w:tblpPr w:leftFromText="180" w:rightFromText="180" w:vertAnchor="text" w:horzAnchor="page" w:tblpXSpec="center" w:tblpY="79"/>
              <w:tblOverlap w:val="never"/>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9"/>
              <w:gridCol w:w="1029"/>
              <w:gridCol w:w="1407"/>
              <w:gridCol w:w="1495"/>
              <w:gridCol w:w="1607"/>
              <w:gridCol w:w="1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6"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检验项目</w:t>
                  </w:r>
                </w:p>
              </w:tc>
              <w:tc>
                <w:tcPr>
                  <w:tcW w:w="594"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eastAsia="zh-CN"/>
                    </w:rPr>
                  </w:pPr>
                  <w:r>
                    <w:rPr>
                      <w:rFonts w:hint="eastAsia" w:ascii="Times New Roman" w:hAnsi="Times New Roman" w:cs="Times New Roman"/>
                      <w:sz w:val="21"/>
                      <w:szCs w:val="21"/>
                      <w:lang w:eastAsia="zh-CN"/>
                    </w:rPr>
                    <w:t>单位</w:t>
                  </w:r>
                </w:p>
              </w:tc>
              <w:tc>
                <w:tcPr>
                  <w:tcW w:w="812"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收到基ar</w:t>
                  </w:r>
                </w:p>
              </w:tc>
              <w:tc>
                <w:tcPr>
                  <w:tcW w:w="863"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eastAsia="zh-CN"/>
                    </w:rPr>
                    <w:t>空气干燥基</w:t>
                  </w:r>
                  <w:r>
                    <w:rPr>
                      <w:rFonts w:hint="eastAsia" w:ascii="Times New Roman" w:hAnsi="Times New Roman" w:cs="Times New Roman"/>
                      <w:sz w:val="21"/>
                      <w:szCs w:val="21"/>
                      <w:lang w:val="en-US" w:eastAsia="zh-CN"/>
                    </w:rPr>
                    <w:t>ad</w:t>
                  </w:r>
                </w:p>
              </w:tc>
              <w:tc>
                <w:tcPr>
                  <w:tcW w:w="928"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干燥基d</w:t>
                  </w:r>
                </w:p>
              </w:tc>
              <w:tc>
                <w:tcPr>
                  <w:tcW w:w="1045"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eastAsia="zh-CN"/>
                    </w:rPr>
                    <w:t>干燥无灰基</w:t>
                  </w:r>
                  <w:r>
                    <w:rPr>
                      <w:rFonts w:hint="eastAsia" w:ascii="Times New Roman" w:hAnsi="Times New Roman" w:cs="Times New Roman"/>
                      <w:sz w:val="21"/>
                      <w:szCs w:val="21"/>
                      <w:lang w:val="en-US" w:eastAsia="zh-CN"/>
                    </w:rPr>
                    <w:t>daf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6"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分析水分（Mda）</w:t>
                  </w:r>
                </w:p>
              </w:tc>
              <w:tc>
                <w:tcPr>
                  <w:tcW w:w="594"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812"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863"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10.23</w:t>
                  </w:r>
                </w:p>
              </w:tc>
              <w:tc>
                <w:tcPr>
                  <w:tcW w:w="928"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045"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6"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全水分（Mt）</w:t>
                  </w:r>
                </w:p>
              </w:tc>
              <w:tc>
                <w:tcPr>
                  <w:tcW w:w="594"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812"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27.9</w:t>
                  </w:r>
                </w:p>
              </w:tc>
              <w:tc>
                <w:tcPr>
                  <w:tcW w:w="86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928"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045"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6"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灰分（A）</w:t>
                  </w:r>
                </w:p>
              </w:tc>
              <w:tc>
                <w:tcPr>
                  <w:tcW w:w="594"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812"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17.69</w:t>
                  </w:r>
                </w:p>
              </w:tc>
              <w:tc>
                <w:tcPr>
                  <w:tcW w:w="86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22.02</w:t>
                  </w:r>
                </w:p>
              </w:tc>
              <w:tc>
                <w:tcPr>
                  <w:tcW w:w="928"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24.53</w:t>
                  </w:r>
                </w:p>
              </w:tc>
              <w:tc>
                <w:tcPr>
                  <w:tcW w:w="1045"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6"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挥发分（V）</w:t>
                  </w:r>
                </w:p>
              </w:tc>
              <w:tc>
                <w:tcPr>
                  <w:tcW w:w="594"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812"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24.01</w:t>
                  </w:r>
                </w:p>
              </w:tc>
              <w:tc>
                <w:tcPr>
                  <w:tcW w:w="86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29.89</w:t>
                  </w:r>
                </w:p>
              </w:tc>
              <w:tc>
                <w:tcPr>
                  <w:tcW w:w="928"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33.03</w:t>
                  </w:r>
                </w:p>
              </w:tc>
              <w:tc>
                <w:tcPr>
                  <w:tcW w:w="1045"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44.12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6"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固定碳（FC）</w:t>
                  </w:r>
                </w:p>
              </w:tc>
              <w:tc>
                <w:tcPr>
                  <w:tcW w:w="594"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812"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30.41</w:t>
                  </w:r>
                </w:p>
              </w:tc>
              <w:tc>
                <w:tcPr>
                  <w:tcW w:w="86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37.86</w:t>
                  </w:r>
                </w:p>
              </w:tc>
              <w:tc>
                <w:tcPr>
                  <w:tcW w:w="928"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42.17</w:t>
                  </w:r>
                </w:p>
              </w:tc>
              <w:tc>
                <w:tcPr>
                  <w:tcW w:w="1045"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55.88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6"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全硫（St）</w:t>
                  </w:r>
                </w:p>
              </w:tc>
              <w:tc>
                <w:tcPr>
                  <w:tcW w:w="594"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812"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0.24</w:t>
                  </w:r>
                </w:p>
              </w:tc>
              <w:tc>
                <w:tcPr>
                  <w:tcW w:w="86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0.30</w:t>
                  </w:r>
                </w:p>
              </w:tc>
              <w:tc>
                <w:tcPr>
                  <w:tcW w:w="928"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0.33</w:t>
                  </w:r>
                </w:p>
              </w:tc>
              <w:tc>
                <w:tcPr>
                  <w:tcW w:w="1045"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6"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氢（H）</w:t>
                  </w:r>
                </w:p>
              </w:tc>
              <w:tc>
                <w:tcPr>
                  <w:tcW w:w="594"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812"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2.73</w:t>
                  </w:r>
                </w:p>
              </w:tc>
              <w:tc>
                <w:tcPr>
                  <w:tcW w:w="86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3.40</w:t>
                  </w:r>
                </w:p>
              </w:tc>
              <w:tc>
                <w:tcPr>
                  <w:tcW w:w="928"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3.79</w:t>
                  </w:r>
                </w:p>
              </w:tc>
              <w:tc>
                <w:tcPr>
                  <w:tcW w:w="1045"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6"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弹筒发热量（Qb）</w:t>
                  </w:r>
                </w:p>
              </w:tc>
              <w:tc>
                <w:tcPr>
                  <w:tcW w:w="594"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J</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g</w:t>
                  </w:r>
                </w:p>
              </w:tc>
              <w:tc>
                <w:tcPr>
                  <w:tcW w:w="3649" w:type="pct"/>
                  <w:gridSpan w:val="4"/>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18280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6"/>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空干基高位发热量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6"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Qgr,ad</w:t>
                  </w:r>
                </w:p>
              </w:tc>
              <w:tc>
                <w:tcPr>
                  <w:tcW w:w="594"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J</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g</w:t>
                  </w:r>
                </w:p>
              </w:tc>
              <w:tc>
                <w:tcPr>
                  <w:tcW w:w="3649" w:type="pct"/>
                  <w:gridSpan w:val="4"/>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18230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6"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Qgr,ad</w:t>
                  </w:r>
                </w:p>
              </w:tc>
              <w:tc>
                <w:tcPr>
                  <w:tcW w:w="594"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cal</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g</w:t>
                  </w:r>
                </w:p>
              </w:tc>
              <w:tc>
                <w:tcPr>
                  <w:tcW w:w="3649" w:type="pct"/>
                  <w:gridSpan w:val="4"/>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4360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6"/>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收到基低位发热量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6"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Qnet,ar</w:t>
                  </w:r>
                </w:p>
              </w:tc>
              <w:tc>
                <w:tcPr>
                  <w:tcW w:w="594"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J</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g</w:t>
                  </w:r>
                </w:p>
              </w:tc>
              <w:tc>
                <w:tcPr>
                  <w:tcW w:w="3649" w:type="pct"/>
                  <w:gridSpan w:val="4"/>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13437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6"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Qnet,ar</w:t>
                  </w:r>
                </w:p>
              </w:tc>
              <w:tc>
                <w:tcPr>
                  <w:tcW w:w="594"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cal</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g</w:t>
                  </w:r>
                </w:p>
              </w:tc>
              <w:tc>
                <w:tcPr>
                  <w:tcW w:w="3649" w:type="pct"/>
                  <w:gridSpan w:val="4"/>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3213</w:t>
                  </w:r>
                </w:p>
              </w:tc>
            </w:tr>
          </w:tbl>
          <w:p>
            <w:pPr>
              <w:keepNext w:val="0"/>
              <w:keepLines w:val="0"/>
              <w:pageBreakBefore w:val="0"/>
              <w:widowControl w:val="0"/>
              <w:numPr>
                <w:ilvl w:val="0"/>
                <w:numId w:val="5"/>
              </w:numPr>
              <w:kinsoku/>
              <w:wordWrap/>
              <w:overflowPunct/>
              <w:topLinePunct w:val="0"/>
              <w:autoSpaceDE/>
              <w:autoSpaceDN/>
              <w:bidi w:val="0"/>
              <w:adjustRightInd w:val="0"/>
              <w:snapToGrid w:val="0"/>
              <w:spacing w:before="157" w:beforeLines="50" w:line="360" w:lineRule="auto"/>
              <w:ind w:firstLine="480" w:firstLineChars="200"/>
              <w:jc w:val="both"/>
              <w:textAlignment w:val="auto"/>
              <w:rPr>
                <w:rFonts w:hint="eastAsia"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氧化镁</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color w:val="000000" w:themeColor="text1"/>
                <w:sz w:val="24"/>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氧化镁是</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fldChar w:fldCharType="begin"/>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instrText xml:space="preserve"> HYPERLINK "https://baike.baidu.com/item/%E7%A2%B1%E6%80%A7%E6%B0%A7%E5%8C%96%E7%89%A9?fromModule=lemma_inlink" \t "https://baike.baidu.com/item/%E6%B0%A7%E5%8C%96%E9%95%81/_blank" </w:instrTex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fldChar w:fldCharType="separate"/>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碱性氧化物</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fldChar w:fldCharType="end"/>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具有碱性氧化物的通性，属于胶凝材料。呈白色或灰白色粉末，无臭、无味、无毒，是典型的碱土金属氧化物，化学式MgO。熔点为2852℃，沸点为3600℃，密度为3.58g/cm3（25℃）。溶于酸和铵盐溶液，不溶于酒精。在水中溶解度为0.00062 g/100 mL (0℃)、0.0086 g/100 mL (30℃)。暴露在空气中，容易吸收水分和</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fldChar w:fldCharType="begin"/>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instrText xml:space="preserve"> HYPERLINK "https://baike.baidu.com/item/%E4%BA%8C%E6%B0%A7%E5%8C%96%E7%A2%B3/349143?fromModule=lemma_inlink" \t "https://baike.baidu.com/item/%E6%B0%A7%E5%8C%96%E9%95%81/_blank" </w:instrTex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fldChar w:fldCharType="separate"/>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二氧化碳</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fldChar w:fldCharType="end"/>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而逐渐成为</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fldChar w:fldCharType="begin"/>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instrText xml:space="preserve"> HYPERLINK "https://baike.baidu.com/item/%E7%A2%B1%E5%BC%8F%E7%A2%B3%E9%85%B8%E9%95%81?fromModule=lemma_inlink" \t "https://baike.baidu.com/item/%E6%B0%A7%E5%8C%96%E9%95%81/_blank" </w:instrTex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fldChar w:fldCharType="separate"/>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碱式碳酸镁</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fldChar w:fldCharType="end"/>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，轻质品较重质品更快，与水结合在一定条件下生成</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fldChar w:fldCharType="begin"/>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instrText xml:space="preserve"> HYPERLINK "https://baike.baidu.com/item/%E6%B0%A2%E6%B0%A7%E5%8C%96%E9%95%81?fromModule=lemma_inlink" \t "https://baike.baidu.com/item/%E6%B0%A7%E5%8C%96%E9%95%81/_blank" </w:instrTex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fldChar w:fldCharType="separate"/>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氢氧化镁</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fldChar w:fldCharType="end"/>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，呈微碱性反应，饱和水溶液的pH为10.3。溶于酸和</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fldChar w:fldCharType="begin"/>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instrText xml:space="preserve"> HYPERLINK "https://baike.baidu.com/item/%E9%93%B5%E7%9B%90?fromModule=lemma_inlink" \t "https://baike.baidu.com/item/%E6%B0%A7%E5%8C%96%E9%95%81/_blank" </w:instrTex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fldChar w:fldCharType="separate"/>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铵盐</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fldChar w:fldCharType="end"/>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难溶于水，其溶液呈碱性。不溶于乙醇。在可见和近紫外光范围内有强折射性。</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fldChar w:fldCharType="begin"/>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instrText xml:space="preserve"> HYPERLINK "https://baike.baidu.com/item/%E8%8F%B1%E9%95%81%E7%9F%BF/689626?fromModule=lemma_inlink" \t "https://baike.baidu.com/item/%E6%B0%A7%E5%8C%96%E9%95%81/_blank" </w:instrTex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fldChar w:fldCharType="separate"/>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菱镁矿</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fldChar w:fldCharType="end"/>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（MgCO</w:t>
            </w:r>
            <w:r>
              <w:rPr>
                <w:rFonts w:hint="eastAsia" w:ascii="Times New Roman" w:hAnsi="Times New Roman" w:eastAsia="宋体" w:cs="Times New Roman"/>
                <w:b w:val="0"/>
                <w:bCs/>
                <w:color w:val="000000" w:themeColor="text1"/>
                <w:sz w:val="24"/>
                <w:vertAlign w:val="subscript"/>
                <w:lang w:val="en-US" w:eastAsia="zh-CN"/>
                <w14:textFill>
                  <w14:solidFill>
                    <w14:schemeClr w14:val="tx1"/>
                  </w14:solidFill>
                </w14:textFill>
              </w:rPr>
              <w:t>3</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fldChar w:fldCharType="begin"/>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instrText xml:space="preserve"> HYPERLINK "https://baike.baidu.com/item/%E7%99%BD%E4%BA%91%E7%9F%B3/723636?fromModule=lemma_inlink" \t "https://baike.baidu.com/item/%E6%B0%A7%E5%8C%96%E9%95%81/_blank" </w:instrTex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fldChar w:fldCharType="separate"/>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白云石</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fldChar w:fldCharType="end"/>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（MgCO</w:t>
            </w:r>
            <w:r>
              <w:rPr>
                <w:rFonts w:hint="eastAsia" w:ascii="Times New Roman" w:hAnsi="Times New Roman" w:eastAsia="宋体" w:cs="Times New Roman"/>
                <w:b w:val="0"/>
                <w:bCs/>
                <w:color w:val="000000" w:themeColor="text1"/>
                <w:sz w:val="24"/>
                <w:vertAlign w:val="subscript"/>
                <w:lang w:val="en-US" w:eastAsia="zh-CN"/>
                <w14:textFill>
                  <w14:solidFill>
                    <w14:schemeClr w14:val="tx1"/>
                  </w14:solidFill>
                </w14:textFill>
              </w:rPr>
              <w:t>3</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·CaCO</w:t>
            </w:r>
            <w:r>
              <w:rPr>
                <w:rFonts w:hint="eastAsia" w:ascii="Times New Roman" w:hAnsi="Times New Roman" w:eastAsia="宋体" w:cs="Times New Roman"/>
                <w:b w:val="0"/>
                <w:bCs/>
                <w:color w:val="000000" w:themeColor="text1"/>
                <w:sz w:val="24"/>
                <w:vertAlign w:val="subscript"/>
                <w:lang w:val="en-US" w:eastAsia="zh-CN"/>
                <w14:textFill>
                  <w14:solidFill>
                    <w14:schemeClr w14:val="tx1"/>
                  </w14:solidFill>
                </w14:textFill>
              </w:rPr>
              <w:t>3</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）和海水是生产氧化镁的主要原料。热分解菱镁矿或白云石得氧化镁。用消石灰处理海水得</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fldChar w:fldCharType="begin"/>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instrText xml:space="preserve"> HYPERLINK "https://baike.baidu.com/item/%E6%B0%A2%E6%B0%A7%E5%8C%96%E9%95%81/3422075?fromModule=lemma_inlink" \t "https://baike.baidu.com/item/%E6%B0%A7%E5%8C%96%E9%95%81/_blank" </w:instrTex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fldChar w:fldCharType="separate"/>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氢氧化镁</w:t>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fldChar w:fldCharType="end"/>
            </w:r>
            <w:r>
              <w:rPr>
                <w:rFonts w:hint="eastAsia" w:ascii="Times New Roman" w:hAnsi="Times New Roman" w:eastAsia="宋体" w:cs="Times New Roman"/>
                <w:b w:val="0"/>
                <w:bCs/>
                <w:color w:val="000000" w:themeColor="text1"/>
                <w:sz w:val="24"/>
                <w:lang w:val="en-US" w:eastAsia="zh-CN"/>
                <w14:textFill>
                  <w14:solidFill>
                    <w14:schemeClr w14:val="tx1"/>
                  </w14:solidFill>
                </w14:textFill>
              </w:rPr>
              <w:t>沉淀，灼烧氢氧化镁得氧化镁。也可用海水综合利用中得到的氯化镁卤块或提溴后的卤水为原料，加氢氧化钠或碳酸钠等生成氢氧化镁或碱式碳酸镁沉淀，再灼烧得氧化镁。中国主要采用以菱镁矿、白云石、卤水或卤块为原料。</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ascii="Times New Roman" w:hAnsi="Times New Roman" w:cs="Times New Roman"/>
                <w:b/>
                <w:sz w:val="24"/>
              </w:rPr>
            </w:pPr>
            <w:r>
              <w:rPr>
                <w:rFonts w:hint="eastAsia" w:ascii="Times New Roman" w:hAnsi="Times New Roman" w:cs="Times New Roman"/>
                <w:b/>
                <w:sz w:val="24"/>
                <w:lang w:val="en-US" w:eastAsia="zh-CN"/>
              </w:rPr>
              <w:t>3</w:t>
            </w:r>
            <w:r>
              <w:rPr>
                <w:rFonts w:ascii="Times New Roman" w:hAnsi="Times New Roman" w:cs="Times New Roman"/>
                <w:b/>
                <w:sz w:val="24"/>
              </w:rPr>
              <w:t>、</w:t>
            </w:r>
            <w:r>
              <w:rPr>
                <w:rFonts w:hint="eastAsia" w:ascii="Times New Roman" w:hAnsi="Times New Roman" w:cs="Times New Roman"/>
                <w:b/>
                <w:sz w:val="24"/>
              </w:rPr>
              <w:t>主要生产设施及设施参数</w:t>
            </w:r>
          </w:p>
          <w:p>
            <w:pPr>
              <w:adjustRightInd w:val="0"/>
              <w:snapToGrid w:val="0"/>
              <w:spacing w:line="360" w:lineRule="auto"/>
              <w:ind w:firstLine="480" w:firstLineChars="200"/>
              <w:rPr>
                <w:rFonts w:hint="eastAsia"/>
                <w:lang w:eastAsia="zh-CN"/>
              </w:rPr>
            </w:pPr>
            <w:r>
              <w:rPr>
                <w:rFonts w:hint="eastAsia" w:ascii="Times New Roman" w:hAnsi="Times New Roman" w:cs="Times New Roman"/>
                <w:sz w:val="24"/>
              </w:rPr>
              <w:t>主要生产设备见下表</w:t>
            </w:r>
            <w:r>
              <w:rPr>
                <w:rFonts w:hint="eastAsia" w:ascii="Times New Roman" w:hAnsi="Times New Roman" w:cs="Times New Roman"/>
                <w:sz w:val="24"/>
                <w:lang w:eastAsia="zh-CN"/>
              </w:rPr>
              <w:t>：</w:t>
            </w:r>
          </w:p>
          <w:p>
            <w:pPr>
              <w:adjustRightInd w:val="0"/>
              <w:snapToGrid w:val="0"/>
              <w:spacing w:line="360" w:lineRule="auto"/>
              <w:jc w:val="center"/>
              <w:rPr>
                <w:rFonts w:ascii="Times New Roman" w:hAnsi="Times New Roman" w:cs="Times New Roman"/>
                <w:sz w:val="24"/>
              </w:rPr>
            </w:pPr>
            <w:r>
              <w:rPr>
                <w:rFonts w:ascii="Times New Roman" w:hAnsi="Times New Roman" w:cs="Times New Roman"/>
                <w:b/>
                <w:bCs/>
                <w:szCs w:val="21"/>
              </w:rPr>
              <w:t>表</w:t>
            </w:r>
            <w:r>
              <w:rPr>
                <w:rFonts w:hint="eastAsia" w:ascii="Times New Roman" w:hAnsi="Times New Roman" w:cs="Times New Roman"/>
                <w:b/>
                <w:bCs/>
                <w:szCs w:val="21"/>
              </w:rPr>
              <w:t>2-</w:t>
            </w:r>
            <w:r>
              <w:rPr>
                <w:rFonts w:hint="eastAsia" w:ascii="Times New Roman" w:hAnsi="Times New Roman" w:cs="Times New Roman"/>
                <w:b/>
                <w:bCs/>
                <w:szCs w:val="21"/>
                <w:lang w:val="en-US" w:eastAsia="zh-CN"/>
              </w:rPr>
              <w:t>5</w:t>
            </w:r>
            <w:r>
              <w:rPr>
                <w:rFonts w:ascii="Times New Roman" w:hAnsi="Times New Roman" w:cs="Times New Roman"/>
                <w:b/>
                <w:bCs/>
                <w:szCs w:val="21"/>
              </w:rPr>
              <w:t xml:space="preserve">  </w:t>
            </w:r>
            <w:r>
              <w:rPr>
                <w:rFonts w:hint="eastAsia" w:ascii="Times New Roman" w:hAnsi="Times New Roman" w:cs="Times New Roman"/>
                <w:b/>
                <w:bCs/>
                <w:szCs w:val="21"/>
              </w:rPr>
              <w:t>主要生产设施</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1042"/>
              <w:gridCol w:w="1833"/>
              <w:gridCol w:w="3033"/>
              <w:gridCol w:w="915"/>
              <w:gridCol w:w="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766" w:type="pct"/>
                  <w:vAlign w:val="center"/>
                </w:tcPr>
                <w:p>
                  <w:pPr>
                    <w:jc w:val="center"/>
                    <w:rPr>
                      <w:rFonts w:ascii="Times New Roman" w:hAnsi="Times New Roman" w:cs="Times New Roman"/>
                      <w:b/>
                      <w:bCs/>
                      <w:szCs w:val="21"/>
                    </w:rPr>
                  </w:pPr>
                  <w:r>
                    <w:rPr>
                      <w:rFonts w:hint="eastAsia" w:ascii="Times New Roman" w:hAnsi="Times New Roman" w:cs="Times New Roman"/>
                      <w:b/>
                      <w:bCs/>
                      <w:szCs w:val="21"/>
                    </w:rPr>
                    <w:t>生产单元</w:t>
                  </w:r>
                </w:p>
              </w:tc>
              <w:tc>
                <w:tcPr>
                  <w:tcW w:w="600" w:type="pct"/>
                  <w:vAlign w:val="center"/>
                </w:tcPr>
                <w:p>
                  <w:pPr>
                    <w:widowControl/>
                    <w:snapToGrid w:val="0"/>
                    <w:jc w:val="center"/>
                    <w:rPr>
                      <w:rFonts w:hint="default" w:ascii="Times New Roman" w:hAnsi="Times New Roman" w:cs="Times New Roman" w:eastAsiaTheme="minorEastAsia"/>
                      <w:b/>
                      <w:bCs/>
                      <w:kern w:val="0"/>
                      <w:szCs w:val="21"/>
                      <w:lang w:val="en-US" w:eastAsia="zh-CN"/>
                    </w:rPr>
                  </w:pPr>
                  <w:r>
                    <w:rPr>
                      <w:rFonts w:hint="eastAsia" w:ascii="Times New Roman" w:hAnsi="Times New Roman" w:cs="Times New Roman"/>
                      <w:b/>
                      <w:bCs/>
                      <w:kern w:val="0"/>
                      <w:szCs w:val="21"/>
                      <w:lang w:val="en-US" w:eastAsia="zh-CN"/>
                    </w:rPr>
                    <w:t>主要工艺</w:t>
                  </w:r>
                </w:p>
              </w:tc>
              <w:tc>
                <w:tcPr>
                  <w:tcW w:w="1057" w:type="pct"/>
                  <w:vAlign w:val="center"/>
                </w:tcPr>
                <w:p>
                  <w:pPr>
                    <w:widowControl/>
                    <w:snapToGrid w:val="0"/>
                    <w:jc w:val="center"/>
                    <w:rPr>
                      <w:rFonts w:ascii="Times New Roman" w:hAnsi="Times New Roman" w:cs="Times New Roman"/>
                      <w:b/>
                      <w:bCs/>
                      <w:szCs w:val="21"/>
                    </w:rPr>
                  </w:pPr>
                  <w:r>
                    <w:rPr>
                      <w:rFonts w:hint="eastAsia" w:ascii="Times New Roman" w:hAnsi="Times New Roman" w:cs="Times New Roman"/>
                      <w:b/>
                      <w:bCs/>
                      <w:kern w:val="0"/>
                      <w:szCs w:val="21"/>
                    </w:rPr>
                    <w:t>主要生产设施</w:t>
                  </w:r>
                </w:p>
              </w:tc>
              <w:tc>
                <w:tcPr>
                  <w:tcW w:w="1749" w:type="pct"/>
                  <w:vAlign w:val="center"/>
                </w:tcPr>
                <w:p>
                  <w:pPr>
                    <w:widowControl/>
                    <w:snapToGrid w:val="0"/>
                    <w:jc w:val="center"/>
                    <w:rPr>
                      <w:rFonts w:ascii="Times New Roman" w:hAnsi="Times New Roman" w:cs="Times New Roman"/>
                      <w:b/>
                      <w:bCs/>
                      <w:szCs w:val="21"/>
                    </w:rPr>
                  </w:pPr>
                  <w:r>
                    <w:rPr>
                      <w:rFonts w:hint="eastAsia" w:ascii="Times New Roman" w:hAnsi="Times New Roman" w:cs="Times New Roman"/>
                      <w:b/>
                      <w:bCs/>
                      <w:kern w:val="0"/>
                      <w:szCs w:val="21"/>
                    </w:rPr>
                    <w:t>设施参数</w:t>
                  </w:r>
                </w:p>
              </w:tc>
              <w:tc>
                <w:tcPr>
                  <w:tcW w:w="527" w:type="pct"/>
                  <w:vAlign w:val="center"/>
                </w:tcPr>
                <w:p>
                  <w:pPr>
                    <w:widowControl/>
                    <w:snapToGrid w:val="0"/>
                    <w:jc w:val="center"/>
                    <w:rPr>
                      <w:rFonts w:ascii="Times New Roman" w:hAnsi="Times New Roman" w:cs="Times New Roman"/>
                      <w:b/>
                      <w:bCs/>
                      <w:szCs w:val="21"/>
                    </w:rPr>
                  </w:pPr>
                  <w:r>
                    <w:rPr>
                      <w:rFonts w:ascii="Times New Roman" w:hAnsi="Times New Roman" w:cs="Times New Roman"/>
                      <w:b/>
                      <w:bCs/>
                      <w:kern w:val="0"/>
                      <w:szCs w:val="21"/>
                    </w:rPr>
                    <w:t>数量（台/套）</w:t>
                  </w:r>
                </w:p>
              </w:tc>
              <w:tc>
                <w:tcPr>
                  <w:tcW w:w="298" w:type="pct"/>
                  <w:vAlign w:val="center"/>
                </w:tcPr>
                <w:p>
                  <w:pPr>
                    <w:widowControl/>
                    <w:snapToGrid w:val="0"/>
                    <w:jc w:val="center"/>
                    <w:rPr>
                      <w:rFonts w:hint="eastAsia" w:ascii="Times New Roman" w:hAnsi="Times New Roman" w:cs="Times New Roman" w:eastAsiaTheme="minorEastAsia"/>
                      <w:b/>
                      <w:bCs/>
                      <w:kern w:val="0"/>
                      <w:szCs w:val="21"/>
                      <w:lang w:eastAsia="zh-CN"/>
                    </w:rPr>
                  </w:pPr>
                  <w:r>
                    <w:rPr>
                      <w:rFonts w:hint="eastAsia" w:ascii="Times New Roman" w:hAnsi="Times New Roman" w:cs="Times New Roman"/>
                      <w:b/>
                      <w:bCs/>
                      <w:kern w:val="0"/>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pct"/>
                  <w:vMerge w:val="restart"/>
                  <w:vAlign w:val="center"/>
                </w:tcPr>
                <w:p>
                  <w:pPr>
                    <w:jc w:val="center"/>
                    <w:rPr>
                      <w:rFonts w:hint="eastAsia" w:ascii="Times New Roman" w:hAnsi="Times New Roman" w:cs="Times New Roman" w:eastAsiaTheme="minorEastAsia"/>
                      <w:szCs w:val="21"/>
                      <w:lang w:eastAsia="zh-CN"/>
                    </w:rPr>
                  </w:pPr>
                  <w:r>
                    <w:rPr>
                      <w:rFonts w:hint="eastAsia" w:ascii="Times New Roman" w:hAnsi="Times New Roman" w:cs="Times New Roman"/>
                      <w:szCs w:val="21"/>
                      <w:lang w:eastAsia="zh-CN"/>
                    </w:rPr>
                    <w:t>锅炉主体</w:t>
                  </w:r>
                </w:p>
              </w:tc>
              <w:tc>
                <w:tcPr>
                  <w:tcW w:w="600" w:type="pct"/>
                  <w:vMerge w:val="restart"/>
                  <w:vAlign w:val="center"/>
                </w:tcPr>
                <w:p>
                  <w:pPr>
                    <w:widowControl/>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锅炉</w:t>
                  </w:r>
                </w:p>
              </w:tc>
              <w:tc>
                <w:tcPr>
                  <w:tcW w:w="1057" w:type="pct"/>
                  <w:vAlign w:val="center"/>
                </w:tcPr>
                <w:p>
                  <w:pPr>
                    <w:widowControl/>
                    <w:jc w:val="center"/>
                    <w:rPr>
                      <w:rFonts w:ascii="Times New Roman" w:hAnsi="Times New Roman" w:cs="Times New Roman"/>
                      <w:kern w:val="0"/>
                      <w:szCs w:val="21"/>
                    </w:rPr>
                  </w:pPr>
                  <w:r>
                    <w:rPr>
                      <w:rFonts w:hint="default" w:ascii="Times New Roman" w:hAnsi="Times New Roman" w:cs="Times New Roman"/>
                      <w:kern w:val="0"/>
                      <w:szCs w:val="21"/>
                      <w:lang w:val="en-US" w:eastAsia="zh-CN"/>
                    </w:rPr>
                    <w:t>循环流化床</w:t>
                  </w:r>
                </w:p>
              </w:tc>
              <w:tc>
                <w:tcPr>
                  <w:tcW w:w="1749" w:type="pct"/>
                  <w:vAlign w:val="center"/>
                </w:tcPr>
                <w:p>
                  <w:pPr>
                    <w:widowControl/>
                    <w:snapToGrid w:val="0"/>
                    <w:jc w:val="center"/>
                    <w:rPr>
                      <w:rFonts w:ascii="Times New Roman" w:hAnsi="Times New Roman" w:cs="Times New Roman"/>
                      <w:bCs/>
                      <w:szCs w:val="21"/>
                    </w:rPr>
                  </w:pPr>
                  <w:r>
                    <w:rPr>
                      <w:rFonts w:hint="default" w:ascii="Times New Roman" w:hAnsi="Times New Roman" w:cs="Times New Roman"/>
                      <w:color w:val="auto"/>
                      <w:sz w:val="21"/>
                      <w:szCs w:val="21"/>
                      <w:lang w:val="en-US" w:eastAsia="zh-CN"/>
                    </w:rPr>
                    <w:t>40t/h</w:t>
                  </w:r>
                </w:p>
              </w:tc>
              <w:tc>
                <w:tcPr>
                  <w:tcW w:w="527" w:type="pct"/>
                  <w:vAlign w:val="center"/>
                </w:tcPr>
                <w:p>
                  <w:pPr>
                    <w:widowControl/>
                    <w:snapToGrid w:val="0"/>
                    <w:jc w:val="center"/>
                    <w:rPr>
                      <w:rFonts w:ascii="Times New Roman" w:hAnsi="Times New Roman" w:cs="Times New Roman"/>
                      <w:bCs/>
                      <w:szCs w:val="21"/>
                    </w:rPr>
                  </w:pPr>
                  <w:r>
                    <w:rPr>
                      <w:rFonts w:hint="eastAsia" w:ascii="Times New Roman" w:hAnsi="Times New Roman" w:cs="Times New Roman"/>
                      <w:bCs/>
                      <w:szCs w:val="21"/>
                    </w:rPr>
                    <w:t>1</w:t>
                  </w:r>
                </w:p>
              </w:tc>
              <w:tc>
                <w:tcPr>
                  <w:tcW w:w="298" w:type="pct"/>
                  <w:vAlign w:val="center"/>
                </w:tcPr>
                <w:p>
                  <w:pPr>
                    <w:widowControl/>
                    <w:snapToGrid w:val="0"/>
                    <w:jc w:val="center"/>
                    <w:rPr>
                      <w:rFonts w:hint="eastAsia" w:ascii="Times New Roman" w:hAnsi="Times New Roman"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pct"/>
                  <w:vMerge w:val="continue"/>
                  <w:vAlign w:val="center"/>
                </w:tcPr>
                <w:p>
                  <w:pPr>
                    <w:jc w:val="center"/>
                    <w:rPr>
                      <w:rFonts w:hint="eastAsia" w:ascii="Times New Roman" w:hAnsi="Times New Roman" w:cs="Times New Roman"/>
                      <w:szCs w:val="21"/>
                      <w:lang w:eastAsia="zh-CN"/>
                    </w:rPr>
                  </w:pPr>
                </w:p>
              </w:tc>
              <w:tc>
                <w:tcPr>
                  <w:tcW w:w="600" w:type="pct"/>
                  <w:vMerge w:val="continue"/>
                  <w:vAlign w:val="center"/>
                </w:tcPr>
                <w:p>
                  <w:pPr>
                    <w:widowControl/>
                    <w:jc w:val="center"/>
                    <w:rPr>
                      <w:rFonts w:hint="eastAsia" w:ascii="Times New Roman" w:hAnsi="Times New Roman" w:cs="Times New Roman"/>
                      <w:kern w:val="0"/>
                      <w:szCs w:val="21"/>
                      <w:lang w:val="en-US" w:eastAsia="zh-CN"/>
                    </w:rPr>
                  </w:pPr>
                </w:p>
              </w:tc>
              <w:tc>
                <w:tcPr>
                  <w:tcW w:w="1057" w:type="pct"/>
                  <w:vAlign w:val="center"/>
                </w:tcPr>
                <w:p>
                  <w:pPr>
                    <w:jc w:val="center"/>
                    <w:rPr>
                      <w:rFonts w:hint="default" w:ascii="Times New Roman" w:hAnsi="Times New Roman" w:cs="Times New Roman" w:eastAsiaTheme="minorEastAsia"/>
                      <w:bCs/>
                      <w:kern w:val="2"/>
                      <w:sz w:val="21"/>
                      <w:szCs w:val="21"/>
                      <w:lang w:val="en-US" w:eastAsia="zh-CN" w:bidi="ar-SA"/>
                    </w:rPr>
                  </w:pPr>
                  <w:r>
                    <w:rPr>
                      <w:rFonts w:hint="eastAsia" w:ascii="Times New Roman" w:hAnsi="Times New Roman" w:cs="Times New Roman"/>
                      <w:szCs w:val="21"/>
                      <w:lang w:eastAsia="zh-CN"/>
                    </w:rPr>
                    <w:t>生物质锅炉</w:t>
                  </w:r>
                </w:p>
              </w:tc>
              <w:tc>
                <w:tcPr>
                  <w:tcW w:w="1749" w:type="pct"/>
                  <w:vAlign w:val="center"/>
                </w:tcPr>
                <w:p>
                  <w:pPr>
                    <w:widowControl/>
                    <w:snapToGrid w:val="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 xml:space="preserve">20t/h </w:t>
                  </w: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szCs w:val="21"/>
                      <w:lang w:val="en-US" w:eastAsia="zh-CN"/>
                    </w:rPr>
                    <w:t>SHX20-2.5-H</w:t>
                  </w:r>
                </w:p>
              </w:tc>
              <w:tc>
                <w:tcPr>
                  <w:tcW w:w="527" w:type="pct"/>
                  <w:vAlign w:val="center"/>
                </w:tcPr>
                <w:p>
                  <w:pPr>
                    <w:widowControl/>
                    <w:snapToGrid w:val="0"/>
                    <w:jc w:val="center"/>
                    <w:rPr>
                      <w:rFonts w:hint="eastAsia" w:ascii="Times New Roman" w:hAnsi="Times New Roman" w:cs="Times New Roman" w:eastAsiaTheme="minorEastAsia"/>
                      <w:bCs/>
                      <w:kern w:val="2"/>
                      <w:sz w:val="21"/>
                      <w:szCs w:val="21"/>
                      <w:lang w:val="en-US" w:eastAsia="zh-CN" w:bidi="ar-SA"/>
                    </w:rPr>
                  </w:pPr>
                  <w:r>
                    <w:rPr>
                      <w:rFonts w:hint="eastAsia" w:ascii="Times New Roman" w:hAnsi="Times New Roman" w:cs="Times New Roman"/>
                      <w:bCs/>
                      <w:szCs w:val="21"/>
                      <w:lang w:val="en-US" w:eastAsia="zh-CN"/>
                    </w:rPr>
                    <w:t>1</w:t>
                  </w:r>
                </w:p>
              </w:tc>
              <w:tc>
                <w:tcPr>
                  <w:tcW w:w="298" w:type="pct"/>
                  <w:vAlign w:val="center"/>
                </w:tcPr>
                <w:p>
                  <w:pPr>
                    <w:widowControl/>
                    <w:snapToGrid w:val="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eastAsia="zh-CN"/>
                    </w:rPr>
                    <w:t>备用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pct"/>
                  <w:vMerge w:val="restart"/>
                  <w:vAlign w:val="center"/>
                </w:tcPr>
                <w:p>
                  <w:pPr>
                    <w:jc w:val="center"/>
                    <w:rPr>
                      <w:rFonts w:ascii="Times New Roman" w:hAnsi="Times New Roman" w:cs="Times New Roman"/>
                      <w:szCs w:val="21"/>
                    </w:rPr>
                  </w:pPr>
                  <w:r>
                    <w:rPr>
                      <w:rFonts w:hint="default" w:ascii="Times New Roman" w:hAnsi="Times New Roman" w:cs="Times New Roman"/>
                      <w:szCs w:val="21"/>
                      <w:lang w:val="en-US" w:eastAsia="zh-CN"/>
                    </w:rPr>
                    <w:t>水处理及给水系统</w:t>
                  </w:r>
                </w:p>
              </w:tc>
              <w:tc>
                <w:tcPr>
                  <w:tcW w:w="600" w:type="pct"/>
                  <w:vMerge w:val="restart"/>
                  <w:vAlign w:val="center"/>
                </w:tcPr>
                <w:p>
                  <w:pPr>
                    <w:jc w:val="center"/>
                    <w:rPr>
                      <w:rFonts w:hint="eastAsia" w:ascii="Times New Roman" w:hAnsi="Times New Roman" w:cs="Times New Roman" w:eastAsiaTheme="minorEastAsia"/>
                      <w:szCs w:val="21"/>
                      <w:lang w:eastAsia="zh-CN"/>
                    </w:rPr>
                  </w:pPr>
                  <w:r>
                    <w:rPr>
                      <w:rFonts w:hint="eastAsia" w:ascii="Times New Roman" w:hAnsi="Times New Roman" w:cs="Times New Roman"/>
                      <w:szCs w:val="21"/>
                      <w:lang w:eastAsia="zh-CN"/>
                    </w:rPr>
                    <w:t>水处理</w:t>
                  </w:r>
                </w:p>
              </w:tc>
              <w:tc>
                <w:tcPr>
                  <w:tcW w:w="1057" w:type="pct"/>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锅炉给水泵</w:t>
                  </w:r>
                </w:p>
              </w:tc>
              <w:tc>
                <w:tcPr>
                  <w:tcW w:w="1749" w:type="pct"/>
                  <w:vAlign w:val="center"/>
                </w:tcPr>
                <w:p>
                  <w:pPr>
                    <w:widowControl/>
                    <w:snapToGrid w:val="0"/>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eastAsia="zh-CN"/>
                    </w:rPr>
                    <w:t>型号</w:t>
                  </w:r>
                  <w:r>
                    <w:rPr>
                      <w:rFonts w:hint="eastAsia" w:ascii="Times New Roman" w:hAnsi="Times New Roman" w:cs="Times New Roman"/>
                      <w:szCs w:val="21"/>
                      <w:lang w:val="en-US" w:eastAsia="zh-CN"/>
                    </w:rPr>
                    <w:t>DG46-50*7,2950r</w:t>
                  </w:r>
                  <w:r>
                    <w:rPr>
                      <w:rFonts w:hint="eastAsia" w:ascii="Times New Roman" w:hAnsi="Times New Roman" w:cs="Times New Roman"/>
                      <w:bCs/>
                      <w:szCs w:val="21"/>
                    </w:rPr>
                    <w:t>/</w:t>
                  </w:r>
                  <w:r>
                    <w:rPr>
                      <w:rFonts w:hint="eastAsia" w:ascii="Times New Roman" w:hAnsi="Times New Roman" w:cs="Times New Roman"/>
                      <w:bCs/>
                      <w:szCs w:val="21"/>
                      <w:lang w:val="en-US" w:eastAsia="zh-CN"/>
                    </w:rPr>
                    <w:t>min</w:t>
                  </w:r>
                </w:p>
              </w:tc>
              <w:tc>
                <w:tcPr>
                  <w:tcW w:w="527"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2</w:t>
                  </w:r>
                </w:p>
              </w:tc>
              <w:tc>
                <w:tcPr>
                  <w:tcW w:w="298" w:type="pct"/>
                  <w:vAlign w:val="center"/>
                </w:tcPr>
                <w:p>
                  <w:pPr>
                    <w:widowControl/>
                    <w:snapToGrid w:val="0"/>
                    <w:jc w:val="center"/>
                    <w:rPr>
                      <w:rFonts w:hint="eastAsia"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pct"/>
                  <w:vMerge w:val="continue"/>
                  <w:vAlign w:val="center"/>
                </w:tcPr>
                <w:p>
                  <w:pPr>
                    <w:jc w:val="center"/>
                    <w:rPr>
                      <w:rFonts w:ascii="Times New Roman" w:hAnsi="Times New Roman" w:cs="Times New Roman"/>
                      <w:szCs w:val="21"/>
                    </w:rPr>
                  </w:pPr>
                </w:p>
              </w:tc>
              <w:tc>
                <w:tcPr>
                  <w:tcW w:w="600" w:type="pct"/>
                  <w:vMerge w:val="continue"/>
                  <w:vAlign w:val="center"/>
                </w:tcPr>
                <w:p>
                  <w:pPr>
                    <w:jc w:val="center"/>
                    <w:rPr>
                      <w:rFonts w:ascii="Times New Roman" w:hAnsi="Times New Roman" w:cs="Times New Roman"/>
                      <w:szCs w:val="21"/>
                    </w:rPr>
                  </w:pPr>
                </w:p>
              </w:tc>
              <w:tc>
                <w:tcPr>
                  <w:tcW w:w="1057" w:type="pct"/>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单级反渗透水处理系统</w:t>
                  </w:r>
                </w:p>
              </w:tc>
              <w:tc>
                <w:tcPr>
                  <w:tcW w:w="1749" w:type="pct"/>
                  <w:vAlign w:val="center"/>
                </w:tcPr>
                <w:p>
                  <w:pPr>
                    <w:jc w:val="center"/>
                    <w:rPr>
                      <w:rFonts w:hint="eastAsia" w:ascii="Times New Roman" w:hAnsi="Times New Roman" w:cs="Times New Roman" w:eastAsiaTheme="minorEastAsia"/>
                      <w:bCs/>
                      <w:szCs w:val="21"/>
                      <w:lang w:eastAsia="zh-CN"/>
                    </w:rPr>
                  </w:pPr>
                  <w:r>
                    <w:rPr>
                      <w:rFonts w:hint="eastAsia" w:ascii="Times New Roman" w:hAnsi="Times New Roman" w:cs="Times New Roman"/>
                      <w:bCs/>
                      <w:szCs w:val="21"/>
                      <w:lang w:eastAsia="zh-CN"/>
                    </w:rPr>
                    <w:t>处理能力≥</w:t>
                  </w:r>
                  <w:r>
                    <w:rPr>
                      <w:rFonts w:hint="default" w:ascii="Times New Roman" w:hAnsi="Times New Roman" w:cs="Times New Roman"/>
                      <w:color w:val="auto"/>
                      <w:sz w:val="21"/>
                      <w:szCs w:val="21"/>
                      <w:lang w:val="en-US" w:eastAsia="zh-CN"/>
                    </w:rPr>
                    <w:t>40t/h</w:t>
                  </w:r>
                </w:p>
              </w:tc>
              <w:tc>
                <w:tcPr>
                  <w:tcW w:w="527"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w:t>
                  </w:r>
                </w:p>
              </w:tc>
              <w:tc>
                <w:tcPr>
                  <w:tcW w:w="298" w:type="pct"/>
                  <w:vAlign w:val="center"/>
                </w:tcPr>
                <w:p>
                  <w:pPr>
                    <w:widowControl/>
                    <w:snapToGrid w:val="0"/>
                    <w:jc w:val="center"/>
                    <w:rPr>
                      <w:rFonts w:hint="eastAsia"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pct"/>
                  <w:vMerge w:val="continue"/>
                  <w:vAlign w:val="center"/>
                </w:tcPr>
                <w:p>
                  <w:pPr>
                    <w:jc w:val="center"/>
                    <w:rPr>
                      <w:rFonts w:ascii="Times New Roman" w:hAnsi="Times New Roman" w:cs="Times New Roman"/>
                      <w:szCs w:val="21"/>
                    </w:rPr>
                  </w:pPr>
                </w:p>
              </w:tc>
              <w:tc>
                <w:tcPr>
                  <w:tcW w:w="600" w:type="pct"/>
                  <w:vMerge w:val="continue"/>
                  <w:vAlign w:val="center"/>
                </w:tcPr>
                <w:p>
                  <w:pPr>
                    <w:jc w:val="center"/>
                    <w:rPr>
                      <w:rFonts w:ascii="Times New Roman" w:hAnsi="Times New Roman" w:cs="Times New Roman"/>
                      <w:szCs w:val="21"/>
                    </w:rPr>
                  </w:pPr>
                </w:p>
              </w:tc>
              <w:tc>
                <w:tcPr>
                  <w:tcW w:w="1057" w:type="pct"/>
                  <w:vAlign w:val="center"/>
                </w:tcPr>
                <w:p>
                  <w:pPr>
                    <w:keepNext w:val="0"/>
                    <w:keepLines w:val="0"/>
                    <w:widowControl/>
                    <w:suppressLineNumbers w:val="0"/>
                    <w:jc w:val="center"/>
                    <w:textAlignment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离子交换法制备软化水设备</w:t>
                  </w:r>
                </w:p>
              </w:tc>
              <w:tc>
                <w:tcPr>
                  <w:tcW w:w="1749" w:type="pct"/>
                  <w:vAlign w:val="center"/>
                </w:tcPr>
                <w:p>
                  <w:pPr>
                    <w:jc w:val="center"/>
                    <w:rPr>
                      <w:rFonts w:hint="default" w:ascii="Times New Roman" w:hAnsi="Times New Roman" w:cs="Times New Roman"/>
                      <w:bCs/>
                      <w:szCs w:val="21"/>
                      <w:lang w:val="en-US" w:eastAsia="zh-CN"/>
                    </w:rPr>
                  </w:pPr>
                  <w:r>
                    <w:rPr>
                      <w:rFonts w:hint="eastAsia" w:ascii="Times New Roman" w:hAnsi="Times New Roman" w:cs="Times New Roman"/>
                      <w:bCs/>
                      <w:szCs w:val="21"/>
                      <w:lang w:val="en-US" w:eastAsia="zh-CN"/>
                    </w:rPr>
                    <w:t>/</w:t>
                  </w:r>
                </w:p>
              </w:tc>
              <w:tc>
                <w:tcPr>
                  <w:tcW w:w="527" w:type="pct"/>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1</w:t>
                  </w:r>
                </w:p>
              </w:tc>
              <w:tc>
                <w:tcPr>
                  <w:tcW w:w="298" w:type="pct"/>
                  <w:vAlign w:val="center"/>
                </w:tcPr>
                <w:p>
                  <w:pPr>
                    <w:widowControl/>
                    <w:snapToGrid w:val="0"/>
                    <w:jc w:val="center"/>
                    <w:rPr>
                      <w:rFonts w:hint="eastAsia" w:ascii="Times New Roman" w:hAnsi="Times New Roman" w:cs="Times New Roman" w:eastAsiaTheme="minorEastAsia"/>
                      <w:szCs w:val="21"/>
                      <w:lang w:eastAsia="zh-CN"/>
                    </w:rPr>
                  </w:pPr>
                  <w:r>
                    <w:rPr>
                      <w:rFonts w:hint="eastAsia" w:ascii="Times New Roman" w:hAnsi="Times New Roman" w:cs="Times New Roman"/>
                      <w:szCs w:val="21"/>
                      <w:lang w:eastAsia="zh-CN"/>
                    </w:rPr>
                    <w:t>备用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pct"/>
                  <w:vMerge w:val="restart"/>
                  <w:vAlign w:val="center"/>
                </w:tcPr>
                <w:p>
                  <w:pPr>
                    <w:jc w:val="center"/>
                    <w:rPr>
                      <w:rFonts w:ascii="Times New Roman" w:hAnsi="Times New Roman" w:cs="Times New Roman"/>
                      <w:szCs w:val="21"/>
                    </w:rPr>
                  </w:pPr>
                  <w:r>
                    <w:rPr>
                      <w:rFonts w:hint="default" w:ascii="Times New Roman" w:hAnsi="Times New Roman" w:cs="Times New Roman"/>
                      <w:szCs w:val="21"/>
                      <w:lang w:val="en-US" w:eastAsia="zh-CN"/>
                    </w:rPr>
                    <w:t>烟风系统</w:t>
                  </w:r>
                </w:p>
              </w:tc>
              <w:tc>
                <w:tcPr>
                  <w:tcW w:w="600" w:type="pct"/>
                  <w:vMerge w:val="restart"/>
                  <w:vAlign w:val="center"/>
                </w:tcPr>
                <w:p>
                  <w:pPr>
                    <w:jc w:val="center"/>
                    <w:rPr>
                      <w:rFonts w:hint="eastAsia" w:ascii="Times New Roman" w:hAnsi="Times New Roman" w:cs="Times New Roman"/>
                      <w:szCs w:val="21"/>
                    </w:rPr>
                  </w:pPr>
                  <w:r>
                    <w:rPr>
                      <w:rFonts w:hint="eastAsia" w:ascii="Times New Roman" w:hAnsi="Times New Roman" w:cs="Times New Roman"/>
                      <w:szCs w:val="21"/>
                      <w:lang w:val="en-US" w:eastAsia="zh-CN"/>
                    </w:rPr>
                    <w:t>烟风</w:t>
                  </w:r>
                </w:p>
              </w:tc>
              <w:tc>
                <w:tcPr>
                  <w:tcW w:w="1057" w:type="pct"/>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一次风机</w:t>
                  </w:r>
                </w:p>
              </w:tc>
              <w:tc>
                <w:tcPr>
                  <w:tcW w:w="1749" w:type="pct"/>
                  <w:vAlign w:val="center"/>
                </w:tcPr>
                <w:p>
                  <w:pPr>
                    <w:widowControl/>
                    <w:snapToGrid w:val="0"/>
                    <w:jc w:val="center"/>
                    <w:rPr>
                      <w:rFonts w:ascii="Times New Roman" w:hAnsi="Times New Roman" w:cs="Times New Roman"/>
                      <w:bCs/>
                      <w:szCs w:val="21"/>
                    </w:rPr>
                  </w:pPr>
                  <w:r>
                    <w:rPr>
                      <w:rFonts w:hint="eastAsia" w:ascii="Times New Roman" w:hAnsi="Times New Roman" w:cs="Times New Roman"/>
                      <w:bCs/>
                      <w:szCs w:val="21"/>
                    </w:rPr>
                    <w:t>/</w:t>
                  </w:r>
                </w:p>
              </w:tc>
              <w:tc>
                <w:tcPr>
                  <w:tcW w:w="527"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w:t>
                  </w:r>
                </w:p>
              </w:tc>
              <w:tc>
                <w:tcPr>
                  <w:tcW w:w="298" w:type="pct"/>
                  <w:vAlign w:val="center"/>
                </w:tcPr>
                <w:p>
                  <w:pPr>
                    <w:widowControl/>
                    <w:snapToGrid w:val="0"/>
                    <w:jc w:val="center"/>
                    <w:rPr>
                      <w:rFonts w:hint="eastAsia"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pct"/>
                  <w:vMerge w:val="continue"/>
                  <w:vAlign w:val="center"/>
                </w:tcPr>
                <w:p>
                  <w:pPr>
                    <w:jc w:val="center"/>
                    <w:rPr>
                      <w:rFonts w:ascii="Times New Roman" w:hAnsi="Times New Roman" w:cs="Times New Roman"/>
                      <w:szCs w:val="21"/>
                    </w:rPr>
                  </w:pPr>
                </w:p>
              </w:tc>
              <w:tc>
                <w:tcPr>
                  <w:tcW w:w="600" w:type="pct"/>
                  <w:vMerge w:val="continue"/>
                  <w:vAlign w:val="center"/>
                </w:tcPr>
                <w:p>
                  <w:pPr>
                    <w:jc w:val="center"/>
                    <w:rPr>
                      <w:rFonts w:hint="eastAsia" w:ascii="Times New Roman" w:hAnsi="Times New Roman" w:cs="Times New Roman"/>
                      <w:szCs w:val="21"/>
                    </w:rPr>
                  </w:pPr>
                </w:p>
              </w:tc>
              <w:tc>
                <w:tcPr>
                  <w:tcW w:w="1057" w:type="pct"/>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二次风机</w:t>
                  </w:r>
                </w:p>
              </w:tc>
              <w:tc>
                <w:tcPr>
                  <w:tcW w:w="1749" w:type="pct"/>
                  <w:vAlign w:val="center"/>
                </w:tcPr>
                <w:p>
                  <w:pPr>
                    <w:widowControl/>
                    <w:snapToGrid w:val="0"/>
                    <w:jc w:val="center"/>
                    <w:rPr>
                      <w:rFonts w:ascii="Times New Roman" w:hAnsi="Times New Roman" w:cs="Times New Roman"/>
                      <w:szCs w:val="21"/>
                    </w:rPr>
                  </w:pPr>
                  <w:r>
                    <w:rPr>
                      <w:rFonts w:hint="eastAsia" w:ascii="Times New Roman" w:hAnsi="Times New Roman" w:cs="Times New Roman"/>
                      <w:bCs/>
                      <w:szCs w:val="21"/>
                    </w:rPr>
                    <w:t>/</w:t>
                  </w:r>
                </w:p>
              </w:tc>
              <w:tc>
                <w:tcPr>
                  <w:tcW w:w="527"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w:t>
                  </w:r>
                </w:p>
              </w:tc>
              <w:tc>
                <w:tcPr>
                  <w:tcW w:w="298" w:type="pct"/>
                  <w:vAlign w:val="center"/>
                </w:tcPr>
                <w:p>
                  <w:pPr>
                    <w:widowControl/>
                    <w:snapToGrid w:val="0"/>
                    <w:jc w:val="center"/>
                    <w:rPr>
                      <w:rFonts w:hint="eastAsia"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pct"/>
                  <w:vMerge w:val="continue"/>
                  <w:vAlign w:val="center"/>
                </w:tcPr>
                <w:p>
                  <w:pPr>
                    <w:jc w:val="center"/>
                    <w:rPr>
                      <w:rFonts w:ascii="Times New Roman" w:hAnsi="Times New Roman" w:cs="Times New Roman"/>
                      <w:szCs w:val="21"/>
                    </w:rPr>
                  </w:pPr>
                </w:p>
              </w:tc>
              <w:tc>
                <w:tcPr>
                  <w:tcW w:w="600" w:type="pct"/>
                  <w:vMerge w:val="continue"/>
                  <w:vAlign w:val="center"/>
                </w:tcPr>
                <w:p>
                  <w:pPr>
                    <w:jc w:val="center"/>
                    <w:rPr>
                      <w:rFonts w:hint="eastAsia" w:ascii="Times New Roman" w:hAnsi="Times New Roman" w:cs="Times New Roman"/>
                      <w:szCs w:val="21"/>
                    </w:rPr>
                  </w:pPr>
                </w:p>
              </w:tc>
              <w:tc>
                <w:tcPr>
                  <w:tcW w:w="1057" w:type="pct"/>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返料风机</w:t>
                  </w:r>
                </w:p>
              </w:tc>
              <w:tc>
                <w:tcPr>
                  <w:tcW w:w="1749" w:type="pct"/>
                  <w:vAlign w:val="center"/>
                </w:tcPr>
                <w:p>
                  <w:pPr>
                    <w:widowControl/>
                    <w:snapToGrid w:val="0"/>
                    <w:jc w:val="center"/>
                    <w:rPr>
                      <w:rFonts w:ascii="Times New Roman" w:hAnsi="Times New Roman" w:cs="Times New Roman"/>
                      <w:szCs w:val="21"/>
                    </w:rPr>
                  </w:pPr>
                  <w:r>
                    <w:rPr>
                      <w:rFonts w:hint="eastAsia" w:ascii="Times New Roman" w:hAnsi="Times New Roman" w:cs="Times New Roman"/>
                      <w:bCs/>
                      <w:szCs w:val="21"/>
                    </w:rPr>
                    <w:t>/</w:t>
                  </w:r>
                </w:p>
              </w:tc>
              <w:tc>
                <w:tcPr>
                  <w:tcW w:w="527"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2</w:t>
                  </w:r>
                </w:p>
              </w:tc>
              <w:tc>
                <w:tcPr>
                  <w:tcW w:w="298" w:type="pct"/>
                  <w:vAlign w:val="center"/>
                </w:tcPr>
                <w:p>
                  <w:pPr>
                    <w:widowControl/>
                    <w:snapToGrid w:val="0"/>
                    <w:jc w:val="center"/>
                    <w:rPr>
                      <w:rFonts w:hint="eastAsia"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pct"/>
                  <w:vMerge w:val="continue"/>
                  <w:vAlign w:val="center"/>
                </w:tcPr>
                <w:p>
                  <w:pPr>
                    <w:jc w:val="center"/>
                    <w:rPr>
                      <w:rFonts w:ascii="Times New Roman" w:hAnsi="Times New Roman" w:cs="Times New Roman"/>
                      <w:szCs w:val="21"/>
                    </w:rPr>
                  </w:pPr>
                </w:p>
              </w:tc>
              <w:tc>
                <w:tcPr>
                  <w:tcW w:w="600" w:type="pct"/>
                  <w:vMerge w:val="continue"/>
                  <w:vAlign w:val="center"/>
                </w:tcPr>
                <w:p>
                  <w:pPr>
                    <w:jc w:val="center"/>
                    <w:rPr>
                      <w:rFonts w:hint="eastAsia" w:ascii="Times New Roman" w:hAnsi="Times New Roman" w:cs="Times New Roman"/>
                      <w:szCs w:val="21"/>
                    </w:rPr>
                  </w:pPr>
                </w:p>
              </w:tc>
              <w:tc>
                <w:tcPr>
                  <w:tcW w:w="1057" w:type="pct"/>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引风机</w:t>
                  </w:r>
                </w:p>
              </w:tc>
              <w:tc>
                <w:tcPr>
                  <w:tcW w:w="1749" w:type="pct"/>
                  <w:vAlign w:val="center"/>
                </w:tcPr>
                <w:p>
                  <w:pPr>
                    <w:widowControl/>
                    <w:snapToGrid w:val="0"/>
                    <w:jc w:val="center"/>
                    <w:rPr>
                      <w:rFonts w:ascii="Times New Roman" w:hAnsi="Times New Roman" w:cs="Times New Roman"/>
                      <w:szCs w:val="21"/>
                    </w:rPr>
                  </w:pPr>
                  <w:r>
                    <w:rPr>
                      <w:rFonts w:hint="eastAsia" w:ascii="Times New Roman" w:hAnsi="Times New Roman" w:cs="Times New Roman"/>
                      <w:szCs w:val="21"/>
                    </w:rPr>
                    <w:t>42315Nm</w:t>
                  </w:r>
                  <w:r>
                    <w:rPr>
                      <w:rFonts w:hint="eastAsia" w:ascii="Times New Roman" w:hAnsi="Times New Roman" w:cs="Times New Roman"/>
                      <w:szCs w:val="21"/>
                      <w:vertAlign w:val="superscript"/>
                    </w:rPr>
                    <w:t>3</w:t>
                  </w:r>
                  <w:r>
                    <w:rPr>
                      <w:rFonts w:hint="eastAsia" w:ascii="Times New Roman" w:hAnsi="Times New Roman" w:cs="Times New Roman"/>
                      <w:szCs w:val="21"/>
                    </w:rPr>
                    <w:t>/h</w:t>
                  </w:r>
                </w:p>
              </w:tc>
              <w:tc>
                <w:tcPr>
                  <w:tcW w:w="527" w:type="pct"/>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w:t>
                  </w:r>
                </w:p>
              </w:tc>
              <w:tc>
                <w:tcPr>
                  <w:tcW w:w="298" w:type="pct"/>
                  <w:vAlign w:val="center"/>
                </w:tcPr>
                <w:p>
                  <w:pPr>
                    <w:widowControl/>
                    <w:snapToGrid w:val="0"/>
                    <w:jc w:val="center"/>
                    <w:rPr>
                      <w:rFonts w:hint="eastAsia"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pct"/>
                  <w:vMerge w:val="restart"/>
                  <w:vAlign w:val="center"/>
                </w:tcPr>
                <w:p>
                  <w:pPr>
                    <w:jc w:val="center"/>
                    <w:rPr>
                      <w:rFonts w:ascii="Times New Roman" w:hAnsi="Times New Roman" w:cs="Times New Roman"/>
                      <w:szCs w:val="21"/>
                    </w:rPr>
                  </w:pPr>
                  <w:r>
                    <w:rPr>
                      <w:rFonts w:hint="default" w:ascii="Times New Roman" w:hAnsi="Times New Roman" w:cs="Times New Roman"/>
                      <w:szCs w:val="21"/>
                      <w:lang w:val="en-US" w:eastAsia="zh-CN"/>
                    </w:rPr>
                    <w:t>制煤系统</w:t>
                  </w:r>
                </w:p>
              </w:tc>
              <w:tc>
                <w:tcPr>
                  <w:tcW w:w="600" w:type="pct"/>
                  <w:vMerge w:val="restart"/>
                  <w:vAlign w:val="center"/>
                </w:tcPr>
                <w:p>
                  <w:pPr>
                    <w:jc w:val="center"/>
                    <w:rPr>
                      <w:rFonts w:hint="eastAsia" w:ascii="Times New Roman" w:hAnsi="Times New Roman" w:cs="Times New Roman"/>
                      <w:szCs w:val="21"/>
                    </w:rPr>
                  </w:pPr>
                  <w:r>
                    <w:rPr>
                      <w:rFonts w:hint="eastAsia" w:ascii="Times New Roman" w:hAnsi="Times New Roman" w:cs="Times New Roman"/>
                      <w:szCs w:val="21"/>
                      <w:lang w:val="en-US" w:eastAsia="zh-CN"/>
                    </w:rPr>
                    <w:t>制煤</w:t>
                  </w:r>
                </w:p>
              </w:tc>
              <w:tc>
                <w:tcPr>
                  <w:tcW w:w="1057" w:type="pct"/>
                  <w:vAlign w:val="center"/>
                </w:tcPr>
                <w:p>
                  <w:pPr>
                    <w:jc w:val="center"/>
                    <w:rPr>
                      <w:rFonts w:ascii="Times New Roman" w:hAnsi="Times New Roman" w:cs="Times New Roman"/>
                      <w:bCs/>
                      <w:szCs w:val="21"/>
                    </w:rPr>
                  </w:pPr>
                  <w:r>
                    <w:rPr>
                      <w:rFonts w:hint="eastAsia" w:ascii="Times New Roman" w:hAnsi="Times New Roman" w:cs="Times New Roman"/>
                      <w:bCs/>
                      <w:szCs w:val="21"/>
                      <w:lang w:val="en-US" w:eastAsia="zh-CN"/>
                    </w:rPr>
                    <w:t>磁辊式</w:t>
                  </w:r>
                  <w:r>
                    <w:rPr>
                      <w:rFonts w:hint="default" w:ascii="Times New Roman" w:hAnsi="Times New Roman" w:cs="Times New Roman"/>
                      <w:bCs/>
                      <w:szCs w:val="21"/>
                      <w:lang w:val="en-US" w:eastAsia="zh-CN"/>
                    </w:rPr>
                    <w:t>破碎机</w:t>
                  </w:r>
                </w:p>
              </w:tc>
              <w:tc>
                <w:tcPr>
                  <w:tcW w:w="1749" w:type="pct"/>
                  <w:vAlign w:val="center"/>
                </w:tcPr>
                <w:p>
                  <w:pPr>
                    <w:widowControl/>
                    <w:snapToGrid w:val="0"/>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产量60-80t</w:t>
                  </w:r>
                  <w:r>
                    <w:rPr>
                      <w:rFonts w:hint="eastAsia" w:ascii="Times New Roman" w:hAnsi="Times New Roman" w:cs="Times New Roman"/>
                      <w:bCs/>
                      <w:szCs w:val="21"/>
                    </w:rPr>
                    <w:t>/</w:t>
                  </w:r>
                  <w:r>
                    <w:rPr>
                      <w:rFonts w:hint="eastAsia" w:ascii="Times New Roman" w:hAnsi="Times New Roman" w:cs="Times New Roman"/>
                      <w:bCs/>
                      <w:szCs w:val="21"/>
                      <w:lang w:val="en-US" w:eastAsia="zh-CN"/>
                    </w:rPr>
                    <w:t>h</w:t>
                  </w:r>
                </w:p>
              </w:tc>
              <w:tc>
                <w:tcPr>
                  <w:tcW w:w="527" w:type="pct"/>
                  <w:vAlign w:val="center"/>
                </w:tcPr>
                <w:p>
                  <w:pPr>
                    <w:widowControl/>
                    <w:snapToGrid w:val="0"/>
                    <w:jc w:val="center"/>
                    <w:rPr>
                      <w:rFonts w:hint="eastAsia" w:ascii="Times New Roman" w:hAnsi="Times New Roman" w:cs="Times New Roman" w:eastAsiaTheme="minorEastAsia"/>
                      <w:bCs/>
                      <w:szCs w:val="21"/>
                      <w:lang w:val="en-US" w:eastAsia="zh-CN"/>
                    </w:rPr>
                  </w:pPr>
                  <w:r>
                    <w:rPr>
                      <w:rFonts w:hint="eastAsia" w:ascii="Times New Roman" w:hAnsi="Times New Roman" w:cs="Times New Roman"/>
                      <w:bCs/>
                      <w:szCs w:val="21"/>
                      <w:lang w:val="en-US" w:eastAsia="zh-CN"/>
                    </w:rPr>
                    <w:t>1</w:t>
                  </w:r>
                </w:p>
              </w:tc>
              <w:tc>
                <w:tcPr>
                  <w:tcW w:w="298" w:type="pct"/>
                  <w:vAlign w:val="center"/>
                </w:tcPr>
                <w:p>
                  <w:pPr>
                    <w:widowControl/>
                    <w:snapToGrid w:val="0"/>
                    <w:jc w:val="center"/>
                    <w:rPr>
                      <w:rFonts w:hint="eastAsia"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pct"/>
                  <w:vMerge w:val="continue"/>
                  <w:vAlign w:val="center"/>
                </w:tcPr>
                <w:p>
                  <w:pPr>
                    <w:jc w:val="center"/>
                    <w:rPr>
                      <w:rFonts w:hint="default" w:ascii="Times New Roman" w:hAnsi="Times New Roman" w:cs="Times New Roman"/>
                      <w:szCs w:val="21"/>
                      <w:lang w:val="en-US" w:eastAsia="zh-CN"/>
                    </w:rPr>
                  </w:pPr>
                </w:p>
              </w:tc>
              <w:tc>
                <w:tcPr>
                  <w:tcW w:w="600" w:type="pct"/>
                  <w:vMerge w:val="continue"/>
                  <w:vAlign w:val="center"/>
                </w:tcPr>
                <w:p>
                  <w:pPr>
                    <w:jc w:val="center"/>
                    <w:rPr>
                      <w:rFonts w:hint="eastAsia" w:ascii="Times New Roman" w:hAnsi="Times New Roman" w:cs="Times New Roman"/>
                      <w:szCs w:val="21"/>
                      <w:lang w:val="en-US" w:eastAsia="zh-CN"/>
                    </w:rPr>
                  </w:pPr>
                </w:p>
              </w:tc>
              <w:tc>
                <w:tcPr>
                  <w:tcW w:w="1057" w:type="pct"/>
                  <w:vAlign w:val="center"/>
                </w:tcPr>
                <w:p>
                  <w:pPr>
                    <w:jc w:val="center"/>
                    <w:rPr>
                      <w:rFonts w:hint="eastAsia" w:ascii="Times New Roman" w:hAnsi="Times New Roman" w:cs="Times New Roman"/>
                      <w:bCs/>
                      <w:szCs w:val="21"/>
                      <w:lang w:val="en-US" w:eastAsia="zh-CN"/>
                    </w:rPr>
                  </w:pPr>
                  <w:r>
                    <w:rPr>
                      <w:rFonts w:hint="eastAsia" w:ascii="Times New Roman" w:hAnsi="Times New Roman" w:cs="Times New Roman"/>
                      <w:bCs/>
                      <w:szCs w:val="21"/>
                      <w:lang w:val="en-US" w:eastAsia="zh-CN"/>
                    </w:rPr>
                    <w:t>脉冲布袋除尘器</w:t>
                  </w:r>
                </w:p>
              </w:tc>
              <w:tc>
                <w:tcPr>
                  <w:tcW w:w="1749" w:type="pct"/>
                  <w:vAlign w:val="center"/>
                </w:tcPr>
                <w:p>
                  <w:pPr>
                    <w:widowControl/>
                    <w:snapToGrid w:val="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w:t>
                  </w:r>
                </w:p>
              </w:tc>
              <w:tc>
                <w:tcPr>
                  <w:tcW w:w="527" w:type="pct"/>
                  <w:vAlign w:val="center"/>
                </w:tcPr>
                <w:p>
                  <w:pPr>
                    <w:widowControl/>
                    <w:snapToGrid w:val="0"/>
                    <w:jc w:val="center"/>
                    <w:rPr>
                      <w:rFonts w:hint="default" w:ascii="Times New Roman" w:hAnsi="Times New Roman" w:cs="Times New Roman"/>
                      <w:bCs/>
                      <w:szCs w:val="21"/>
                      <w:lang w:val="en-US" w:eastAsia="zh-CN"/>
                    </w:rPr>
                  </w:pPr>
                  <w:r>
                    <w:rPr>
                      <w:rFonts w:hint="eastAsia" w:ascii="Times New Roman" w:hAnsi="Times New Roman" w:cs="Times New Roman"/>
                      <w:bCs/>
                      <w:szCs w:val="21"/>
                      <w:lang w:val="en-US" w:eastAsia="zh-CN"/>
                    </w:rPr>
                    <w:t>1</w:t>
                  </w:r>
                </w:p>
              </w:tc>
              <w:tc>
                <w:tcPr>
                  <w:tcW w:w="298" w:type="pct"/>
                  <w:vAlign w:val="center"/>
                </w:tcPr>
                <w:p>
                  <w:pPr>
                    <w:widowControl/>
                    <w:snapToGrid w:val="0"/>
                    <w:jc w:val="center"/>
                    <w:rPr>
                      <w:rFonts w:hint="eastAsia"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pct"/>
                  <w:vAlign w:val="center"/>
                </w:tcPr>
                <w:p>
                  <w:pPr>
                    <w:jc w:val="center"/>
                    <w:rPr>
                      <w:rFonts w:ascii="Times New Roman" w:hAnsi="Times New Roman" w:cs="Times New Roman"/>
                      <w:szCs w:val="21"/>
                    </w:rPr>
                  </w:pPr>
                  <w:r>
                    <w:rPr>
                      <w:rFonts w:hint="default" w:ascii="Times New Roman" w:hAnsi="Times New Roman" w:cs="Times New Roman"/>
                      <w:szCs w:val="21"/>
                      <w:lang w:val="en-US" w:eastAsia="zh-CN"/>
                    </w:rPr>
                    <w:t>输煤给煤系统</w:t>
                  </w:r>
                </w:p>
              </w:tc>
              <w:tc>
                <w:tcPr>
                  <w:tcW w:w="600" w:type="pct"/>
                  <w:vAlign w:val="center"/>
                </w:tcPr>
                <w:p>
                  <w:pPr>
                    <w:jc w:val="center"/>
                    <w:rPr>
                      <w:rFonts w:hint="eastAsia" w:ascii="Times New Roman" w:hAnsi="Times New Roman" w:cs="Times New Roman"/>
                      <w:szCs w:val="21"/>
                    </w:rPr>
                  </w:pPr>
                  <w:r>
                    <w:rPr>
                      <w:rFonts w:hint="eastAsia" w:ascii="Times New Roman" w:hAnsi="Times New Roman" w:cs="Times New Roman"/>
                      <w:szCs w:val="21"/>
                      <w:lang w:val="en-US" w:eastAsia="zh-CN"/>
                    </w:rPr>
                    <w:t>输煤给煤系统</w:t>
                  </w:r>
                </w:p>
              </w:tc>
              <w:tc>
                <w:tcPr>
                  <w:tcW w:w="1057" w:type="pct"/>
                  <w:vAlign w:val="center"/>
                </w:tcPr>
                <w:p>
                  <w:pPr>
                    <w:jc w:val="center"/>
                    <w:rPr>
                      <w:rFonts w:ascii="Times New Roman" w:hAnsi="Times New Roman" w:cs="Times New Roman"/>
                      <w:bCs/>
                      <w:szCs w:val="21"/>
                    </w:rPr>
                  </w:pPr>
                  <w:r>
                    <w:rPr>
                      <w:rFonts w:hint="default" w:ascii="Times New Roman" w:hAnsi="Times New Roman" w:cs="Times New Roman"/>
                      <w:bCs/>
                      <w:szCs w:val="21"/>
                      <w:lang w:val="en-US" w:eastAsia="zh-CN"/>
                    </w:rPr>
                    <w:t>称重密封皮带给煤机</w:t>
                  </w:r>
                </w:p>
              </w:tc>
              <w:tc>
                <w:tcPr>
                  <w:tcW w:w="1749" w:type="pct"/>
                  <w:vAlign w:val="center"/>
                </w:tcPr>
                <w:p>
                  <w:pPr>
                    <w:widowControl/>
                    <w:snapToGrid w:val="0"/>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4.5m，4kw</w:t>
                  </w:r>
                </w:p>
              </w:tc>
              <w:tc>
                <w:tcPr>
                  <w:tcW w:w="527" w:type="pct"/>
                  <w:vAlign w:val="center"/>
                </w:tcPr>
                <w:p>
                  <w:pPr>
                    <w:widowControl/>
                    <w:snapToGrid w:val="0"/>
                    <w:jc w:val="center"/>
                    <w:rPr>
                      <w:rFonts w:hint="eastAsia" w:ascii="Times New Roman" w:hAnsi="Times New Roman" w:cs="Times New Roman" w:eastAsiaTheme="minorEastAsia"/>
                      <w:bCs/>
                      <w:szCs w:val="21"/>
                      <w:lang w:val="en-US" w:eastAsia="zh-CN"/>
                    </w:rPr>
                  </w:pPr>
                  <w:r>
                    <w:rPr>
                      <w:rFonts w:hint="eastAsia" w:ascii="Times New Roman" w:hAnsi="Times New Roman" w:cs="Times New Roman"/>
                      <w:bCs/>
                      <w:szCs w:val="21"/>
                      <w:lang w:val="en-US" w:eastAsia="zh-CN"/>
                    </w:rPr>
                    <w:t>2</w:t>
                  </w:r>
                </w:p>
              </w:tc>
              <w:tc>
                <w:tcPr>
                  <w:tcW w:w="298" w:type="pct"/>
                  <w:vAlign w:val="center"/>
                </w:tcPr>
                <w:p>
                  <w:pPr>
                    <w:widowControl/>
                    <w:snapToGrid w:val="0"/>
                    <w:jc w:val="center"/>
                    <w:rPr>
                      <w:rFonts w:hint="eastAsia"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pct"/>
                  <w:vMerge w:val="restart"/>
                  <w:vAlign w:val="center"/>
                </w:tcPr>
                <w:p>
                  <w:pPr>
                    <w:jc w:val="center"/>
                    <w:rPr>
                      <w:rFonts w:ascii="Times New Roman" w:hAnsi="Times New Roman" w:cs="Times New Roman"/>
                      <w:szCs w:val="21"/>
                    </w:rPr>
                  </w:pPr>
                  <w:r>
                    <w:rPr>
                      <w:rFonts w:hint="default" w:ascii="Times New Roman" w:hAnsi="Times New Roman" w:cs="Times New Roman"/>
                      <w:szCs w:val="21"/>
                      <w:lang w:val="en-US" w:eastAsia="zh-CN"/>
                    </w:rPr>
                    <w:t>除灰渣系统</w:t>
                  </w:r>
                </w:p>
              </w:tc>
              <w:tc>
                <w:tcPr>
                  <w:tcW w:w="600" w:type="pct"/>
                  <w:vMerge w:val="restart"/>
                  <w:vAlign w:val="center"/>
                </w:tcPr>
                <w:p>
                  <w:pPr>
                    <w:jc w:val="center"/>
                    <w:rPr>
                      <w:rFonts w:hint="eastAsia" w:ascii="Times New Roman" w:hAnsi="Times New Roman" w:cs="Times New Roman"/>
                      <w:szCs w:val="21"/>
                    </w:rPr>
                  </w:pPr>
                  <w:r>
                    <w:rPr>
                      <w:rFonts w:hint="eastAsia" w:ascii="Times New Roman" w:hAnsi="Times New Roman" w:cs="Times New Roman"/>
                      <w:szCs w:val="21"/>
                      <w:lang w:val="en-US" w:eastAsia="zh-CN"/>
                    </w:rPr>
                    <w:t>除灰渣</w:t>
                  </w:r>
                </w:p>
              </w:tc>
              <w:tc>
                <w:tcPr>
                  <w:tcW w:w="1057" w:type="pct"/>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滚筒多管风水式冷渣机</w:t>
                  </w:r>
                </w:p>
              </w:tc>
              <w:tc>
                <w:tcPr>
                  <w:tcW w:w="1749" w:type="pct"/>
                  <w:vAlign w:val="center"/>
                </w:tcPr>
                <w:p>
                  <w:pPr>
                    <w:widowControl/>
                    <w:snapToGrid w:val="0"/>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eastAsia="zh-CN"/>
                    </w:rPr>
                    <w:t>功率</w:t>
                  </w:r>
                  <w:r>
                    <w:rPr>
                      <w:rFonts w:hint="eastAsia" w:ascii="Times New Roman" w:hAnsi="Times New Roman" w:cs="Times New Roman"/>
                      <w:szCs w:val="21"/>
                      <w:lang w:val="en-US" w:eastAsia="zh-CN"/>
                    </w:rPr>
                    <w:t>11KW</w:t>
                  </w:r>
                </w:p>
              </w:tc>
              <w:tc>
                <w:tcPr>
                  <w:tcW w:w="527" w:type="pct"/>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2</w:t>
                  </w:r>
                </w:p>
              </w:tc>
              <w:tc>
                <w:tcPr>
                  <w:tcW w:w="298" w:type="pct"/>
                  <w:vAlign w:val="center"/>
                </w:tcPr>
                <w:p>
                  <w:pPr>
                    <w:widowControl/>
                    <w:snapToGrid w:val="0"/>
                    <w:jc w:val="center"/>
                    <w:rPr>
                      <w:rFonts w:hint="eastAsia"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pct"/>
                  <w:vMerge w:val="continue"/>
                  <w:vAlign w:val="center"/>
                </w:tcPr>
                <w:p>
                  <w:pPr>
                    <w:jc w:val="center"/>
                    <w:rPr>
                      <w:rFonts w:ascii="Times New Roman" w:hAnsi="Times New Roman" w:cs="Times New Roman"/>
                      <w:szCs w:val="21"/>
                    </w:rPr>
                  </w:pPr>
                </w:p>
              </w:tc>
              <w:tc>
                <w:tcPr>
                  <w:tcW w:w="600" w:type="pct"/>
                  <w:vMerge w:val="continue"/>
                  <w:vAlign w:val="center"/>
                </w:tcPr>
                <w:p>
                  <w:pPr>
                    <w:jc w:val="center"/>
                    <w:rPr>
                      <w:rFonts w:hint="eastAsia" w:ascii="Times New Roman" w:hAnsi="Times New Roman" w:cs="Times New Roman"/>
                      <w:szCs w:val="21"/>
                    </w:rPr>
                  </w:pPr>
                </w:p>
              </w:tc>
              <w:tc>
                <w:tcPr>
                  <w:tcW w:w="1057" w:type="pct"/>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冷渣机冷却循环泵</w:t>
                  </w:r>
                </w:p>
              </w:tc>
              <w:tc>
                <w:tcPr>
                  <w:tcW w:w="1749" w:type="pct"/>
                  <w:vAlign w:val="center"/>
                </w:tcPr>
                <w:p>
                  <w:pPr>
                    <w:widowControl/>
                    <w:snapToGrid w:val="0"/>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KQL65</w:t>
                  </w:r>
                  <w:r>
                    <w:rPr>
                      <w:rFonts w:hint="eastAsia" w:ascii="Times New Roman" w:hAnsi="Times New Roman" w:cs="Times New Roman"/>
                      <w:bCs/>
                      <w:szCs w:val="21"/>
                    </w:rPr>
                    <w:t>/</w:t>
                  </w:r>
                  <w:r>
                    <w:rPr>
                      <w:rFonts w:hint="eastAsia" w:ascii="Times New Roman" w:hAnsi="Times New Roman" w:cs="Times New Roman"/>
                      <w:bCs/>
                      <w:szCs w:val="21"/>
                      <w:lang w:val="en-US" w:eastAsia="zh-CN"/>
                    </w:rPr>
                    <w:t>150-4</w:t>
                  </w:r>
                  <w:r>
                    <w:rPr>
                      <w:rFonts w:hint="eastAsia" w:ascii="Times New Roman" w:hAnsi="Times New Roman" w:cs="Times New Roman"/>
                      <w:bCs/>
                      <w:szCs w:val="21"/>
                    </w:rPr>
                    <w:t>/</w:t>
                  </w:r>
                  <w:r>
                    <w:rPr>
                      <w:rFonts w:hint="eastAsia" w:ascii="Times New Roman" w:hAnsi="Times New Roman" w:cs="Times New Roman"/>
                      <w:bCs/>
                      <w:szCs w:val="21"/>
                      <w:lang w:val="en-US" w:eastAsia="zh-CN"/>
                    </w:rPr>
                    <w:t>2,Q=16.4-23.4-28m</w:t>
                  </w:r>
                  <w:r>
                    <w:rPr>
                      <w:rFonts w:hint="eastAsia" w:ascii="Times New Roman" w:hAnsi="Times New Roman" w:cs="Times New Roman"/>
                      <w:bCs/>
                      <w:szCs w:val="21"/>
                      <w:vertAlign w:val="superscript"/>
                      <w:lang w:val="en-US" w:eastAsia="zh-CN"/>
                    </w:rPr>
                    <w:t>3</w:t>
                  </w:r>
                  <w:r>
                    <w:rPr>
                      <w:rFonts w:hint="eastAsia" w:ascii="Times New Roman" w:hAnsi="Times New Roman" w:cs="Times New Roman"/>
                      <w:bCs/>
                      <w:szCs w:val="21"/>
                    </w:rPr>
                    <w:t>/</w:t>
                  </w:r>
                  <w:r>
                    <w:rPr>
                      <w:rFonts w:hint="eastAsia" w:ascii="Times New Roman" w:hAnsi="Times New Roman" w:cs="Times New Roman"/>
                      <w:bCs/>
                      <w:szCs w:val="21"/>
                      <w:lang w:val="en-US" w:eastAsia="zh-CN"/>
                    </w:rPr>
                    <w:t>h</w:t>
                  </w:r>
                </w:p>
              </w:tc>
              <w:tc>
                <w:tcPr>
                  <w:tcW w:w="527" w:type="pct"/>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2</w:t>
                  </w:r>
                </w:p>
              </w:tc>
              <w:tc>
                <w:tcPr>
                  <w:tcW w:w="298" w:type="pct"/>
                  <w:vAlign w:val="center"/>
                </w:tcPr>
                <w:p>
                  <w:pPr>
                    <w:widowControl/>
                    <w:snapToGrid w:val="0"/>
                    <w:jc w:val="center"/>
                    <w:rPr>
                      <w:rFonts w:hint="eastAsia"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pct"/>
                  <w:vMerge w:val="restart"/>
                  <w:vAlign w:val="center"/>
                </w:tcPr>
                <w:p>
                  <w:pPr>
                    <w:jc w:val="center"/>
                    <w:rPr>
                      <w:rFonts w:ascii="Times New Roman" w:hAnsi="Times New Roman" w:cs="Times New Roman"/>
                      <w:szCs w:val="21"/>
                    </w:rPr>
                  </w:pPr>
                  <w:r>
                    <w:rPr>
                      <w:rFonts w:hint="default" w:ascii="Times New Roman" w:hAnsi="Times New Roman" w:cs="Times New Roman"/>
                      <w:szCs w:val="21"/>
                      <w:lang w:val="en-US" w:eastAsia="zh-CN"/>
                    </w:rPr>
                    <w:t>环保系统</w:t>
                  </w:r>
                </w:p>
              </w:tc>
              <w:tc>
                <w:tcPr>
                  <w:tcW w:w="600" w:type="pct"/>
                  <w:vMerge w:val="restart"/>
                  <w:vAlign w:val="center"/>
                </w:tcPr>
                <w:p>
                  <w:pPr>
                    <w:jc w:val="center"/>
                    <w:rPr>
                      <w:rFonts w:hint="eastAsia" w:ascii="Times New Roman" w:hAnsi="Times New Roman" w:cs="Times New Roman"/>
                      <w:szCs w:val="21"/>
                    </w:rPr>
                  </w:pPr>
                  <w:r>
                    <w:rPr>
                      <w:rFonts w:hint="eastAsia" w:ascii="Times New Roman" w:hAnsi="Times New Roman" w:cs="Times New Roman"/>
                      <w:szCs w:val="21"/>
                      <w:lang w:val="en-US" w:eastAsia="zh-CN"/>
                    </w:rPr>
                    <w:t>环保治理</w:t>
                  </w:r>
                </w:p>
              </w:tc>
              <w:tc>
                <w:tcPr>
                  <w:tcW w:w="1057" w:type="pct"/>
                  <w:vAlign w:val="center"/>
                </w:tcPr>
                <w:p>
                  <w:pPr>
                    <w:jc w:val="center"/>
                    <w:rPr>
                      <w:rFonts w:hint="eastAsia" w:ascii="Times New Roman" w:hAnsi="Times New Roman" w:cs="Times New Roman" w:eastAsiaTheme="minorEastAsia"/>
                      <w:bCs/>
                      <w:szCs w:val="21"/>
                      <w:lang w:eastAsia="zh-CN"/>
                    </w:rPr>
                  </w:pPr>
                  <w:r>
                    <w:rPr>
                      <w:rFonts w:hint="eastAsia" w:ascii="Times New Roman" w:hAnsi="Times New Roman" w:cs="Times New Roman"/>
                      <w:bCs/>
                      <w:szCs w:val="21"/>
                      <w:lang w:eastAsia="zh-CN"/>
                    </w:rPr>
                    <w:t>布袋除尘器</w:t>
                  </w:r>
                </w:p>
              </w:tc>
              <w:tc>
                <w:tcPr>
                  <w:tcW w:w="1749" w:type="pct"/>
                  <w:vAlign w:val="center"/>
                </w:tcPr>
                <w:p>
                  <w:pPr>
                    <w:widowControl/>
                    <w:snapToGrid w:val="0"/>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eastAsia="zh-CN"/>
                    </w:rPr>
                    <w:t>滤袋材质</w:t>
                  </w:r>
                  <w:r>
                    <w:rPr>
                      <w:rFonts w:hint="eastAsia" w:ascii="Times New Roman" w:hAnsi="Times New Roman" w:cs="Times New Roman"/>
                      <w:szCs w:val="21"/>
                      <w:lang w:val="en-US" w:eastAsia="zh-CN"/>
                    </w:rPr>
                    <w:t>PPS+PTFE</w:t>
                  </w:r>
                </w:p>
              </w:tc>
              <w:tc>
                <w:tcPr>
                  <w:tcW w:w="527" w:type="pct"/>
                  <w:vAlign w:val="center"/>
                </w:tcPr>
                <w:p>
                  <w:pPr>
                    <w:widowControl/>
                    <w:snapToGrid w:val="0"/>
                    <w:jc w:val="center"/>
                    <w:rPr>
                      <w:rFonts w:hint="eastAsia" w:ascii="Times New Roman" w:hAnsi="Times New Roman" w:cs="Times New Roman" w:eastAsiaTheme="minorEastAsia"/>
                      <w:bCs/>
                      <w:szCs w:val="21"/>
                      <w:lang w:val="en-US" w:eastAsia="zh-CN"/>
                    </w:rPr>
                  </w:pPr>
                  <w:r>
                    <w:rPr>
                      <w:rFonts w:hint="eastAsia" w:ascii="Times New Roman" w:hAnsi="Times New Roman" w:cs="Times New Roman"/>
                      <w:bCs/>
                      <w:szCs w:val="21"/>
                      <w:lang w:val="en-US" w:eastAsia="zh-CN"/>
                    </w:rPr>
                    <w:t>1</w:t>
                  </w:r>
                </w:p>
              </w:tc>
              <w:tc>
                <w:tcPr>
                  <w:tcW w:w="298" w:type="pct"/>
                  <w:vAlign w:val="center"/>
                </w:tcPr>
                <w:p>
                  <w:pPr>
                    <w:widowControl/>
                    <w:snapToGrid w:val="0"/>
                    <w:jc w:val="center"/>
                    <w:rPr>
                      <w:rFonts w:hint="eastAsia"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pct"/>
                  <w:vMerge w:val="continue"/>
                  <w:vAlign w:val="center"/>
                </w:tcPr>
                <w:p>
                  <w:pPr>
                    <w:jc w:val="center"/>
                    <w:rPr>
                      <w:rFonts w:ascii="Times New Roman" w:hAnsi="Times New Roman" w:cs="Times New Roman"/>
                      <w:szCs w:val="21"/>
                    </w:rPr>
                  </w:pPr>
                </w:p>
              </w:tc>
              <w:tc>
                <w:tcPr>
                  <w:tcW w:w="600" w:type="pct"/>
                  <w:vMerge w:val="continue"/>
                  <w:vAlign w:val="center"/>
                </w:tcPr>
                <w:p>
                  <w:pPr>
                    <w:jc w:val="center"/>
                    <w:rPr>
                      <w:rFonts w:hint="eastAsia" w:ascii="Times New Roman" w:hAnsi="Times New Roman" w:cs="Times New Roman"/>
                      <w:szCs w:val="21"/>
                    </w:rPr>
                  </w:pPr>
                </w:p>
              </w:tc>
              <w:tc>
                <w:tcPr>
                  <w:tcW w:w="1057" w:type="pct"/>
                  <w:vAlign w:val="center"/>
                </w:tcPr>
                <w:p>
                  <w:pPr>
                    <w:jc w:val="center"/>
                    <w:rPr>
                      <w:rFonts w:hint="eastAsia" w:ascii="Times New Roman" w:hAnsi="Times New Roman" w:cs="Times New Roman" w:eastAsiaTheme="minorEastAsia"/>
                      <w:bCs/>
                      <w:szCs w:val="21"/>
                      <w:lang w:eastAsia="zh-CN"/>
                    </w:rPr>
                  </w:pPr>
                  <w:r>
                    <w:rPr>
                      <w:rFonts w:hint="eastAsia" w:ascii="Times New Roman" w:hAnsi="Times New Roman" w:cs="Times New Roman"/>
                      <w:bCs/>
                      <w:szCs w:val="21"/>
                      <w:lang w:eastAsia="zh-CN"/>
                    </w:rPr>
                    <w:t>脱硫设备</w:t>
                  </w:r>
                </w:p>
              </w:tc>
              <w:tc>
                <w:tcPr>
                  <w:tcW w:w="1749" w:type="pct"/>
                  <w:vAlign w:val="center"/>
                </w:tcPr>
                <w:p>
                  <w:pPr>
                    <w:widowControl/>
                    <w:snapToGrid w:val="0"/>
                    <w:jc w:val="center"/>
                    <w:rPr>
                      <w:rFonts w:hint="eastAsia" w:ascii="Times New Roman" w:hAnsi="Times New Roman" w:cs="Times New Roman" w:eastAsiaTheme="minorEastAsia"/>
                      <w:szCs w:val="21"/>
                      <w:lang w:eastAsia="zh-CN"/>
                    </w:rPr>
                  </w:pPr>
                  <w:r>
                    <w:rPr>
                      <w:rFonts w:hint="eastAsia" w:ascii="Times New Roman" w:hAnsi="Times New Roman" w:cs="Times New Roman"/>
                      <w:szCs w:val="21"/>
                      <w:lang w:eastAsia="zh-CN"/>
                    </w:rPr>
                    <w:t>镁法脱硫塔</w:t>
                  </w:r>
                </w:p>
              </w:tc>
              <w:tc>
                <w:tcPr>
                  <w:tcW w:w="527" w:type="pct"/>
                  <w:vAlign w:val="center"/>
                </w:tcPr>
                <w:p>
                  <w:pPr>
                    <w:widowControl/>
                    <w:snapToGrid w:val="0"/>
                    <w:jc w:val="center"/>
                    <w:rPr>
                      <w:rFonts w:hint="eastAsia" w:ascii="Times New Roman" w:hAnsi="Times New Roman" w:cs="Times New Roman" w:eastAsiaTheme="minorEastAsia"/>
                      <w:bCs/>
                      <w:szCs w:val="21"/>
                      <w:lang w:val="en-US" w:eastAsia="zh-CN"/>
                    </w:rPr>
                  </w:pPr>
                  <w:r>
                    <w:rPr>
                      <w:rFonts w:hint="eastAsia" w:ascii="Times New Roman" w:hAnsi="Times New Roman" w:cs="Times New Roman"/>
                      <w:bCs/>
                      <w:szCs w:val="21"/>
                      <w:lang w:val="en-US" w:eastAsia="zh-CN"/>
                    </w:rPr>
                    <w:t>1</w:t>
                  </w:r>
                </w:p>
              </w:tc>
              <w:tc>
                <w:tcPr>
                  <w:tcW w:w="298" w:type="pct"/>
                  <w:vAlign w:val="center"/>
                </w:tcPr>
                <w:p>
                  <w:pPr>
                    <w:widowControl/>
                    <w:snapToGrid w:val="0"/>
                    <w:jc w:val="center"/>
                    <w:rPr>
                      <w:rFonts w:hint="eastAsia"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pct"/>
                  <w:vMerge w:val="continue"/>
                  <w:vAlign w:val="center"/>
                </w:tcPr>
                <w:p>
                  <w:pPr>
                    <w:jc w:val="center"/>
                    <w:rPr>
                      <w:rFonts w:ascii="Times New Roman" w:hAnsi="Times New Roman" w:cs="Times New Roman"/>
                      <w:szCs w:val="21"/>
                    </w:rPr>
                  </w:pPr>
                </w:p>
              </w:tc>
              <w:tc>
                <w:tcPr>
                  <w:tcW w:w="600" w:type="pct"/>
                  <w:vMerge w:val="continue"/>
                  <w:vAlign w:val="center"/>
                </w:tcPr>
                <w:p>
                  <w:pPr>
                    <w:jc w:val="center"/>
                    <w:rPr>
                      <w:rFonts w:hint="eastAsia" w:ascii="Times New Roman" w:hAnsi="Times New Roman" w:cs="Times New Roman"/>
                      <w:szCs w:val="21"/>
                    </w:rPr>
                  </w:pPr>
                </w:p>
              </w:tc>
              <w:tc>
                <w:tcPr>
                  <w:tcW w:w="1057" w:type="pct"/>
                  <w:vAlign w:val="center"/>
                </w:tcPr>
                <w:p>
                  <w:pPr>
                    <w:jc w:val="center"/>
                    <w:rPr>
                      <w:rFonts w:hint="eastAsia" w:ascii="Times New Roman" w:hAnsi="Times New Roman" w:cs="Times New Roman" w:eastAsiaTheme="minorEastAsia"/>
                      <w:bCs/>
                      <w:szCs w:val="21"/>
                      <w:lang w:eastAsia="zh-CN"/>
                    </w:rPr>
                  </w:pPr>
                  <w:r>
                    <w:rPr>
                      <w:rFonts w:hint="eastAsia" w:ascii="Times New Roman" w:hAnsi="Times New Roman" w:cs="Times New Roman"/>
                      <w:bCs/>
                      <w:szCs w:val="21"/>
                      <w:lang w:eastAsia="zh-CN"/>
                    </w:rPr>
                    <w:t>脱硝设备</w:t>
                  </w:r>
                </w:p>
              </w:tc>
              <w:tc>
                <w:tcPr>
                  <w:tcW w:w="1749" w:type="pct"/>
                  <w:vAlign w:val="center"/>
                </w:tcPr>
                <w:p>
                  <w:pPr>
                    <w:widowControl/>
                    <w:snapToGrid w:val="0"/>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PNCR高分子炉内脱硝</w:t>
                  </w:r>
                </w:p>
              </w:tc>
              <w:tc>
                <w:tcPr>
                  <w:tcW w:w="527" w:type="pct"/>
                  <w:vAlign w:val="center"/>
                </w:tcPr>
                <w:p>
                  <w:pPr>
                    <w:widowControl/>
                    <w:snapToGrid w:val="0"/>
                    <w:jc w:val="center"/>
                    <w:rPr>
                      <w:rFonts w:hint="eastAsia" w:ascii="Times New Roman" w:hAnsi="Times New Roman" w:cs="Times New Roman" w:eastAsiaTheme="minorEastAsia"/>
                      <w:bCs/>
                      <w:szCs w:val="21"/>
                      <w:lang w:val="en-US" w:eastAsia="zh-CN"/>
                    </w:rPr>
                  </w:pPr>
                  <w:r>
                    <w:rPr>
                      <w:rFonts w:hint="eastAsia" w:ascii="Times New Roman" w:hAnsi="Times New Roman" w:cs="Times New Roman"/>
                      <w:bCs/>
                      <w:szCs w:val="21"/>
                      <w:lang w:val="en-US" w:eastAsia="zh-CN"/>
                    </w:rPr>
                    <w:t>1</w:t>
                  </w:r>
                </w:p>
              </w:tc>
              <w:tc>
                <w:tcPr>
                  <w:tcW w:w="298" w:type="pct"/>
                  <w:vAlign w:val="center"/>
                </w:tcPr>
                <w:p>
                  <w:pPr>
                    <w:widowControl/>
                    <w:snapToGrid w:val="0"/>
                    <w:jc w:val="center"/>
                    <w:rPr>
                      <w:rFonts w:hint="eastAsia" w:ascii="Times New Roman" w:hAnsi="Times New Roman" w:cs="Times New Roman"/>
                      <w:szCs w:val="21"/>
                    </w:rPr>
                  </w:pPr>
                </w:p>
              </w:tc>
            </w:tr>
          </w:tbl>
          <w:p>
            <w:pPr>
              <w:snapToGrid w:val="0"/>
              <w:spacing w:before="156" w:beforeLines="50"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bidi="ar"/>
              </w:rPr>
              <w:t>本项目</w:t>
            </w:r>
            <w:r>
              <w:rPr>
                <w:rFonts w:hint="default" w:ascii="Times New Roman" w:hAnsi="Times New Roman" w:cs="Times New Roman"/>
                <w:color w:val="auto"/>
                <w:sz w:val="24"/>
                <w:szCs w:val="24"/>
                <w:lang w:val="en-US" w:eastAsia="zh-CN" w:bidi="ar"/>
              </w:rPr>
              <w:t>锅炉房</w:t>
            </w:r>
            <w:r>
              <w:rPr>
                <w:rFonts w:hint="default" w:ascii="Times New Roman" w:hAnsi="Times New Roman" w:cs="Times New Roman"/>
                <w:color w:val="auto"/>
                <w:sz w:val="24"/>
                <w:szCs w:val="24"/>
                <w:lang w:eastAsia="zh-CN" w:bidi="ar"/>
              </w:rPr>
              <w:t>设备</w:t>
            </w:r>
            <w:r>
              <w:rPr>
                <w:rFonts w:hint="default" w:ascii="Times New Roman" w:hAnsi="Times New Roman" w:cs="Times New Roman"/>
                <w:color w:val="auto"/>
                <w:sz w:val="24"/>
                <w:szCs w:val="24"/>
                <w:lang w:val="en-US" w:eastAsia="zh-CN" w:bidi="ar"/>
              </w:rPr>
              <w:t>选型</w:t>
            </w:r>
            <w:r>
              <w:rPr>
                <w:rFonts w:hint="default" w:ascii="Times New Roman" w:hAnsi="Times New Roman" w:cs="Times New Roman"/>
                <w:color w:val="auto"/>
                <w:sz w:val="24"/>
                <w:szCs w:val="24"/>
                <w:lang w:eastAsia="zh-CN" w:bidi="ar"/>
              </w:rPr>
              <w:t>见下表</w:t>
            </w:r>
            <w:r>
              <w:rPr>
                <w:rFonts w:hint="eastAsia" w:ascii="Times New Roman" w:hAnsi="Times New Roman" w:cs="Times New Roman"/>
                <w:color w:val="auto"/>
                <w:sz w:val="24"/>
                <w:szCs w:val="24"/>
                <w:lang w:eastAsia="zh-CN" w:bidi="ar"/>
              </w:rPr>
              <w:t>：</w:t>
            </w:r>
          </w:p>
          <w:p>
            <w:pPr>
              <w:spacing w:line="240" w:lineRule="auto"/>
              <w:ind w:firstLine="0" w:firstLineChars="0"/>
              <w:jc w:val="center"/>
              <w:rPr>
                <w:rStyle w:val="27"/>
                <w:rFonts w:hint="default" w:ascii="Times New Roman" w:hAnsi="Times New Roman" w:eastAsia="宋体" w:cs="Times New Roman"/>
                <w:lang w:val="en-US" w:eastAsia="zh-CN"/>
              </w:rPr>
            </w:pPr>
            <w:r>
              <w:rPr>
                <w:rStyle w:val="27"/>
                <w:rFonts w:hint="default" w:ascii="Times New Roman" w:hAnsi="Times New Roman" w:eastAsia="宋体" w:cs="Times New Roman"/>
                <w:lang w:val="en-US" w:eastAsia="zh-CN"/>
              </w:rPr>
              <w:t>表</w:t>
            </w:r>
            <w:r>
              <w:rPr>
                <w:rStyle w:val="27"/>
                <w:rFonts w:hint="eastAsia" w:ascii="Times New Roman" w:hAnsi="Times New Roman" w:eastAsia="宋体" w:cs="Times New Roman"/>
                <w:lang w:val="en-US" w:eastAsia="zh-CN"/>
              </w:rPr>
              <w:t>2</w:t>
            </w:r>
            <w:r>
              <w:rPr>
                <w:rStyle w:val="27"/>
                <w:rFonts w:hint="default" w:ascii="Times New Roman" w:hAnsi="Times New Roman" w:eastAsia="宋体" w:cs="Times New Roman"/>
                <w:lang w:val="en-US" w:eastAsia="zh-CN"/>
              </w:rPr>
              <w:t>-</w:t>
            </w:r>
            <w:r>
              <w:rPr>
                <w:rStyle w:val="27"/>
                <w:rFonts w:hint="eastAsia" w:ascii="Times New Roman" w:hAnsi="Times New Roman" w:eastAsia="宋体" w:cs="Times New Roman"/>
                <w:lang w:val="en-US" w:eastAsia="zh-CN"/>
              </w:rPr>
              <w:t>6</w:t>
            </w:r>
            <w:r>
              <w:rPr>
                <w:rStyle w:val="27"/>
                <w:rFonts w:hint="default" w:ascii="Times New Roman" w:hAnsi="Times New Roman" w:eastAsia="宋体" w:cs="Times New Roman"/>
                <w:lang w:val="en-US" w:eastAsia="zh-CN"/>
              </w:rPr>
              <w:t xml:space="preserve">  锅炉参数一览表</w:t>
            </w:r>
          </w:p>
          <w:tbl>
            <w:tblPr>
              <w:tblStyle w:val="25"/>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5"/>
              <w:gridCol w:w="2885"/>
              <w:gridCol w:w="2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3"/>
                  <w:noWrap w:val="0"/>
                  <w:vAlign w:val="center"/>
                </w:tcPr>
                <w:p>
                  <w:pPr>
                    <w:spacing w:line="300" w:lineRule="exact"/>
                    <w:ind w:firstLine="0" w:firstLineChars="0"/>
                    <w:jc w:val="center"/>
                    <w:rPr>
                      <w:rFonts w:hint="default" w:ascii="Times New Roman" w:hAnsi="Times New Roman" w:cs="Times New Roman"/>
                      <w:snapToGrid w:val="0"/>
                      <w:kern w:val="0"/>
                      <w:sz w:val="21"/>
                      <w:szCs w:val="21"/>
                      <w:lang w:val="en-US" w:eastAsia="zh-CN"/>
                    </w:rPr>
                  </w:pPr>
                  <w:r>
                    <w:rPr>
                      <w:rFonts w:hint="default" w:ascii="Times New Roman" w:hAnsi="Times New Roman" w:cs="Times New Roman"/>
                      <w:snapToGrid w:val="0"/>
                      <w:kern w:val="0"/>
                      <w:sz w:val="21"/>
                      <w:szCs w:val="21"/>
                      <w:lang w:val="en-US" w:eastAsia="zh-CN"/>
                    </w:rPr>
                    <w:t>40t/h循环流化床锅炉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6" w:type="pct"/>
                  <w:noWrap w:val="0"/>
                  <w:vAlign w:val="center"/>
                </w:tcPr>
                <w:p>
                  <w:pPr>
                    <w:spacing w:line="300" w:lineRule="exact"/>
                    <w:ind w:firstLine="0" w:firstLineChars="0"/>
                    <w:jc w:val="center"/>
                    <w:rPr>
                      <w:rFonts w:hint="default" w:ascii="Times New Roman" w:hAnsi="Times New Roman" w:cs="Times New Roman"/>
                      <w:snapToGrid w:val="0"/>
                      <w:kern w:val="0"/>
                      <w:sz w:val="21"/>
                      <w:szCs w:val="21"/>
                      <w:lang w:val="en-US" w:eastAsia="zh-CN"/>
                    </w:rPr>
                  </w:pPr>
                  <w:r>
                    <w:rPr>
                      <w:rFonts w:hint="default" w:ascii="Times New Roman" w:hAnsi="Times New Roman" w:cs="Times New Roman"/>
                      <w:snapToGrid w:val="0"/>
                      <w:kern w:val="0"/>
                      <w:sz w:val="21"/>
                      <w:szCs w:val="21"/>
                      <w:lang w:val="en-US" w:eastAsia="zh-CN"/>
                    </w:rPr>
                    <w:t>序号</w:t>
                  </w:r>
                </w:p>
              </w:tc>
              <w:tc>
                <w:tcPr>
                  <w:tcW w:w="1666" w:type="pct"/>
                  <w:noWrap w:val="0"/>
                  <w:vAlign w:val="center"/>
                </w:tcPr>
                <w:p>
                  <w:pPr>
                    <w:spacing w:line="300" w:lineRule="exact"/>
                    <w:ind w:firstLine="0" w:firstLineChars="0"/>
                    <w:jc w:val="center"/>
                    <w:rPr>
                      <w:rFonts w:hint="default" w:ascii="Times New Roman" w:hAnsi="Times New Roman" w:cs="Times New Roman"/>
                      <w:snapToGrid w:val="0"/>
                      <w:kern w:val="0"/>
                      <w:sz w:val="21"/>
                      <w:szCs w:val="21"/>
                      <w:lang w:val="en-US" w:eastAsia="zh-CN"/>
                    </w:rPr>
                  </w:pPr>
                  <w:r>
                    <w:rPr>
                      <w:rFonts w:hint="default" w:ascii="Times New Roman" w:hAnsi="Times New Roman" w:cs="Times New Roman"/>
                      <w:snapToGrid w:val="0"/>
                      <w:kern w:val="0"/>
                      <w:sz w:val="21"/>
                      <w:szCs w:val="21"/>
                      <w:lang w:val="en-US" w:eastAsia="zh-CN"/>
                    </w:rPr>
                    <w:t>项目</w:t>
                  </w:r>
                </w:p>
              </w:tc>
              <w:tc>
                <w:tcPr>
                  <w:tcW w:w="1667" w:type="pct"/>
                  <w:noWrap w:val="0"/>
                  <w:vAlign w:val="center"/>
                </w:tcPr>
                <w:p>
                  <w:pPr>
                    <w:spacing w:line="300" w:lineRule="exact"/>
                    <w:ind w:firstLine="0" w:firstLineChars="0"/>
                    <w:jc w:val="center"/>
                    <w:rPr>
                      <w:rFonts w:hint="default" w:ascii="Times New Roman" w:hAnsi="Times New Roman" w:cs="Times New Roman"/>
                      <w:snapToGrid w:val="0"/>
                      <w:kern w:val="0"/>
                      <w:sz w:val="21"/>
                      <w:szCs w:val="21"/>
                      <w:lang w:val="en-US" w:eastAsia="zh-CN"/>
                    </w:rPr>
                  </w:pPr>
                  <w:r>
                    <w:rPr>
                      <w:rFonts w:hint="default" w:ascii="Times New Roman" w:hAnsi="Times New Roman" w:cs="Times New Roman"/>
                      <w:snapToGrid w:val="0"/>
                      <w:kern w:val="0"/>
                      <w:sz w:val="21"/>
                      <w:szCs w:val="21"/>
                      <w:lang w:val="en-US" w:eastAsia="zh-CN"/>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6" w:type="pct"/>
                  <w:noWrap w:val="0"/>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w:t>
                  </w:r>
                </w:p>
              </w:tc>
              <w:tc>
                <w:tcPr>
                  <w:tcW w:w="1666" w:type="pct"/>
                  <w:noWrap w:val="0"/>
                  <w:vAlign w:val="center"/>
                </w:tcPr>
                <w:p>
                  <w:pPr>
                    <w:spacing w:line="300" w:lineRule="exact"/>
                    <w:ind w:firstLine="0" w:firstLineChars="0"/>
                    <w:jc w:val="center"/>
                    <w:rPr>
                      <w:rFonts w:hint="default" w:ascii="Times New Roman" w:hAnsi="Times New Roman" w:cs="Times New Roman"/>
                      <w:snapToGrid w:val="0"/>
                      <w:kern w:val="0"/>
                      <w:sz w:val="21"/>
                      <w:szCs w:val="21"/>
                      <w:lang w:val="en-US" w:eastAsia="zh-CN"/>
                    </w:rPr>
                  </w:pPr>
                  <w:r>
                    <w:rPr>
                      <w:rFonts w:hint="default" w:ascii="Times New Roman" w:hAnsi="Times New Roman" w:cs="Times New Roman"/>
                      <w:snapToGrid w:val="0"/>
                      <w:kern w:val="0"/>
                      <w:sz w:val="21"/>
                      <w:szCs w:val="21"/>
                      <w:lang w:val="en-US" w:eastAsia="zh-CN"/>
                    </w:rPr>
                    <w:t>型号</w:t>
                  </w:r>
                </w:p>
              </w:tc>
              <w:tc>
                <w:tcPr>
                  <w:tcW w:w="1667" w:type="pct"/>
                  <w:noWrap w:val="0"/>
                  <w:vAlign w:val="center"/>
                </w:tcPr>
                <w:p>
                  <w:pPr>
                    <w:spacing w:line="300" w:lineRule="exact"/>
                    <w:ind w:firstLine="0" w:firstLineChars="0"/>
                    <w:jc w:val="center"/>
                    <w:rPr>
                      <w:rFonts w:hint="default" w:ascii="Times New Roman" w:hAnsi="Times New Roman" w:cs="Times New Roman"/>
                      <w:snapToGrid w:val="0"/>
                      <w:kern w:val="0"/>
                      <w:sz w:val="21"/>
                      <w:szCs w:val="21"/>
                      <w:lang w:val="en-US" w:eastAsia="zh-CN"/>
                    </w:rPr>
                  </w:pPr>
                  <w:r>
                    <w:rPr>
                      <w:rFonts w:hint="default" w:ascii="Times New Roman" w:hAnsi="Times New Roman" w:cs="Times New Roman"/>
                      <w:snapToGrid w:val="0"/>
                      <w:kern w:val="0"/>
                      <w:sz w:val="21"/>
                      <w:szCs w:val="21"/>
                      <w:lang w:val="en-GB" w:eastAsia="zh-CN"/>
                    </w:rPr>
                    <w:t>QXF40-2.5-AⅠ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6" w:type="pct"/>
                  <w:noWrap w:val="0"/>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w:t>
                  </w:r>
                </w:p>
              </w:tc>
              <w:tc>
                <w:tcPr>
                  <w:tcW w:w="1666" w:type="pct"/>
                  <w:noWrap w:val="0"/>
                  <w:vAlign w:val="center"/>
                </w:tcPr>
                <w:p>
                  <w:pPr>
                    <w:spacing w:line="300" w:lineRule="exact"/>
                    <w:ind w:firstLine="0" w:firstLineChars="0"/>
                    <w:jc w:val="center"/>
                    <w:rPr>
                      <w:rFonts w:hint="default" w:ascii="Times New Roman" w:hAnsi="Times New Roman" w:cs="Times New Roman"/>
                      <w:snapToGrid w:val="0"/>
                      <w:kern w:val="0"/>
                      <w:sz w:val="21"/>
                      <w:szCs w:val="21"/>
                      <w:lang w:val="en-US" w:eastAsia="zh-CN"/>
                    </w:rPr>
                  </w:pPr>
                  <w:r>
                    <w:rPr>
                      <w:rFonts w:hint="default" w:ascii="Times New Roman" w:hAnsi="Times New Roman" w:cs="Times New Roman"/>
                      <w:snapToGrid w:val="0"/>
                      <w:kern w:val="0"/>
                      <w:sz w:val="21"/>
                      <w:szCs w:val="21"/>
                      <w:lang w:val="en-US" w:eastAsia="zh-CN"/>
                    </w:rPr>
                    <w:t>额定蒸发量（热功率）</w:t>
                  </w:r>
                </w:p>
              </w:tc>
              <w:tc>
                <w:tcPr>
                  <w:tcW w:w="1667" w:type="pct"/>
                  <w:noWrap w:val="0"/>
                  <w:vAlign w:val="center"/>
                </w:tcPr>
                <w:p>
                  <w:pPr>
                    <w:spacing w:line="300" w:lineRule="exact"/>
                    <w:ind w:firstLine="0" w:firstLineChars="0"/>
                    <w:jc w:val="center"/>
                    <w:rPr>
                      <w:rFonts w:hint="default" w:ascii="Times New Roman" w:hAnsi="Times New Roman" w:cs="Times New Roman"/>
                      <w:snapToGrid w:val="0"/>
                      <w:kern w:val="0"/>
                      <w:sz w:val="21"/>
                      <w:szCs w:val="21"/>
                      <w:lang w:val="en-US" w:eastAsia="zh-CN"/>
                    </w:rPr>
                  </w:pPr>
                  <w:r>
                    <w:rPr>
                      <w:rFonts w:hint="default" w:ascii="Times New Roman" w:hAnsi="Times New Roman" w:cs="Times New Roman"/>
                      <w:snapToGrid w:val="0"/>
                      <w:kern w:val="0"/>
                      <w:sz w:val="21"/>
                      <w:szCs w:val="21"/>
                      <w:lang w:val="en-US" w:eastAsia="zh-CN"/>
                    </w:rPr>
                    <w:t>40T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6" w:type="pct"/>
                  <w:noWrap w:val="0"/>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w:t>
                  </w:r>
                </w:p>
              </w:tc>
              <w:tc>
                <w:tcPr>
                  <w:tcW w:w="1666" w:type="pct"/>
                  <w:noWrap w:val="0"/>
                  <w:vAlign w:val="center"/>
                </w:tcPr>
                <w:p>
                  <w:pPr>
                    <w:spacing w:line="300" w:lineRule="exact"/>
                    <w:ind w:firstLine="0" w:firstLineChars="0"/>
                    <w:jc w:val="center"/>
                    <w:rPr>
                      <w:rFonts w:hint="default" w:ascii="Times New Roman" w:hAnsi="Times New Roman" w:cs="Times New Roman"/>
                      <w:snapToGrid w:val="0"/>
                      <w:kern w:val="0"/>
                      <w:sz w:val="21"/>
                      <w:szCs w:val="21"/>
                      <w:lang w:val="en-US" w:eastAsia="zh-CN"/>
                    </w:rPr>
                  </w:pPr>
                  <w:r>
                    <w:rPr>
                      <w:rFonts w:hint="default" w:ascii="Times New Roman" w:hAnsi="Times New Roman" w:cs="Times New Roman"/>
                      <w:snapToGrid w:val="0"/>
                      <w:kern w:val="0"/>
                      <w:sz w:val="21"/>
                      <w:szCs w:val="21"/>
                      <w:lang w:val="en-US" w:eastAsia="zh-CN"/>
                    </w:rPr>
                    <w:t>额定出水压力</w:t>
                  </w:r>
                </w:p>
              </w:tc>
              <w:tc>
                <w:tcPr>
                  <w:tcW w:w="1667" w:type="pct"/>
                  <w:noWrap w:val="0"/>
                  <w:vAlign w:val="center"/>
                </w:tcPr>
                <w:p>
                  <w:pPr>
                    <w:spacing w:line="300" w:lineRule="exact"/>
                    <w:ind w:firstLine="0" w:firstLineChars="0"/>
                    <w:jc w:val="center"/>
                    <w:rPr>
                      <w:rFonts w:hint="default" w:ascii="Times New Roman" w:hAnsi="Times New Roman" w:cs="Times New Roman"/>
                      <w:snapToGrid w:val="0"/>
                      <w:kern w:val="0"/>
                      <w:sz w:val="21"/>
                      <w:szCs w:val="21"/>
                      <w:lang w:val="en-US" w:eastAsia="zh-CN"/>
                    </w:rPr>
                  </w:pPr>
                  <w:r>
                    <w:rPr>
                      <w:rFonts w:hint="default" w:ascii="Times New Roman" w:hAnsi="Times New Roman" w:cs="Times New Roman"/>
                      <w:snapToGrid w:val="0"/>
                      <w:kern w:val="0"/>
                      <w:sz w:val="21"/>
                      <w:szCs w:val="21"/>
                      <w:lang w:val="en-US" w:eastAsia="zh-CN"/>
                    </w:rPr>
                    <w:t>2.5MPa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6" w:type="pct"/>
                  <w:noWrap w:val="0"/>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w:t>
                  </w:r>
                </w:p>
              </w:tc>
              <w:tc>
                <w:tcPr>
                  <w:tcW w:w="1666" w:type="pct"/>
                  <w:noWrap w:val="0"/>
                  <w:vAlign w:val="center"/>
                </w:tcPr>
                <w:p>
                  <w:pPr>
                    <w:spacing w:line="300" w:lineRule="exact"/>
                    <w:ind w:firstLine="0" w:firstLineChars="0"/>
                    <w:jc w:val="center"/>
                    <w:rPr>
                      <w:rFonts w:hint="default" w:ascii="Times New Roman" w:hAnsi="Times New Roman" w:cs="Times New Roman"/>
                      <w:snapToGrid w:val="0"/>
                      <w:kern w:val="0"/>
                      <w:sz w:val="21"/>
                      <w:szCs w:val="21"/>
                      <w:lang w:val="en-US" w:eastAsia="zh-CN"/>
                    </w:rPr>
                  </w:pPr>
                  <w:r>
                    <w:rPr>
                      <w:rFonts w:hint="default" w:ascii="Times New Roman" w:hAnsi="Times New Roman" w:cs="Times New Roman"/>
                      <w:snapToGrid w:val="0"/>
                      <w:kern w:val="0"/>
                      <w:sz w:val="21"/>
                      <w:szCs w:val="21"/>
                      <w:lang w:val="en-US" w:eastAsia="zh-CN"/>
                    </w:rPr>
                    <w:t>额定进水温度</w:t>
                  </w:r>
                </w:p>
              </w:tc>
              <w:tc>
                <w:tcPr>
                  <w:tcW w:w="1667" w:type="pct"/>
                  <w:noWrap w:val="0"/>
                  <w:vAlign w:val="center"/>
                </w:tcPr>
                <w:p>
                  <w:pPr>
                    <w:spacing w:line="300" w:lineRule="exact"/>
                    <w:ind w:firstLine="0" w:firstLineChars="0"/>
                    <w:jc w:val="center"/>
                    <w:rPr>
                      <w:rFonts w:hint="default" w:ascii="Times New Roman" w:hAnsi="Times New Roman" w:cs="Times New Roman"/>
                      <w:snapToGrid w:val="0"/>
                      <w:kern w:val="0"/>
                      <w:sz w:val="21"/>
                      <w:szCs w:val="21"/>
                      <w:lang w:val="en-US" w:eastAsia="zh-CN"/>
                    </w:rPr>
                  </w:pPr>
                  <w:r>
                    <w:rPr>
                      <w:rFonts w:hint="default" w:ascii="Times New Roman" w:hAnsi="Times New Roman" w:cs="Times New Roman"/>
                      <w:snapToGrid w:val="0"/>
                      <w:kern w:val="0"/>
                      <w:sz w:val="21"/>
                      <w:szCs w:val="21"/>
                      <w:lang w:val="en-US" w:eastAsia="zh-CN"/>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6" w:type="pct"/>
                  <w:noWrap w:val="0"/>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w:t>
                  </w:r>
                </w:p>
              </w:tc>
              <w:tc>
                <w:tcPr>
                  <w:tcW w:w="1666" w:type="pct"/>
                  <w:noWrap w:val="0"/>
                  <w:vAlign w:val="center"/>
                </w:tcPr>
                <w:p>
                  <w:pPr>
                    <w:spacing w:line="300" w:lineRule="exact"/>
                    <w:ind w:firstLine="0" w:firstLineChars="0"/>
                    <w:jc w:val="center"/>
                    <w:rPr>
                      <w:rFonts w:hint="default" w:ascii="Times New Roman" w:hAnsi="Times New Roman" w:cs="Times New Roman"/>
                      <w:snapToGrid w:val="0"/>
                      <w:kern w:val="0"/>
                      <w:sz w:val="21"/>
                      <w:szCs w:val="21"/>
                      <w:lang w:val="en-US" w:eastAsia="zh-CN"/>
                    </w:rPr>
                  </w:pPr>
                  <w:r>
                    <w:rPr>
                      <w:rFonts w:hint="default" w:ascii="Times New Roman" w:hAnsi="Times New Roman" w:cs="Times New Roman"/>
                      <w:snapToGrid w:val="0"/>
                      <w:kern w:val="0"/>
                      <w:sz w:val="21"/>
                      <w:szCs w:val="21"/>
                      <w:lang w:val="en-US" w:eastAsia="zh-CN"/>
                    </w:rPr>
                    <w:t>额定出水温度</w:t>
                  </w:r>
                </w:p>
              </w:tc>
              <w:tc>
                <w:tcPr>
                  <w:tcW w:w="1667" w:type="pct"/>
                  <w:noWrap w:val="0"/>
                  <w:vAlign w:val="center"/>
                </w:tcPr>
                <w:p>
                  <w:pPr>
                    <w:spacing w:line="300" w:lineRule="exact"/>
                    <w:ind w:firstLine="0" w:firstLineChars="0"/>
                    <w:jc w:val="center"/>
                    <w:rPr>
                      <w:rFonts w:hint="default" w:ascii="Times New Roman" w:hAnsi="Times New Roman" w:cs="Times New Roman"/>
                      <w:snapToGrid w:val="0"/>
                      <w:kern w:val="0"/>
                      <w:sz w:val="21"/>
                      <w:szCs w:val="21"/>
                      <w:lang w:val="en-US" w:eastAsia="zh-CN"/>
                    </w:rPr>
                  </w:pPr>
                  <w:r>
                    <w:rPr>
                      <w:rFonts w:hint="default" w:ascii="Times New Roman" w:hAnsi="Times New Roman" w:cs="Times New Roman"/>
                      <w:snapToGrid w:val="0"/>
                      <w:kern w:val="0"/>
                      <w:sz w:val="21"/>
                      <w:szCs w:val="21"/>
                      <w:lang w:val="en-US" w:eastAsia="zh-CN"/>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6" w:type="pct"/>
                  <w:noWrap w:val="0"/>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6</w:t>
                  </w:r>
                </w:p>
              </w:tc>
              <w:tc>
                <w:tcPr>
                  <w:tcW w:w="1666" w:type="pct"/>
                  <w:noWrap w:val="0"/>
                  <w:vAlign w:val="center"/>
                </w:tcPr>
                <w:p>
                  <w:pPr>
                    <w:spacing w:line="300" w:lineRule="exact"/>
                    <w:ind w:firstLine="0" w:firstLineChars="0"/>
                    <w:jc w:val="center"/>
                    <w:rPr>
                      <w:rFonts w:hint="default" w:ascii="Times New Roman" w:hAnsi="Times New Roman" w:cs="Times New Roman"/>
                      <w:snapToGrid w:val="0"/>
                      <w:kern w:val="0"/>
                      <w:sz w:val="21"/>
                      <w:szCs w:val="21"/>
                      <w:lang w:val="en-US" w:eastAsia="zh-CN"/>
                    </w:rPr>
                  </w:pPr>
                  <w:r>
                    <w:rPr>
                      <w:rFonts w:hint="default" w:ascii="Times New Roman" w:hAnsi="Times New Roman" w:cs="Times New Roman"/>
                      <w:snapToGrid w:val="0"/>
                      <w:kern w:val="0"/>
                      <w:sz w:val="21"/>
                      <w:szCs w:val="21"/>
                      <w:lang w:val="en-US" w:eastAsia="zh-CN"/>
                    </w:rPr>
                    <w:t>额定排烟温度</w:t>
                  </w:r>
                </w:p>
              </w:tc>
              <w:tc>
                <w:tcPr>
                  <w:tcW w:w="1667" w:type="pct"/>
                  <w:noWrap w:val="0"/>
                  <w:vAlign w:val="center"/>
                </w:tcPr>
                <w:p>
                  <w:pPr>
                    <w:spacing w:line="300" w:lineRule="exact"/>
                    <w:ind w:firstLine="0" w:firstLineChars="0"/>
                    <w:jc w:val="center"/>
                    <w:rPr>
                      <w:rFonts w:hint="default" w:ascii="Times New Roman" w:hAnsi="Times New Roman" w:cs="Times New Roman"/>
                      <w:snapToGrid w:val="0"/>
                      <w:kern w:val="0"/>
                      <w:sz w:val="21"/>
                      <w:szCs w:val="21"/>
                      <w:lang w:val="en-US" w:eastAsia="zh-CN"/>
                    </w:rPr>
                  </w:pPr>
                  <w:r>
                    <w:rPr>
                      <w:rFonts w:hint="default" w:ascii="Times New Roman" w:hAnsi="Times New Roman" w:cs="Times New Roman"/>
                      <w:snapToGrid w:val="0"/>
                      <w:kern w:val="0"/>
                      <w:sz w:val="21"/>
                      <w:szCs w:val="21"/>
                      <w:lang w:val="en-US" w:eastAsia="zh-CN"/>
                    </w:rPr>
                    <w:t>1</w:t>
                  </w:r>
                  <w:r>
                    <w:rPr>
                      <w:rFonts w:hint="eastAsia" w:ascii="Times New Roman" w:hAnsi="Times New Roman" w:cs="Times New Roman"/>
                      <w:snapToGrid w:val="0"/>
                      <w:kern w:val="0"/>
                      <w:sz w:val="21"/>
                      <w:szCs w:val="21"/>
                      <w:lang w:val="en-US" w:eastAsia="zh-CN"/>
                    </w:rPr>
                    <w:t>36</w:t>
                  </w:r>
                  <w:r>
                    <w:rPr>
                      <w:rFonts w:hint="default" w:ascii="Times New Roman" w:hAnsi="Times New Roman" w:cs="Times New Roman"/>
                      <w:snapToGrid w:val="0"/>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6" w:type="pct"/>
                  <w:noWrap w:val="0"/>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w:t>
                  </w:r>
                </w:p>
              </w:tc>
              <w:tc>
                <w:tcPr>
                  <w:tcW w:w="1666" w:type="pct"/>
                  <w:noWrap w:val="0"/>
                  <w:vAlign w:val="center"/>
                </w:tcPr>
                <w:p>
                  <w:pPr>
                    <w:spacing w:line="300" w:lineRule="exact"/>
                    <w:ind w:firstLine="0" w:firstLineChars="0"/>
                    <w:jc w:val="center"/>
                    <w:rPr>
                      <w:rFonts w:hint="default" w:ascii="Times New Roman" w:hAnsi="Times New Roman" w:cs="Times New Roman"/>
                      <w:snapToGrid w:val="0"/>
                      <w:kern w:val="0"/>
                      <w:sz w:val="21"/>
                      <w:szCs w:val="21"/>
                      <w:lang w:val="en-US" w:eastAsia="zh-CN"/>
                    </w:rPr>
                  </w:pPr>
                  <w:r>
                    <w:rPr>
                      <w:rFonts w:hint="default" w:ascii="Times New Roman" w:hAnsi="Times New Roman" w:cs="Times New Roman"/>
                      <w:snapToGrid w:val="0"/>
                      <w:kern w:val="0"/>
                      <w:sz w:val="21"/>
                      <w:szCs w:val="21"/>
                      <w:lang w:val="en-US" w:eastAsia="zh-CN"/>
                    </w:rPr>
                    <w:t>锅炉设计效率</w:t>
                  </w:r>
                </w:p>
              </w:tc>
              <w:tc>
                <w:tcPr>
                  <w:tcW w:w="1667" w:type="pct"/>
                  <w:noWrap w:val="0"/>
                  <w:vAlign w:val="center"/>
                </w:tcPr>
                <w:p>
                  <w:pPr>
                    <w:spacing w:line="300" w:lineRule="exact"/>
                    <w:ind w:firstLine="0" w:firstLineChars="0"/>
                    <w:jc w:val="center"/>
                    <w:rPr>
                      <w:rFonts w:hint="default" w:ascii="Times New Roman" w:hAnsi="Times New Roman" w:cs="Times New Roman"/>
                      <w:snapToGrid w:val="0"/>
                      <w:kern w:val="0"/>
                      <w:sz w:val="21"/>
                      <w:szCs w:val="21"/>
                      <w:lang w:val="en-US" w:eastAsia="zh-CN"/>
                    </w:rPr>
                  </w:pPr>
                  <w:r>
                    <w:rPr>
                      <w:rFonts w:hint="default" w:ascii="Times New Roman" w:hAnsi="Times New Roman" w:cs="Times New Roman"/>
                      <w:snapToGrid w:val="0"/>
                      <w:kern w:val="0"/>
                      <w:sz w:val="21"/>
                      <w:szCs w:val="21"/>
                      <w:lang w:val="en-US" w:eastAsia="zh-CN"/>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3"/>
                  <w:noWrap w:val="0"/>
                  <w:vAlign w:val="center"/>
                </w:tcPr>
                <w:p>
                  <w:pPr>
                    <w:spacing w:line="300" w:lineRule="exact"/>
                    <w:ind w:firstLine="0" w:firstLineChars="0"/>
                    <w:jc w:val="center"/>
                    <w:rPr>
                      <w:rFonts w:hint="default" w:ascii="Times New Roman" w:hAnsi="Times New Roman" w:cs="Times New Roman"/>
                      <w:snapToGrid w:val="0"/>
                      <w:kern w:val="0"/>
                      <w:sz w:val="21"/>
                      <w:szCs w:val="21"/>
                      <w:lang w:val="en-US" w:eastAsia="zh-CN"/>
                    </w:rPr>
                  </w:pPr>
                  <w:r>
                    <w:rPr>
                      <w:rFonts w:hint="eastAsia" w:ascii="Times New Roman" w:hAnsi="Times New Roman" w:cs="Times New Roman"/>
                      <w:snapToGrid w:val="0"/>
                      <w:kern w:val="0"/>
                      <w:sz w:val="21"/>
                      <w:szCs w:val="21"/>
                      <w:lang w:val="en-US" w:eastAsia="zh-CN"/>
                    </w:rPr>
                    <w:t>2</w:t>
                  </w:r>
                  <w:r>
                    <w:rPr>
                      <w:rFonts w:hint="default" w:ascii="Times New Roman" w:hAnsi="Times New Roman" w:cs="Times New Roman"/>
                      <w:snapToGrid w:val="0"/>
                      <w:kern w:val="0"/>
                      <w:sz w:val="21"/>
                      <w:szCs w:val="21"/>
                      <w:lang w:val="en-US" w:eastAsia="zh-CN"/>
                    </w:rPr>
                    <w:t>0t/h</w:t>
                  </w:r>
                  <w:r>
                    <w:rPr>
                      <w:rFonts w:hint="eastAsia" w:ascii="Times New Roman" w:hAnsi="Times New Roman" w:cs="Times New Roman"/>
                      <w:szCs w:val="21"/>
                      <w:lang w:eastAsia="zh-CN"/>
                    </w:rPr>
                    <w:t>生物质锅炉（备用）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6" w:type="pct"/>
                  <w:noWrap w:val="0"/>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1</w:t>
                  </w:r>
                </w:p>
              </w:tc>
              <w:tc>
                <w:tcPr>
                  <w:tcW w:w="1666" w:type="pct"/>
                  <w:noWrap w:val="0"/>
                  <w:vAlign w:val="center"/>
                </w:tcPr>
                <w:p>
                  <w:pPr>
                    <w:spacing w:line="300" w:lineRule="exact"/>
                    <w:ind w:firstLine="0" w:firstLineChars="0"/>
                    <w:jc w:val="center"/>
                    <w:rPr>
                      <w:rFonts w:hint="default" w:ascii="Times New Roman" w:hAnsi="Times New Roman" w:cs="Times New Roman" w:eastAsiaTheme="minorEastAsia"/>
                      <w:snapToGrid w:val="0"/>
                      <w:kern w:val="0"/>
                      <w:sz w:val="21"/>
                      <w:szCs w:val="21"/>
                      <w:lang w:val="en-US" w:eastAsia="zh-CN" w:bidi="ar-SA"/>
                    </w:rPr>
                  </w:pPr>
                  <w:r>
                    <w:rPr>
                      <w:rFonts w:hint="default" w:ascii="Times New Roman" w:hAnsi="Times New Roman" w:cs="Times New Roman"/>
                      <w:snapToGrid w:val="0"/>
                      <w:kern w:val="0"/>
                      <w:sz w:val="21"/>
                      <w:szCs w:val="21"/>
                      <w:lang w:val="en-US" w:eastAsia="zh-CN"/>
                    </w:rPr>
                    <w:t>型号</w:t>
                  </w:r>
                </w:p>
              </w:tc>
              <w:tc>
                <w:tcPr>
                  <w:tcW w:w="1667" w:type="pct"/>
                  <w:noWrap w:val="0"/>
                  <w:vAlign w:val="center"/>
                </w:tcPr>
                <w:p>
                  <w:pPr>
                    <w:spacing w:line="300" w:lineRule="exact"/>
                    <w:ind w:firstLine="0" w:firstLineChars="0"/>
                    <w:jc w:val="center"/>
                    <w:rPr>
                      <w:rFonts w:hint="default" w:ascii="Times New Roman" w:hAnsi="Times New Roman" w:cs="Times New Roman" w:eastAsiaTheme="minorEastAsia"/>
                      <w:snapToGrid w:val="0"/>
                      <w:kern w:val="0"/>
                      <w:sz w:val="21"/>
                      <w:szCs w:val="21"/>
                      <w:lang w:val="en-US" w:eastAsia="zh-CN" w:bidi="ar-SA"/>
                    </w:rPr>
                  </w:pPr>
                  <w:r>
                    <w:rPr>
                      <w:rFonts w:hint="default" w:ascii="Times New Roman" w:hAnsi="Times New Roman" w:cs="Times New Roman"/>
                      <w:szCs w:val="21"/>
                      <w:lang w:val="en-US" w:eastAsia="zh-CN"/>
                    </w:rPr>
                    <w:t>SHX20-2.5-H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6" w:type="pct"/>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1666" w:type="pct"/>
                  <w:noWrap w:val="0"/>
                  <w:vAlign w:val="center"/>
                </w:tcPr>
                <w:p>
                  <w:pPr>
                    <w:spacing w:line="300" w:lineRule="exact"/>
                    <w:ind w:firstLine="0" w:firstLineChars="0"/>
                    <w:jc w:val="center"/>
                    <w:rPr>
                      <w:rFonts w:hint="default" w:ascii="Times New Roman" w:hAnsi="Times New Roman" w:cs="Times New Roman"/>
                      <w:snapToGrid w:val="0"/>
                      <w:kern w:val="0"/>
                      <w:sz w:val="21"/>
                      <w:szCs w:val="21"/>
                      <w:lang w:val="en-US" w:eastAsia="zh-CN"/>
                    </w:rPr>
                  </w:pPr>
                  <w:r>
                    <w:rPr>
                      <w:rFonts w:hint="default" w:ascii="Times New Roman" w:hAnsi="Times New Roman" w:cs="Times New Roman"/>
                      <w:snapToGrid w:val="0"/>
                      <w:kern w:val="0"/>
                      <w:sz w:val="21"/>
                      <w:szCs w:val="21"/>
                      <w:lang w:val="en-US" w:eastAsia="zh-CN"/>
                    </w:rPr>
                    <w:t>锅炉容量</w:t>
                  </w:r>
                </w:p>
              </w:tc>
              <w:tc>
                <w:tcPr>
                  <w:tcW w:w="1667" w:type="pct"/>
                  <w:noWrap w:val="0"/>
                  <w:vAlign w:val="center"/>
                </w:tcPr>
                <w:p>
                  <w:pPr>
                    <w:spacing w:line="300" w:lineRule="exact"/>
                    <w:ind w:firstLine="0" w:firstLineChars="0"/>
                    <w:jc w:val="center"/>
                    <w:rPr>
                      <w:rFonts w:hint="default" w:ascii="Times New Roman" w:hAnsi="Times New Roman" w:cs="Times New Roman"/>
                      <w:snapToGrid w:val="0"/>
                      <w:kern w:val="0"/>
                      <w:sz w:val="21"/>
                      <w:szCs w:val="21"/>
                      <w:lang w:val="en-US" w:eastAsia="zh-CN"/>
                    </w:rPr>
                  </w:pPr>
                  <w:r>
                    <w:rPr>
                      <w:rFonts w:hint="eastAsia" w:ascii="Times New Roman" w:hAnsi="Times New Roman" w:cs="Times New Roman"/>
                      <w:snapToGrid w:val="0"/>
                      <w:kern w:val="0"/>
                      <w:sz w:val="21"/>
                      <w:szCs w:val="21"/>
                      <w:lang w:val="en-US" w:eastAsia="zh-CN"/>
                    </w:rPr>
                    <w:t>20t/h</w:t>
                  </w:r>
                </w:p>
              </w:tc>
            </w:tr>
          </w:tbl>
          <w:p>
            <w:pPr>
              <w:keepNext w:val="0"/>
              <w:keepLines w:val="0"/>
              <w:pageBreakBefore w:val="0"/>
              <w:widowControl w:val="0"/>
              <w:kinsoku/>
              <w:wordWrap/>
              <w:overflowPunct/>
              <w:topLinePunct w:val="0"/>
              <w:autoSpaceDE/>
              <w:autoSpaceDN/>
              <w:bidi w:val="0"/>
              <w:adjustRightInd w:val="0"/>
              <w:snapToGrid w:val="0"/>
              <w:spacing w:before="156" w:beforeLines="50" w:line="360" w:lineRule="auto"/>
              <w:ind w:firstLine="482" w:firstLineChars="200"/>
              <w:textAlignment w:val="auto"/>
              <w:rPr>
                <w:rFonts w:ascii="Times New Roman" w:hAnsi="Times New Roman" w:cs="Times New Roman"/>
                <w:b/>
                <w:sz w:val="24"/>
              </w:rPr>
            </w:pPr>
            <w:r>
              <w:rPr>
                <w:rFonts w:hint="eastAsia" w:ascii="Times New Roman" w:hAnsi="Times New Roman" w:cs="Times New Roman"/>
                <w:b/>
                <w:sz w:val="24"/>
                <w:lang w:val="en-US" w:eastAsia="zh-CN"/>
              </w:rPr>
              <w:t>4</w:t>
            </w:r>
            <w:r>
              <w:rPr>
                <w:rFonts w:hint="eastAsia" w:ascii="Times New Roman" w:hAnsi="Times New Roman" w:cs="Times New Roman"/>
                <w:b/>
                <w:sz w:val="24"/>
              </w:rPr>
              <w:t>、劳动定员及工作制度</w:t>
            </w:r>
          </w:p>
          <w:p>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kern w:val="44"/>
                <w:sz w:val="24"/>
              </w:rPr>
              <w:t>本项目</w:t>
            </w:r>
            <w:r>
              <w:rPr>
                <w:rFonts w:hint="eastAsia" w:ascii="Times New Roman" w:hAnsi="Times New Roman" w:cs="Times New Roman"/>
                <w:kern w:val="44"/>
                <w:sz w:val="24"/>
              </w:rPr>
              <w:t>不新增员工；锅炉</w:t>
            </w:r>
            <w:r>
              <w:rPr>
                <w:rFonts w:hint="eastAsia" w:ascii="Times New Roman" w:hAnsi="Times New Roman" w:cs="Times New Roman"/>
                <w:kern w:val="44"/>
                <w:sz w:val="24"/>
                <w:lang w:val="en-US" w:eastAsia="zh-CN"/>
              </w:rPr>
              <w:t>全年工作100</w:t>
            </w:r>
            <w:r>
              <w:rPr>
                <w:rFonts w:ascii="Times New Roman" w:hAnsi="Times New Roman" w:cs="Times New Roman"/>
                <w:kern w:val="44"/>
                <w:sz w:val="24"/>
              </w:rPr>
              <w:t>天</w:t>
            </w:r>
            <w:r>
              <w:rPr>
                <w:rFonts w:hint="eastAsia" w:ascii="Times New Roman" w:hAnsi="Times New Roman" w:cs="Times New Roman"/>
                <w:kern w:val="44"/>
                <w:sz w:val="24"/>
              </w:rPr>
              <w:t>，</w:t>
            </w:r>
            <w:r>
              <w:rPr>
                <w:rFonts w:hint="eastAsia" w:ascii="Times New Roman" w:hAnsi="Times New Roman" w:cs="Times New Roman"/>
                <w:kern w:val="44"/>
                <w:sz w:val="24"/>
                <w:lang w:val="en-US" w:eastAsia="zh-CN"/>
              </w:rPr>
              <w:t>每天3班，</w:t>
            </w:r>
            <w:r>
              <w:rPr>
                <w:rFonts w:hint="eastAsia" w:ascii="Times New Roman" w:hAnsi="Times New Roman" w:cs="Times New Roman"/>
                <w:kern w:val="44"/>
                <w:sz w:val="24"/>
              </w:rPr>
              <w:t>每班</w:t>
            </w:r>
            <w:r>
              <w:rPr>
                <w:rFonts w:hint="eastAsia" w:ascii="Times New Roman" w:hAnsi="Times New Roman" w:cs="Times New Roman"/>
                <w:kern w:val="44"/>
                <w:sz w:val="24"/>
                <w:lang w:val="en-US" w:eastAsia="zh-CN"/>
              </w:rPr>
              <w:t>8</w:t>
            </w:r>
            <w:r>
              <w:rPr>
                <w:rFonts w:hint="eastAsia" w:ascii="Times New Roman" w:hAnsi="Times New Roman" w:cs="Times New Roman"/>
                <w:kern w:val="44"/>
                <w:sz w:val="24"/>
              </w:rPr>
              <w:t>小时，</w:t>
            </w:r>
            <w:r>
              <w:rPr>
                <w:rFonts w:hint="eastAsia" w:ascii="Times New Roman" w:hAnsi="Times New Roman" w:cs="Times New Roman"/>
                <w:kern w:val="44"/>
                <w:sz w:val="24"/>
                <w:lang w:val="en-US" w:eastAsia="zh-CN"/>
              </w:rPr>
              <w:t>全年</w:t>
            </w:r>
            <w:r>
              <w:rPr>
                <w:rFonts w:hint="eastAsia" w:ascii="Times New Roman" w:hAnsi="Times New Roman" w:cs="Times New Roman"/>
                <w:kern w:val="44"/>
                <w:sz w:val="24"/>
              </w:rPr>
              <w:t>工作时长</w:t>
            </w:r>
            <w:r>
              <w:rPr>
                <w:rFonts w:hint="eastAsia" w:ascii="Times New Roman" w:hAnsi="Times New Roman" w:cs="Times New Roman"/>
                <w:kern w:val="44"/>
                <w:sz w:val="24"/>
                <w:lang w:val="en-US" w:eastAsia="zh-CN"/>
              </w:rPr>
              <w:t>2400</w:t>
            </w:r>
            <w:r>
              <w:rPr>
                <w:rFonts w:hint="eastAsia" w:ascii="Times New Roman" w:hAnsi="Times New Roman" w:cs="Times New Roman"/>
                <w:kern w:val="44"/>
                <w:sz w:val="24"/>
              </w:rPr>
              <w:t>小时</w:t>
            </w:r>
            <w:r>
              <w:rPr>
                <w:rFonts w:hint="eastAsia" w:ascii="Times New Roman" w:hAnsi="Times New Roman" w:cs="Times New Roman"/>
                <w:kern w:val="44"/>
                <w:sz w:val="24"/>
                <w:lang w:eastAsia="zh-CN"/>
              </w:rPr>
              <w:t>，</w:t>
            </w:r>
            <w:r>
              <w:rPr>
                <w:rFonts w:hint="eastAsia" w:ascii="Times New Roman" w:hAnsi="Times New Roman" w:cs="Times New Roman"/>
                <w:kern w:val="44"/>
                <w:sz w:val="24"/>
                <w:lang w:val="en-US" w:eastAsia="zh-CN"/>
              </w:rPr>
              <w:t>标煤破碎生产线全年工作100</w:t>
            </w:r>
            <w:r>
              <w:rPr>
                <w:rFonts w:ascii="Times New Roman" w:hAnsi="Times New Roman" w:cs="Times New Roman"/>
                <w:kern w:val="44"/>
                <w:sz w:val="24"/>
              </w:rPr>
              <w:t>天</w:t>
            </w:r>
            <w:r>
              <w:rPr>
                <w:rFonts w:hint="eastAsia" w:ascii="Times New Roman" w:hAnsi="Times New Roman" w:cs="Times New Roman"/>
                <w:kern w:val="44"/>
                <w:sz w:val="24"/>
                <w:lang w:eastAsia="zh-CN"/>
              </w:rPr>
              <w:t>，</w:t>
            </w:r>
            <w:r>
              <w:rPr>
                <w:rFonts w:hint="eastAsia" w:ascii="Times New Roman" w:hAnsi="Times New Roman" w:cs="Times New Roman"/>
                <w:kern w:val="44"/>
                <w:sz w:val="24"/>
                <w:lang w:val="en-US" w:eastAsia="zh-CN"/>
              </w:rPr>
              <w:t>每天1班，每班1小时，全年工作时长100小时</w:t>
            </w:r>
            <w:r>
              <w:rPr>
                <w:rFonts w:ascii="Times New Roman" w:hAnsi="Times New Roman" w:cs="Times New Roman"/>
                <w:kern w:val="44"/>
                <w:sz w:val="24"/>
              </w:rPr>
              <w:t>。</w:t>
            </w:r>
          </w:p>
          <w:p>
            <w:pPr>
              <w:adjustRightInd w:val="0"/>
              <w:snapToGrid w:val="0"/>
              <w:spacing w:line="360" w:lineRule="auto"/>
              <w:ind w:firstLine="482" w:firstLineChars="200"/>
              <w:rPr>
                <w:rFonts w:ascii="Times New Roman" w:hAnsi="Times New Roman" w:cs="Times New Roman"/>
                <w:b/>
                <w:sz w:val="24"/>
              </w:rPr>
            </w:pPr>
            <w:r>
              <w:rPr>
                <w:rFonts w:hint="eastAsia" w:ascii="Times New Roman" w:hAnsi="Times New Roman" w:cs="Times New Roman"/>
                <w:b/>
                <w:sz w:val="24"/>
                <w:lang w:val="en-US" w:eastAsia="zh-CN"/>
              </w:rPr>
              <w:t>5</w:t>
            </w:r>
            <w:r>
              <w:rPr>
                <w:rFonts w:hint="eastAsia" w:ascii="Times New Roman" w:hAnsi="Times New Roman" w:cs="Times New Roman"/>
                <w:b/>
                <w:sz w:val="24"/>
              </w:rPr>
              <w:t>、平面布置</w:t>
            </w:r>
          </w:p>
          <w:p>
            <w:pPr>
              <w:adjustRightInd w:val="0"/>
              <w:snapToGrid w:val="0"/>
              <w:spacing w:line="360" w:lineRule="auto"/>
              <w:ind w:firstLine="480" w:firstLineChars="200"/>
              <w:rPr>
                <w:rFonts w:ascii="Times New Roman" w:hAnsi="Times New Roman"/>
                <w:bCs/>
                <w:sz w:val="24"/>
              </w:rPr>
            </w:pPr>
            <w:r>
              <w:rPr>
                <w:rFonts w:hint="eastAsia" w:ascii="Times New Roman" w:hAnsi="Times New Roman"/>
                <w:bCs/>
                <w:sz w:val="24"/>
              </w:rPr>
              <w:t>承德富龙现代农业发展有限公司厂区总体呈正方形，整个厂区南北向长约465m，东西向宽约443m。厂区</w:t>
            </w:r>
            <w:r>
              <w:rPr>
                <w:rFonts w:hint="eastAsia" w:ascii="Times New Roman" w:hAnsi="Times New Roman"/>
                <w:bCs/>
                <w:sz w:val="24"/>
                <w:lang w:val="en-US" w:eastAsia="zh-CN"/>
              </w:rPr>
              <w:t>西</w:t>
            </w:r>
            <w:r>
              <w:rPr>
                <w:rFonts w:hint="eastAsia" w:ascii="Times New Roman" w:hAnsi="Times New Roman"/>
                <w:bCs/>
                <w:sz w:val="24"/>
              </w:rPr>
              <w:t>南角设1个出入口，西侧设1个出入口</w:t>
            </w:r>
            <w:r>
              <w:rPr>
                <w:rFonts w:hint="eastAsia" w:ascii="Times New Roman" w:hAnsi="Times New Roman"/>
                <w:bCs/>
                <w:sz w:val="24"/>
                <w:lang w:eastAsia="zh-CN"/>
              </w:rPr>
              <w:t>，</w:t>
            </w:r>
            <w:r>
              <w:rPr>
                <w:rFonts w:hint="eastAsia" w:ascii="Times New Roman" w:hAnsi="Times New Roman"/>
                <w:bCs/>
                <w:sz w:val="24"/>
              </w:rPr>
              <w:t>本项目锅炉房位于</w:t>
            </w:r>
            <w:r>
              <w:rPr>
                <w:rFonts w:hint="eastAsia" w:ascii="Times New Roman" w:hAnsi="Times New Roman"/>
                <w:bCs/>
                <w:sz w:val="24"/>
                <w:lang w:val="en-US" w:eastAsia="zh-CN"/>
              </w:rPr>
              <w:t>厂区中部靠东侧</w:t>
            </w:r>
            <w:r>
              <w:rPr>
                <w:rFonts w:hint="eastAsia" w:ascii="Times New Roman" w:hAnsi="Times New Roman"/>
                <w:bCs/>
                <w:sz w:val="24"/>
              </w:rPr>
              <w:t>，</w:t>
            </w:r>
            <w:r>
              <w:rPr>
                <w:rFonts w:hint="eastAsia" w:ascii="Times New Roman" w:hAnsi="Times New Roman"/>
                <w:bCs/>
                <w:sz w:val="24"/>
                <w:lang w:val="en-US" w:eastAsia="zh-CN"/>
              </w:rPr>
              <w:t>渣库位于锅炉房北侧，灰仓位于渣库东侧</w:t>
            </w:r>
            <w:r>
              <w:rPr>
                <w:rFonts w:hint="eastAsia" w:ascii="Times New Roman" w:hAnsi="Times New Roman"/>
                <w:bCs/>
                <w:sz w:val="24"/>
                <w:lang w:eastAsia="zh-CN"/>
              </w:rPr>
              <w:t>，煤棚位于锅炉房西侧</w:t>
            </w:r>
            <w:r>
              <w:rPr>
                <w:rFonts w:hint="eastAsia" w:ascii="Times New Roman" w:hAnsi="Times New Roman"/>
                <w:bCs/>
                <w:sz w:val="24"/>
                <w:lang w:val="en-US" w:eastAsia="zh-CN"/>
              </w:rPr>
              <w:t>，碎煤楼位于煤棚南侧</w:t>
            </w:r>
            <w:r>
              <w:rPr>
                <w:rFonts w:hint="eastAsia" w:ascii="Times New Roman" w:hAnsi="Times New Roman"/>
                <w:bCs/>
                <w:sz w:val="24"/>
              </w:rPr>
              <w:t>。详见附图2。</w:t>
            </w:r>
          </w:p>
          <w:p>
            <w:pPr>
              <w:spacing w:line="360" w:lineRule="auto"/>
              <w:ind w:firstLine="482" w:firstLineChars="200"/>
              <w:rPr>
                <w:rFonts w:ascii="Times New Roman" w:hAnsi="Times New Roman" w:cs="Times New Roman"/>
                <w:b/>
                <w:color w:val="auto"/>
                <w:sz w:val="24"/>
              </w:rPr>
            </w:pPr>
            <w:r>
              <w:rPr>
                <w:rFonts w:hint="eastAsia" w:ascii="Times New Roman" w:hAnsi="Times New Roman" w:cs="Times New Roman"/>
                <w:b/>
                <w:color w:val="auto"/>
                <w:sz w:val="24"/>
                <w:lang w:val="en-US" w:eastAsia="zh-CN"/>
              </w:rPr>
              <w:t>6</w:t>
            </w:r>
            <w:r>
              <w:rPr>
                <w:rFonts w:ascii="Times New Roman" w:hAnsi="Times New Roman" w:cs="Times New Roman"/>
                <w:b/>
                <w:color w:val="auto"/>
                <w:sz w:val="24"/>
              </w:rPr>
              <w:t>、</w:t>
            </w:r>
            <w:r>
              <w:rPr>
                <w:rFonts w:hint="eastAsia" w:ascii="Times New Roman" w:hAnsi="Times New Roman" w:cs="Times New Roman"/>
                <w:b/>
                <w:color w:val="auto"/>
                <w:sz w:val="24"/>
                <w:lang w:eastAsia="zh-CN"/>
              </w:rPr>
              <w:t>水平衡分析</w:t>
            </w:r>
          </w:p>
          <w:p>
            <w:pPr>
              <w:spacing w:line="360" w:lineRule="auto"/>
              <w:ind w:firstLine="480" w:firstLineChars="200"/>
              <w:rPr>
                <w:rFonts w:ascii="Times New Roman" w:hAnsi="Times New Roman" w:cs="Times New Roman"/>
                <w:color w:val="auto"/>
                <w:sz w:val="24"/>
              </w:rPr>
            </w:pPr>
            <w:r>
              <w:rPr>
                <w:rFonts w:hint="eastAsia" w:ascii="Times New Roman" w:hAnsi="Times New Roman" w:cs="Times New Roman"/>
                <w:color w:val="auto"/>
                <w:sz w:val="24"/>
              </w:rPr>
              <w:t>（1）</w:t>
            </w:r>
            <w:r>
              <w:rPr>
                <w:rFonts w:ascii="Times New Roman" w:hAnsi="Times New Roman" w:cs="Times New Roman"/>
                <w:color w:val="auto"/>
                <w:sz w:val="24"/>
              </w:rPr>
              <w:t>给水</w:t>
            </w:r>
          </w:p>
          <w:p>
            <w:pPr>
              <w:adjustRightInd w:val="0"/>
              <w:snapToGrid w:val="0"/>
              <w:spacing w:line="360" w:lineRule="auto"/>
              <w:ind w:firstLine="480" w:firstLineChars="200"/>
              <w:rPr>
                <w:rFonts w:ascii="Times New Roman" w:hAnsi="Times New Roman" w:cs="Times New Roman"/>
                <w:color w:val="auto"/>
                <w:sz w:val="24"/>
              </w:rPr>
            </w:pPr>
            <w:r>
              <w:rPr>
                <w:rFonts w:hint="eastAsia" w:ascii="Times New Roman" w:hAnsi="Times New Roman" w:cs="Times New Roman"/>
                <w:color w:val="auto"/>
                <w:sz w:val="24"/>
              </w:rPr>
              <w:t>用水主要来自厂区自备水井，项目不新增劳动人员，无生活用水，生产用水主要为锅炉用水。</w:t>
            </w:r>
          </w:p>
          <w:p>
            <w:pPr>
              <w:adjustRightInd w:val="0"/>
              <w:snapToGrid w:val="0"/>
              <w:spacing w:line="360" w:lineRule="auto"/>
              <w:ind w:firstLine="480" w:firstLineChars="200"/>
              <w:rPr>
                <w:rFonts w:ascii="Times New Roman" w:hAnsi="Times New Roman" w:cs="Times New Roman"/>
                <w:color w:val="auto"/>
                <w:sz w:val="24"/>
              </w:rPr>
            </w:pPr>
            <w:r>
              <w:rPr>
                <w:rFonts w:hint="eastAsia" w:ascii="Times New Roman" w:hAnsi="Times New Roman" w:cs="Times New Roman"/>
                <w:color w:val="auto"/>
                <w:sz w:val="24"/>
              </w:rPr>
              <w:t>①</w:t>
            </w:r>
            <w:r>
              <w:rPr>
                <w:rFonts w:hint="eastAsia" w:ascii="Times New Roman" w:hAnsi="Times New Roman" w:cs="Times New Roman"/>
                <w:color w:val="auto"/>
                <w:sz w:val="24"/>
                <w:lang w:val="en-US" w:eastAsia="zh-CN"/>
              </w:rPr>
              <w:t>软水系统用水</w:t>
            </w:r>
          </w:p>
          <w:p>
            <w:pPr>
              <w:adjustRightInd w:val="0"/>
              <w:snapToGrid w:val="0"/>
              <w:spacing w:line="360" w:lineRule="auto"/>
              <w:ind w:firstLine="480" w:firstLineChars="200"/>
              <w:rPr>
                <w:rFonts w:hint="eastAsia" w:ascii="Times New Roman" w:hAnsi="Times New Roman" w:cs="Times New Roman" w:eastAsiaTheme="minorEastAsia"/>
                <w:color w:val="000000" w:themeColor="text1"/>
                <w:sz w:val="24"/>
                <w:lang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本项目锅炉年产蒸汽40800t/a，锅炉补水量按蒸汽量的100%计算，则蒸汽锅炉软化水消耗量为408m</w:t>
            </w:r>
            <w:r>
              <w:rPr>
                <w:rFonts w:hint="eastAsia" w:ascii="Times New Roman" w:hAnsi="Times New Roman"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lang w:val="en-US" w:eastAsia="zh-CN"/>
                <w14:textFill>
                  <w14:solidFill>
                    <w14:schemeClr w14:val="tx1"/>
                  </w14:solidFill>
                </w14:textFill>
              </w:rPr>
              <w:t>/d（40800m</w:t>
            </w:r>
            <w:r>
              <w:rPr>
                <w:rFonts w:hint="eastAsia" w:ascii="Times New Roman" w:hAnsi="Times New Roman"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lang w:val="en-US" w:eastAsia="zh-CN"/>
                <w14:textFill>
                  <w14:solidFill>
                    <w14:schemeClr w14:val="tx1"/>
                  </w14:solidFill>
                </w14:textFill>
              </w:rPr>
              <w:t>/a），本项目采用反渗透纯净水处理设备，软水制备效率为85%，则锅炉新鲜水消耗量为480m</w:t>
            </w:r>
            <w:r>
              <w:rPr>
                <w:rFonts w:hint="eastAsia" w:ascii="Times New Roman" w:hAnsi="Times New Roman"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lang w:val="en-US" w:eastAsia="zh-CN"/>
                <w14:textFill>
                  <w14:solidFill>
                    <w14:schemeClr w14:val="tx1"/>
                  </w14:solidFill>
                </w14:textFill>
              </w:rPr>
              <w:t>/d（48000m</w:t>
            </w:r>
            <w:r>
              <w:rPr>
                <w:rFonts w:hint="eastAsia" w:ascii="Times New Roman" w:hAnsi="Times New Roman"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lang w:val="en-US" w:eastAsia="zh-CN"/>
                <w14:textFill>
                  <w14:solidFill>
                    <w14:schemeClr w14:val="tx1"/>
                  </w14:solidFill>
                </w14:textFill>
              </w:rPr>
              <w:t>/a），纯水制备浓水产生量72m</w:t>
            </w:r>
            <w:r>
              <w:rPr>
                <w:rFonts w:hint="eastAsia" w:ascii="Times New Roman" w:hAnsi="Times New Roman"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lang w:val="en-US" w:eastAsia="zh-CN"/>
                <w14:textFill>
                  <w14:solidFill>
                    <w14:schemeClr w14:val="tx1"/>
                  </w14:solidFill>
                </w14:textFill>
              </w:rPr>
              <w:t>/d（7200m</w:t>
            </w:r>
            <w:r>
              <w:rPr>
                <w:rFonts w:hint="eastAsia" w:ascii="Times New Roman" w:hAnsi="Times New Roman"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lang w:val="en-US" w:eastAsia="zh-CN"/>
                <w14:textFill>
                  <w14:solidFill>
                    <w14:schemeClr w14:val="tx1"/>
                  </w14:solidFill>
                </w14:textFill>
              </w:rPr>
              <w:t>/a）</w:t>
            </w:r>
            <w:r>
              <w:rPr>
                <w:rFonts w:hint="eastAsia" w:ascii="Times New Roman" w:hAnsi="Times New Roman" w:cs="Times New Roman"/>
                <w:color w:val="000000" w:themeColor="text1"/>
                <w:sz w:val="24"/>
                <w:lang w:eastAsia="zh-CN"/>
                <w14:textFill>
                  <w14:solidFill>
                    <w14:schemeClr w14:val="tx1"/>
                  </w14:solidFill>
                </w14:textFill>
              </w:rPr>
              <w:t>。</w:t>
            </w:r>
          </w:p>
          <w:p>
            <w:pPr>
              <w:pStyle w:val="8"/>
              <w:adjustRightInd w:val="0"/>
              <w:snapToGrid w:val="0"/>
              <w:spacing w:after="0" w:line="360" w:lineRule="auto"/>
              <w:ind w:left="0" w:leftChars="0" w:firstLine="480" w:firstLineChars="200"/>
              <w:rPr>
                <w:rFonts w:hint="eastAsia" w:ascii="Times New Roman" w:hAnsi="Times New Roman" w:cs="Times New Roman"/>
                <w:color w:val="000000" w:themeColor="text1"/>
                <w:sz w:val="24"/>
                <w:lang w:eastAsia="zh-CN"/>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②脱硫用水</w:t>
            </w:r>
          </w:p>
          <w:p>
            <w:pPr>
              <w:pStyle w:val="8"/>
              <w:adjustRightInd w:val="0"/>
              <w:snapToGrid w:val="0"/>
              <w:spacing w:after="0" w:line="360" w:lineRule="auto"/>
              <w:ind w:left="0" w:leftChars="0" w:firstLine="480" w:firstLineChars="200"/>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脱硫系统用水</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为主要为溶解氧化镁以及降温用水</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，用水量为</w:t>
            </w:r>
            <w:r>
              <w:rPr>
                <w:rFonts w:hint="eastAsia" w:ascii="Times New Roman" w:hAnsi="Times New Roman" w:cs="Times New Roman"/>
                <w:color w:val="000000" w:themeColor="text1"/>
                <w:sz w:val="24"/>
                <w:lang w:val="en-US" w:eastAsia="zh-CN"/>
                <w14:textFill>
                  <w14:solidFill>
                    <w14:schemeClr w14:val="tx1"/>
                  </w14:solidFill>
                </w14:textFill>
              </w:rPr>
              <w:t>72m</w:t>
            </w:r>
            <w:r>
              <w:rPr>
                <w:rFonts w:hint="eastAsia" w:ascii="Times New Roman" w:hAnsi="Times New Roman"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lang w:val="en-US" w:eastAsia="zh-CN"/>
                <w14:textFill>
                  <w14:solidFill>
                    <w14:schemeClr w14:val="tx1"/>
                  </w14:solidFill>
                </w14:textFill>
              </w:rPr>
              <w:t>/d（7200m</w:t>
            </w:r>
            <w:r>
              <w:rPr>
                <w:rFonts w:hint="eastAsia" w:ascii="Times New Roman" w:hAnsi="Times New Roman"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lang w:val="en-US" w:eastAsia="zh-CN"/>
                <w14:textFill>
                  <w14:solidFill>
                    <w14:schemeClr w14:val="tx1"/>
                  </w14:solidFill>
                </w14:textFill>
              </w:rPr>
              <w:t>/a）</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，脱硫用水来源于纯水制备的浓水，脱硫水循环使用。</w:t>
            </w:r>
          </w:p>
          <w:p>
            <w:pPr>
              <w:adjustRightInd w:val="0"/>
              <w:snapToGrid w:val="0"/>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szCs w:val="24"/>
              </w:rPr>
              <w:t>综上所述，项目总用水量为</w:t>
            </w:r>
            <w:r>
              <w:rPr>
                <w:rFonts w:hint="eastAsia" w:ascii="Times New Roman" w:hAnsi="Times New Roman" w:cs="Times New Roman"/>
                <w:color w:val="auto"/>
                <w:sz w:val="24"/>
                <w:szCs w:val="24"/>
                <w:lang w:val="en-US" w:eastAsia="zh-CN"/>
              </w:rPr>
              <w:t>480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r>
              <w:rPr>
                <w:rFonts w:hint="default"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48000</w:t>
            </w:r>
            <w:r>
              <w:rPr>
                <w:rFonts w:hint="default" w:ascii="Times New Roman" w:hAnsi="Times New Roman" w:cs="Times New Roman"/>
                <w:color w:val="auto"/>
                <w:kern w:val="44"/>
                <w:sz w:val="24"/>
                <w:szCs w:val="24"/>
                <w:lang w:val="en-US" w:eastAsia="zh-CN"/>
              </w:rPr>
              <w:t>m</w:t>
            </w:r>
            <w:r>
              <w:rPr>
                <w:rFonts w:hint="eastAsia" w:ascii="Times New Roman" w:hAnsi="Times New Roman" w:cs="Times New Roman"/>
                <w:color w:val="auto"/>
                <w:kern w:val="44"/>
                <w:sz w:val="24"/>
                <w:szCs w:val="24"/>
                <w:vertAlign w:val="superscript"/>
                <w:lang w:val="en-US" w:eastAsia="zh-CN"/>
              </w:rPr>
              <w:t>3</w:t>
            </w:r>
            <w:r>
              <w:rPr>
                <w:rFonts w:hint="default" w:ascii="Times New Roman" w:hAnsi="Times New Roman" w:cs="Times New Roman"/>
                <w:color w:val="auto"/>
                <w:kern w:val="44"/>
                <w:sz w:val="24"/>
                <w:szCs w:val="24"/>
                <w:lang w:val="en-US" w:eastAsia="zh-CN"/>
              </w:rPr>
              <w:t>/a）</w:t>
            </w:r>
            <w:r>
              <w:rPr>
                <w:rFonts w:hint="eastAsia" w:ascii="Times New Roman" w:hAnsi="Times New Roman" w:cs="Times New Roman"/>
                <w:color w:val="auto"/>
                <w:kern w:val="44"/>
                <w:sz w:val="24"/>
                <w:szCs w:val="24"/>
                <w:lang w:val="en-US" w:eastAsia="zh-CN"/>
              </w:rPr>
              <w:t>。</w:t>
            </w:r>
          </w:p>
          <w:p>
            <w:pPr>
              <w:adjustRightInd w:val="0"/>
              <w:snapToGrid w:val="0"/>
              <w:spacing w:line="360" w:lineRule="auto"/>
              <w:ind w:firstLine="480" w:firstLineChars="200"/>
              <w:rPr>
                <w:rFonts w:ascii="Times New Roman" w:hAnsi="Times New Roman" w:cs="Times New Roman"/>
                <w:color w:val="auto"/>
                <w:sz w:val="24"/>
              </w:rPr>
            </w:pPr>
            <w:r>
              <w:rPr>
                <w:rFonts w:hint="eastAsia" w:ascii="Times New Roman" w:hAnsi="Times New Roman" w:cs="Times New Roman"/>
                <w:color w:val="auto"/>
                <w:sz w:val="24"/>
              </w:rPr>
              <w:t>（2）</w:t>
            </w:r>
            <w:r>
              <w:rPr>
                <w:rFonts w:ascii="Times New Roman" w:hAnsi="Times New Roman" w:cs="Times New Roman"/>
                <w:color w:val="auto"/>
                <w:sz w:val="24"/>
              </w:rPr>
              <w:t>排水</w:t>
            </w:r>
          </w:p>
          <w:p>
            <w:pPr>
              <w:pStyle w:val="45"/>
              <w:snapToGrid w:val="0"/>
              <w:ind w:firstLine="480"/>
              <w:contextualSpacing/>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kern w:val="2"/>
                <w:sz w:val="24"/>
                <w:szCs w:val="24"/>
                <w:highlight w:val="none"/>
                <w:lang w:val="en-US" w:eastAsia="zh-CN" w:bidi="ar-SA"/>
              </w:rPr>
              <w:t>①</w:t>
            </w:r>
            <w:r>
              <w:rPr>
                <w:rFonts w:hint="default" w:ascii="Times New Roman" w:hAnsi="Times New Roman" w:eastAsia="宋体" w:cs="Times New Roman"/>
                <w:color w:val="auto"/>
                <w:sz w:val="24"/>
                <w:szCs w:val="24"/>
                <w:lang w:val="en-US" w:eastAsia="zh-CN"/>
              </w:rPr>
              <w:t>锅炉排污水</w:t>
            </w:r>
          </w:p>
          <w:p>
            <w:pPr>
              <w:pStyle w:val="45"/>
              <w:snapToGrid w:val="0"/>
              <w:ind w:firstLine="480"/>
              <w:contextualSpacing/>
              <w:rPr>
                <w:rFonts w:hint="eastAsia" w:ascii="宋体" w:hAnsi="宋体"/>
                <w:color w:val="FF0000"/>
                <w:kern w:val="44"/>
                <w:sz w:val="24"/>
                <w:szCs w:val="24"/>
                <w:lang w:eastAsia="zh-CN"/>
              </w:rPr>
            </w:pPr>
            <w:r>
              <w:rPr>
                <w:rFonts w:hint="default" w:ascii="Times New Roman" w:hAnsi="Times New Roman" w:eastAsia="宋体" w:cs="Times New Roman"/>
                <w:color w:val="auto"/>
                <w:kern w:val="44"/>
                <w:sz w:val="24"/>
                <w:szCs w:val="24"/>
                <w:lang w:val="en-US" w:eastAsia="zh-CN"/>
              </w:rPr>
              <w:t xml:space="preserve">锅炉排污主要排除炉内水渣及泥污等沉积物，锅炉排污水量按照锅炉用水量的 </w:t>
            </w:r>
            <w:r>
              <w:rPr>
                <w:rFonts w:hint="eastAsia" w:ascii="Times New Roman" w:hAnsi="Times New Roman" w:eastAsia="宋体" w:cs="Times New Roman"/>
                <w:color w:val="auto"/>
                <w:kern w:val="44"/>
                <w:sz w:val="24"/>
                <w:szCs w:val="24"/>
                <w:lang w:val="en-US" w:eastAsia="zh-CN"/>
              </w:rPr>
              <w:t>1</w:t>
            </w:r>
            <w:r>
              <w:rPr>
                <w:rFonts w:hint="default" w:ascii="Times New Roman" w:hAnsi="Times New Roman" w:eastAsia="宋体" w:cs="Times New Roman"/>
                <w:color w:val="auto"/>
                <w:kern w:val="44"/>
                <w:sz w:val="24"/>
                <w:szCs w:val="24"/>
                <w:lang w:val="en-US" w:eastAsia="zh-CN"/>
              </w:rPr>
              <w:t>%</w:t>
            </w:r>
            <w:r>
              <w:rPr>
                <w:rFonts w:hint="eastAsia" w:ascii="Times New Roman" w:hAnsi="Times New Roman" w:eastAsia="宋体" w:cs="Times New Roman"/>
                <w:color w:val="auto"/>
                <w:kern w:val="44"/>
                <w:sz w:val="24"/>
                <w:szCs w:val="24"/>
                <w:lang w:val="en-US" w:eastAsia="zh-CN"/>
              </w:rPr>
              <w:t>计</w:t>
            </w:r>
            <w:r>
              <w:rPr>
                <w:rFonts w:hint="default" w:ascii="Times New Roman" w:hAnsi="Times New Roman" w:eastAsia="宋体" w:cs="Times New Roman"/>
                <w:color w:val="auto"/>
                <w:kern w:val="44"/>
                <w:sz w:val="24"/>
                <w:szCs w:val="24"/>
                <w:lang w:val="en-US" w:eastAsia="zh-CN"/>
              </w:rPr>
              <w:t>。锅炉排水量为</w:t>
            </w:r>
            <w:r>
              <w:rPr>
                <w:rFonts w:hint="eastAsia" w:ascii="Times New Roman" w:hAnsi="Times New Roman" w:eastAsia="宋体" w:cs="Times New Roman"/>
                <w:color w:val="auto"/>
                <w:kern w:val="44"/>
                <w:sz w:val="24"/>
                <w:szCs w:val="24"/>
                <w:lang w:val="en-US" w:eastAsia="zh-CN"/>
              </w:rPr>
              <w:t>4.08</w:t>
            </w:r>
            <w:r>
              <w:rPr>
                <w:rFonts w:hint="default" w:ascii="Times New Roman" w:hAnsi="Times New Roman" w:eastAsia="宋体" w:cs="Times New Roman"/>
                <w:color w:val="auto"/>
                <w:kern w:val="2"/>
                <w:sz w:val="24"/>
                <w:szCs w:val="24"/>
                <w:highlight w:val="none"/>
                <w:lang w:val="en-US" w:eastAsia="zh-CN" w:bidi="ar-SA"/>
              </w:rPr>
              <w:t>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/d(</w:t>
            </w:r>
            <w:r>
              <w:rPr>
                <w:rFonts w:hint="eastAsia" w:ascii="Times New Roman" w:hAnsi="Times New Roman" w:eastAsia="宋体" w:cs="Times New Roman"/>
                <w:color w:val="auto"/>
                <w:kern w:val="2"/>
                <w:sz w:val="24"/>
                <w:szCs w:val="24"/>
                <w:highlight w:val="none"/>
                <w:lang w:val="en-US" w:eastAsia="zh-CN" w:bidi="ar-SA"/>
              </w:rPr>
              <w:t>408</w:t>
            </w:r>
            <w:r>
              <w:rPr>
                <w:rFonts w:hint="default" w:ascii="Times New Roman" w:hAnsi="Times New Roman" w:eastAsia="宋体" w:cs="Times New Roman"/>
                <w:color w:val="auto"/>
                <w:kern w:val="2"/>
                <w:sz w:val="24"/>
                <w:szCs w:val="24"/>
                <w:highlight w:val="none"/>
                <w:lang w:val="zh-CN" w:eastAsia="zh-CN" w:bidi="ar-SA"/>
              </w:rPr>
              <w:t>m</w:t>
            </w:r>
            <w:r>
              <w:rPr>
                <w:rFonts w:hint="default" w:ascii="Times New Roman" w:hAnsi="Times New Roman" w:eastAsia="宋体" w:cs="Times New Roman"/>
                <w:color w:val="auto"/>
                <w:kern w:val="2"/>
                <w:sz w:val="24"/>
                <w:szCs w:val="24"/>
                <w:highlight w:val="none"/>
                <w:vertAlign w:val="superscript"/>
                <w:lang w:val="zh-CN" w:eastAsia="zh-CN" w:bidi="ar-SA"/>
              </w:rPr>
              <w:t>3</w:t>
            </w:r>
            <w:r>
              <w:rPr>
                <w:rFonts w:hint="default" w:ascii="Times New Roman" w:hAnsi="Times New Roman" w:eastAsia="宋体" w:cs="Times New Roman"/>
                <w:color w:val="auto"/>
                <w:kern w:val="2"/>
                <w:sz w:val="24"/>
                <w:szCs w:val="24"/>
                <w:highlight w:val="none"/>
                <w:lang w:val="en-US" w:eastAsia="zh-CN" w:bidi="ar-SA"/>
              </w:rPr>
              <w:t>/a)</w:t>
            </w:r>
            <w:r>
              <w:rPr>
                <w:rFonts w:hint="eastAsia" w:ascii="Times New Roman" w:hAnsi="Times New Roman" w:eastAsia="宋体" w:cs="Times New Roman"/>
                <w:color w:val="auto"/>
                <w:kern w:val="2"/>
                <w:sz w:val="24"/>
                <w:szCs w:val="24"/>
                <w:highlight w:val="none"/>
                <w:lang w:val="en-US" w:eastAsia="zh-CN" w:bidi="ar-SA"/>
              </w:rPr>
              <w:t>，其中扩容器闪蒸20%，</w:t>
            </w:r>
            <w:r>
              <w:rPr>
                <w:rFonts w:hint="default" w:ascii="Times New Roman" w:hAnsi="Times New Roman" w:eastAsia="宋体" w:cs="Times New Roman"/>
                <w:color w:val="auto"/>
                <w:kern w:val="44"/>
                <w:sz w:val="24"/>
                <w:szCs w:val="24"/>
                <w:lang w:val="en-US" w:eastAsia="zh-CN"/>
              </w:rPr>
              <w:t>因此，本项目锅炉排水量为</w:t>
            </w:r>
            <w:r>
              <w:rPr>
                <w:rFonts w:hint="eastAsia" w:ascii="Times New Roman" w:hAnsi="Times New Roman" w:eastAsia="宋体" w:cs="Times New Roman"/>
                <w:color w:val="auto"/>
                <w:kern w:val="44"/>
                <w:sz w:val="24"/>
                <w:szCs w:val="24"/>
                <w:lang w:val="en-US" w:eastAsia="zh-CN"/>
              </w:rPr>
              <w:t>3.264</w:t>
            </w:r>
            <w:r>
              <w:rPr>
                <w:rFonts w:hint="default" w:ascii="Times New Roman" w:hAnsi="Times New Roman" w:eastAsia="宋体" w:cs="Times New Roman"/>
                <w:color w:val="auto"/>
                <w:kern w:val="2"/>
                <w:sz w:val="24"/>
                <w:szCs w:val="24"/>
                <w:highlight w:val="none"/>
                <w:lang w:val="en-US" w:eastAsia="zh-CN" w:bidi="ar-SA"/>
              </w:rPr>
              <w:t>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/d(</w:t>
            </w:r>
            <w:r>
              <w:rPr>
                <w:rFonts w:hint="eastAsia" w:ascii="Times New Roman" w:hAnsi="Times New Roman" w:eastAsia="宋体" w:cs="Times New Roman"/>
                <w:color w:val="auto"/>
                <w:kern w:val="2"/>
                <w:sz w:val="24"/>
                <w:szCs w:val="24"/>
                <w:highlight w:val="none"/>
                <w:lang w:val="en-US" w:eastAsia="zh-CN" w:bidi="ar-SA"/>
              </w:rPr>
              <w:t>326.4</w:t>
            </w:r>
            <w:r>
              <w:rPr>
                <w:rFonts w:hint="default" w:ascii="Times New Roman" w:hAnsi="Times New Roman" w:eastAsia="宋体" w:cs="Times New Roman"/>
                <w:color w:val="auto"/>
                <w:kern w:val="2"/>
                <w:sz w:val="24"/>
                <w:szCs w:val="24"/>
                <w:highlight w:val="none"/>
                <w:lang w:val="zh-CN" w:eastAsia="zh-CN" w:bidi="ar-SA"/>
              </w:rPr>
              <w:t>m</w:t>
            </w:r>
            <w:r>
              <w:rPr>
                <w:rFonts w:hint="default" w:ascii="Times New Roman" w:hAnsi="Times New Roman" w:eastAsia="宋体" w:cs="Times New Roman"/>
                <w:color w:val="auto"/>
                <w:kern w:val="2"/>
                <w:sz w:val="24"/>
                <w:szCs w:val="24"/>
                <w:highlight w:val="none"/>
                <w:vertAlign w:val="superscript"/>
                <w:lang w:val="zh-CN" w:eastAsia="zh-CN" w:bidi="ar-SA"/>
              </w:rPr>
              <w:t>3</w:t>
            </w:r>
            <w:r>
              <w:rPr>
                <w:rFonts w:hint="default" w:ascii="Times New Roman" w:hAnsi="Times New Roman" w:eastAsia="宋体" w:cs="Times New Roman"/>
                <w:color w:val="auto"/>
                <w:kern w:val="2"/>
                <w:sz w:val="24"/>
                <w:szCs w:val="24"/>
                <w:highlight w:val="none"/>
                <w:lang w:val="en-US" w:eastAsia="zh-CN" w:bidi="ar-SA"/>
              </w:rPr>
              <w:t>/a)</w:t>
            </w:r>
            <w:r>
              <w:rPr>
                <w:rFonts w:hint="eastAsia" w:ascii="宋体" w:hAnsi="宋体"/>
                <w:color w:val="auto"/>
                <w:kern w:val="44"/>
                <w:sz w:val="24"/>
                <w:szCs w:val="24"/>
                <w:lang w:eastAsia="zh-CN"/>
              </w:rPr>
              <w:t>。</w:t>
            </w:r>
          </w:p>
          <w:p>
            <w:pPr>
              <w:pStyle w:val="45"/>
              <w:snapToGrid w:val="0"/>
              <w:ind w:firstLine="480"/>
              <w:contextualSpacing/>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②</w:t>
            </w:r>
            <w:r>
              <w:rPr>
                <w:rFonts w:hint="eastAsia" w:ascii="Times New Roman" w:hAnsi="Times New Roman" w:eastAsia="宋体" w:cs="Times New Roman"/>
                <w:color w:val="auto"/>
                <w:kern w:val="2"/>
                <w:sz w:val="24"/>
                <w:szCs w:val="24"/>
                <w:highlight w:val="none"/>
                <w:lang w:val="en-US" w:eastAsia="zh-CN" w:bidi="ar-SA"/>
              </w:rPr>
              <w:t>单级反渗透废水</w:t>
            </w:r>
          </w:p>
          <w:p>
            <w:pPr>
              <w:pStyle w:val="45"/>
              <w:snapToGrid w:val="0"/>
              <w:ind w:firstLine="480"/>
              <w:contextualSpacing/>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单级反渗透废水</w:t>
            </w:r>
            <w:r>
              <w:rPr>
                <w:rFonts w:hint="eastAsia" w:ascii="Times New Roman" w:hAnsi="Times New Roman" w:eastAsia="宋体" w:cs="Times New Roman"/>
                <w:color w:val="auto"/>
                <w:kern w:val="2"/>
                <w:sz w:val="24"/>
                <w:szCs w:val="24"/>
                <w:highlight w:val="none"/>
                <w:lang w:val="en-US" w:eastAsia="zh-CN" w:bidi="ar-SA"/>
              </w:rPr>
              <w:t>主要为浓水，</w:t>
            </w:r>
            <w:r>
              <w:rPr>
                <w:rFonts w:hint="eastAsia" w:ascii="Times New Roman" w:hAnsi="Times New Roman" w:cs="Times New Roman"/>
                <w:color w:val="auto"/>
                <w:sz w:val="24"/>
                <w:lang w:val="en-US" w:eastAsia="zh-CN"/>
              </w:rPr>
              <w:t>产生量为72m</w:t>
            </w:r>
            <w:r>
              <w:rPr>
                <w:rFonts w:hint="eastAsia" w:ascii="Times New Roman" w:hAnsi="Times New Roman" w:cs="Times New Roman"/>
                <w:color w:val="auto"/>
                <w:sz w:val="24"/>
                <w:vertAlign w:val="superscript"/>
                <w:lang w:val="en-US" w:eastAsia="zh-CN"/>
              </w:rPr>
              <w:t>3</w:t>
            </w:r>
            <w:r>
              <w:rPr>
                <w:rFonts w:hint="eastAsia" w:ascii="Times New Roman" w:hAnsi="Times New Roman" w:cs="Times New Roman"/>
                <w:color w:val="auto"/>
                <w:sz w:val="24"/>
                <w:lang w:val="en-US" w:eastAsia="zh-CN"/>
              </w:rPr>
              <w:t>/d（7200m</w:t>
            </w:r>
            <w:r>
              <w:rPr>
                <w:rFonts w:hint="eastAsia" w:ascii="Times New Roman" w:hAnsi="Times New Roman" w:cs="Times New Roman"/>
                <w:color w:val="auto"/>
                <w:sz w:val="24"/>
                <w:vertAlign w:val="superscript"/>
                <w:lang w:val="en-US" w:eastAsia="zh-CN"/>
              </w:rPr>
              <w:t>3</w:t>
            </w:r>
            <w:r>
              <w:rPr>
                <w:rFonts w:hint="eastAsia" w:ascii="Times New Roman" w:hAnsi="Times New Roman" w:cs="Times New Roman"/>
                <w:color w:val="auto"/>
                <w:sz w:val="24"/>
                <w:lang w:val="en-US" w:eastAsia="zh-CN"/>
              </w:rPr>
              <w:t>/a），</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作为脱硫系统用水</w:t>
            </w:r>
            <w:r>
              <w:rPr>
                <w:rFonts w:hint="eastAsia" w:ascii="Times New Roman" w:hAnsi="Times New Roman" w:eastAsia="宋体" w:cs="Times New Roman"/>
                <w:color w:val="auto"/>
                <w:kern w:val="2"/>
                <w:sz w:val="24"/>
                <w:szCs w:val="24"/>
                <w:highlight w:val="none"/>
                <w:lang w:val="en-US" w:eastAsia="zh-CN" w:bidi="ar-SA"/>
              </w:rPr>
              <w:t>。</w:t>
            </w:r>
          </w:p>
          <w:p>
            <w:pPr>
              <w:pStyle w:val="45"/>
              <w:snapToGrid w:val="0"/>
              <w:ind w:firstLine="480"/>
              <w:contextualSpacing/>
              <w:rPr>
                <w:rFonts w:hint="eastAsia" w:ascii="宋体" w:hAnsi="宋体" w:eastAsia="宋体"/>
                <w:color w:val="auto"/>
                <w:kern w:val="44"/>
                <w:sz w:val="24"/>
                <w:szCs w:val="24"/>
                <w:lang w:eastAsia="zh-CN"/>
              </w:rPr>
            </w:pPr>
            <w:r>
              <w:rPr>
                <w:rFonts w:ascii="Times New Roman" w:hAnsi="Times New Roman" w:cs="Times New Roman"/>
                <w:color w:val="auto"/>
                <w:sz w:val="24"/>
                <w:szCs w:val="24"/>
              </w:rPr>
              <w:t>综上所述，项目</w:t>
            </w:r>
            <w:r>
              <w:rPr>
                <w:rFonts w:hint="eastAsia" w:ascii="Times New Roman" w:hAnsi="Times New Roman" w:cs="Times New Roman"/>
                <w:color w:val="auto"/>
                <w:sz w:val="24"/>
                <w:lang w:val="en-US" w:eastAsia="zh-CN"/>
              </w:rPr>
              <w:t>废水量为</w:t>
            </w:r>
            <w:r>
              <w:rPr>
                <w:rFonts w:hint="eastAsia" w:ascii="Times New Roman" w:hAnsi="Times New Roman" w:eastAsia="宋体" w:cs="Times New Roman"/>
                <w:color w:val="auto"/>
                <w:kern w:val="44"/>
                <w:sz w:val="24"/>
                <w:szCs w:val="24"/>
                <w:lang w:val="en-US" w:eastAsia="zh-CN"/>
              </w:rPr>
              <w:t>3.264</w:t>
            </w:r>
            <w:r>
              <w:rPr>
                <w:rFonts w:hint="default" w:ascii="Times New Roman" w:hAnsi="Times New Roman" w:eastAsia="宋体" w:cs="Times New Roman"/>
                <w:color w:val="auto"/>
                <w:kern w:val="2"/>
                <w:sz w:val="24"/>
                <w:szCs w:val="24"/>
                <w:highlight w:val="none"/>
                <w:lang w:val="en-US" w:eastAsia="zh-CN" w:bidi="ar-SA"/>
              </w:rPr>
              <w:t>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/d(</w:t>
            </w:r>
            <w:r>
              <w:rPr>
                <w:rFonts w:hint="eastAsia" w:ascii="Times New Roman" w:hAnsi="Times New Roman" w:eastAsia="宋体" w:cs="Times New Roman"/>
                <w:color w:val="auto"/>
                <w:kern w:val="2"/>
                <w:sz w:val="24"/>
                <w:szCs w:val="24"/>
                <w:highlight w:val="none"/>
                <w:lang w:val="en-US" w:eastAsia="zh-CN" w:bidi="ar-SA"/>
              </w:rPr>
              <w:t>326.4</w:t>
            </w:r>
            <w:r>
              <w:rPr>
                <w:rFonts w:hint="default" w:ascii="Times New Roman" w:hAnsi="Times New Roman" w:eastAsia="宋体" w:cs="Times New Roman"/>
                <w:color w:val="auto"/>
                <w:kern w:val="2"/>
                <w:sz w:val="24"/>
                <w:szCs w:val="24"/>
                <w:highlight w:val="none"/>
                <w:lang w:val="zh-CN" w:eastAsia="zh-CN" w:bidi="ar-SA"/>
              </w:rPr>
              <w:t>m</w:t>
            </w:r>
            <w:r>
              <w:rPr>
                <w:rFonts w:hint="default" w:ascii="Times New Roman" w:hAnsi="Times New Roman" w:eastAsia="宋体" w:cs="Times New Roman"/>
                <w:color w:val="auto"/>
                <w:kern w:val="2"/>
                <w:sz w:val="24"/>
                <w:szCs w:val="24"/>
                <w:highlight w:val="none"/>
                <w:vertAlign w:val="superscript"/>
                <w:lang w:val="zh-CN" w:eastAsia="zh-CN" w:bidi="ar-SA"/>
              </w:rPr>
              <w:t>3</w:t>
            </w:r>
            <w:r>
              <w:rPr>
                <w:rFonts w:hint="default" w:ascii="Times New Roman" w:hAnsi="Times New Roman" w:eastAsia="宋体" w:cs="Times New Roman"/>
                <w:color w:val="auto"/>
                <w:kern w:val="2"/>
                <w:sz w:val="24"/>
                <w:szCs w:val="24"/>
                <w:highlight w:val="none"/>
                <w:lang w:val="en-US" w:eastAsia="zh-CN" w:bidi="ar-SA"/>
              </w:rPr>
              <w:t>/a)</w:t>
            </w:r>
            <w:r>
              <w:rPr>
                <w:rFonts w:hint="eastAsia" w:ascii="Times New Roman" w:hAnsi="Times New Roman" w:eastAsia="宋体" w:cs="Times New Roman"/>
                <w:color w:val="auto"/>
                <w:sz w:val="24"/>
                <w:szCs w:val="24"/>
                <w:lang w:eastAsia="zh-CN"/>
              </w:rPr>
              <w:t>。</w:t>
            </w:r>
          </w:p>
          <w:p>
            <w:pPr>
              <w:adjustRightInd w:val="0"/>
              <w:snapToGrid w:val="0"/>
              <w:spacing w:line="360" w:lineRule="auto"/>
              <w:ind w:firstLine="480" w:firstLineChars="200"/>
              <w:rPr>
                <w:rFonts w:ascii="Times New Roman" w:hAnsi="Times New Roman" w:cs="Times New Roman"/>
                <w:color w:val="auto"/>
                <w:sz w:val="24"/>
              </w:rPr>
            </w:pPr>
            <w:r>
              <w:rPr>
                <w:rFonts w:hint="eastAsia" w:ascii="Times New Roman" w:hAnsi="Times New Roman" w:cs="Times New Roman"/>
                <w:color w:val="auto"/>
                <w:sz w:val="24"/>
              </w:rPr>
              <w:t>（3）水平衡</w:t>
            </w:r>
          </w:p>
          <w:p>
            <w:pPr>
              <w:adjustRightInd w:val="0"/>
              <w:snapToGrid w:val="0"/>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项目水平衡详见下</w:t>
            </w:r>
            <w:r>
              <w:rPr>
                <w:rFonts w:hint="eastAsia" w:ascii="Times New Roman" w:hAnsi="Times New Roman" w:cs="Times New Roman"/>
                <w:color w:val="auto"/>
                <w:sz w:val="24"/>
                <w:lang w:eastAsia="zh-CN"/>
              </w:rPr>
              <w:t>图</w:t>
            </w:r>
            <w:r>
              <w:rPr>
                <w:rFonts w:ascii="Times New Roman" w:hAnsi="Times New Roman" w:cs="Times New Roman"/>
                <w:color w:val="auto"/>
                <w:sz w:val="24"/>
              </w:rPr>
              <w:t>：</w:t>
            </w:r>
          </w:p>
          <w:p>
            <w:pPr>
              <w:pStyle w:val="7"/>
              <w:adjustRightInd w:val="0"/>
              <w:snapToGrid w:val="0"/>
              <w:spacing w:before="156" w:beforeLines="50" w:after="0" w:line="360" w:lineRule="auto"/>
              <w:jc w:val="center"/>
              <w:rPr>
                <w:color w:val="FF0000"/>
              </w:rPr>
            </w:pPr>
            <w:r>
              <w:rPr>
                <w:color w:val="FF0000"/>
              </w:rPr>
              <w:object>
                <v:shape id="_x0000_i1025" o:spt="75" type="#_x0000_t75" style="height:224.05pt;width:433.55pt;" o:ole="t" filled="f" o:preferrelative="t" stroked="f" coordsize="21600,21600">
                  <v:path/>
                  <v:fill on="f" focussize="0,0"/>
                  <v:stroke on="f"/>
                  <v:imagedata r:id="rId12" o:title=""/>
                  <o:lock v:ext="edit" aspectratio="f"/>
                  <w10:wrap type="none"/>
                  <w10:anchorlock/>
                </v:shape>
                <o:OLEObject Type="Embed" ProgID="Visio.Drawing.11" ShapeID="_x0000_i1025" DrawAspect="Content" ObjectID="_1468075725" r:id="rId11">
                  <o:LockedField>false</o:LockedField>
                </o:OLEObject>
              </w:object>
            </w:r>
          </w:p>
          <w:p>
            <w:pPr>
              <w:keepNext w:val="0"/>
              <w:keepLines w:val="0"/>
              <w:widowControl/>
              <w:suppressLineNumbers w:val="0"/>
              <w:jc w:val="center"/>
              <w:rPr>
                <w:rFonts w:ascii="Times New Roman" w:hAnsi="Times New Roman" w:eastAsia="宋体" w:cs="Times New Roman"/>
                <w:b/>
                <w:bCs/>
                <w:color w:val="auto"/>
              </w:rPr>
            </w:pPr>
            <w:r>
              <w:rPr>
                <w:rFonts w:ascii="Times New Roman" w:hAnsi="Times New Roman" w:eastAsia="宋体" w:cs="Times New Roman"/>
                <w:b/>
                <w:bCs/>
                <w:color w:val="auto"/>
              </w:rPr>
              <w:t>图2-1  项目用水平衡图（单位：t/d）</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7</w:t>
            </w:r>
            <w:r>
              <w:rPr>
                <w:rFonts w:hint="default" w:ascii="Times New Roman" w:hAnsi="Times New Roman" w:eastAsia="宋体" w:cs="Times New Roman"/>
                <w:b/>
                <w:color w:val="auto"/>
                <w:sz w:val="24"/>
                <w:szCs w:val="24"/>
                <w:lang w:val="en-US" w:eastAsia="zh-CN"/>
              </w:rPr>
              <w:t>、供电</w:t>
            </w:r>
          </w:p>
          <w:p>
            <w:pPr>
              <w:adjustRightInd w:val="0"/>
              <w:snapToGrid w:val="0"/>
              <w:spacing w:line="360" w:lineRule="auto"/>
              <w:ind w:firstLine="480" w:firstLineChars="200"/>
              <w:rPr>
                <w:rFonts w:hint="default" w:ascii="Times New Roman" w:hAnsi="Times New Roman" w:cs="Times New Roman"/>
                <w:bCs/>
                <w:sz w:val="24"/>
                <w:lang w:eastAsia="zh-CN"/>
              </w:rPr>
            </w:pPr>
            <w:r>
              <w:rPr>
                <w:rFonts w:hint="eastAsia" w:ascii="Times New Roman" w:hAnsi="Times New Roman" w:cs="Times New Roman"/>
                <w:bCs/>
                <w:sz w:val="24"/>
                <w:lang w:val="en-US" w:eastAsia="zh-CN"/>
              </w:rPr>
              <w:t>由当地乡镇供电网供电</w:t>
            </w:r>
            <w:r>
              <w:rPr>
                <w:rFonts w:hint="eastAsia" w:ascii="Times New Roman" w:hAnsi="Times New Roman" w:cs="Times New Roman"/>
                <w:bCs/>
                <w:sz w:val="24"/>
                <w:lang w:eastAsia="zh-CN"/>
              </w:rPr>
              <w:t>，</w:t>
            </w:r>
            <w:r>
              <w:rPr>
                <w:rFonts w:hint="default" w:ascii="Times New Roman" w:hAnsi="Times New Roman" w:cs="Times New Roman"/>
                <w:bCs/>
                <w:sz w:val="24"/>
                <w:lang w:eastAsia="zh-CN"/>
              </w:rPr>
              <w:t>项目年用电量为284.8万kW·h/a。</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8</w:t>
            </w:r>
            <w:r>
              <w:rPr>
                <w:rFonts w:hint="default" w:ascii="Times New Roman" w:hAnsi="Times New Roman" w:eastAsia="宋体" w:cs="Times New Roman"/>
                <w:b/>
                <w:color w:val="auto"/>
                <w:sz w:val="24"/>
                <w:szCs w:val="24"/>
                <w:lang w:val="en-US" w:eastAsia="zh-CN"/>
              </w:rPr>
              <w:t>、供热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pPr>
            <w:r>
              <w:rPr>
                <w:rFonts w:hint="eastAsia" w:ascii="Times New Roman" w:hAnsi="Times New Roman" w:eastAsia="宋体" w:cs="Times New Roman"/>
                <w:bCs/>
                <w:sz w:val="24"/>
                <w:szCs w:val="24"/>
                <w:lang w:val="en-US" w:eastAsia="zh-CN"/>
              </w:rPr>
              <w:t>由厂区内一台40t/h循环流化床燃煤锅炉进行供热</w:t>
            </w:r>
            <w:r>
              <w:rPr>
                <w:rFonts w:hint="eastAsia" w:ascii="Times New Roman" w:hAnsi="Times New Roman" w:eastAsia="宋体" w:cs="Times New Roman"/>
                <w:bCs/>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2" w:hRule="atLeast"/>
          <w:jc w:val="center"/>
        </w:trPr>
        <w:tc>
          <w:tcPr>
            <w:tcW w:w="456" w:type="dxa"/>
            <w:tcBorders>
              <w:top w:val="single" w:color="auto" w:sz="4" w:space="0"/>
              <w:left w:val="single" w:color="auto" w:sz="8" w:space="0"/>
              <w:bottom w:val="single" w:color="auto" w:sz="4" w:space="0"/>
              <w:right w:val="single" w:color="auto" w:sz="4" w:space="0"/>
            </w:tcBorders>
            <w:shd w:val="clear" w:color="auto" w:fill="auto"/>
            <w:vAlign w:val="center"/>
          </w:tcPr>
          <w:p>
            <w:pPr>
              <w:pStyle w:val="19"/>
              <w:adjustRightInd w:val="0"/>
              <w:snapToGrid w:val="0"/>
              <w:spacing w:beforeAutospacing="0" w:afterAutospacing="0"/>
              <w:jc w:val="center"/>
              <w:rPr>
                <w:rFonts w:hint="default" w:ascii="Times New Roman" w:hAnsi="Times New Roman"/>
                <w:sz w:val="21"/>
                <w:szCs w:val="21"/>
              </w:rPr>
            </w:pPr>
            <w:r>
              <w:rPr>
                <w:rFonts w:hint="default" w:ascii="Times New Roman" w:hAnsi="Times New Roman"/>
                <w:sz w:val="21"/>
                <w:szCs w:val="21"/>
              </w:rPr>
              <w:t>工艺流程和产排污环节</w:t>
            </w:r>
          </w:p>
        </w:tc>
        <w:tc>
          <w:tcPr>
            <w:tcW w:w="8894" w:type="dxa"/>
            <w:tcBorders>
              <w:top w:val="single" w:color="auto" w:sz="4" w:space="0"/>
              <w:left w:val="single" w:color="auto" w:sz="4" w:space="0"/>
              <w:bottom w:val="single" w:color="auto" w:sz="4" w:space="0"/>
              <w:right w:val="single" w:color="auto" w:sz="8" w:space="0"/>
            </w:tcBorders>
            <w:shd w:val="clear" w:color="auto" w:fill="auto"/>
          </w:tcPr>
          <w:p>
            <w:pPr>
              <w:pStyle w:val="2"/>
              <w:rPr>
                <w:rFonts w:ascii="Times New Roman" w:hAnsi="Times New Roman" w:cs="Times New Roman"/>
                <w:color w:val="000000"/>
                <w:sz w:val="24"/>
              </w:rPr>
            </w:pPr>
            <w:r>
              <w:rPr>
                <w:rFonts w:ascii="Times New Roman" w:hAnsi="Times New Roman" w:cs="Times New Roman"/>
                <w:color w:val="000000"/>
                <w:szCs w:val="28"/>
              </w:rPr>
              <w:t>工艺流程简述</w:t>
            </w:r>
            <w:r>
              <w:rPr>
                <w:rFonts w:ascii="Times New Roman" w:hAnsi="Times New Roman" w:cs="Times New Roman"/>
                <w:color w:val="000000"/>
                <w:sz w:val="24"/>
              </w:rPr>
              <w:t>：</w:t>
            </w:r>
          </w:p>
          <w:p>
            <w:pPr>
              <w:pStyle w:val="7"/>
              <w:keepNext w:val="0"/>
              <w:keepLines w:val="0"/>
              <w:pageBreakBefore w:val="0"/>
              <w:widowControl w:val="0"/>
              <w:numPr>
                <w:ilvl w:val="0"/>
                <w:numId w:val="6"/>
              </w:numPr>
              <w:kinsoku/>
              <w:wordWrap/>
              <w:overflowPunct/>
              <w:topLinePunct w:val="0"/>
              <w:autoSpaceDE/>
              <w:autoSpaceDN/>
              <w:bidi w:val="0"/>
              <w:adjustRightInd w:val="0"/>
              <w:snapToGrid w:val="0"/>
              <w:spacing w:after="0" w:line="360" w:lineRule="auto"/>
              <w:ind w:firstLine="482" w:firstLineChars="200"/>
              <w:textAlignment w:val="auto"/>
              <w:rPr>
                <w:rFonts w:hint="eastAsia" w:ascii="Times New Roman" w:hAnsi="Times New Roman" w:cs="Times New Roman"/>
                <w:b/>
                <w:bCs/>
                <w:sz w:val="24"/>
                <w:lang w:val="en-US" w:eastAsia="zh-CN"/>
              </w:rPr>
            </w:pPr>
            <w:r>
              <w:rPr>
                <w:rFonts w:hint="eastAsia" w:ascii="Times New Roman" w:hAnsi="Times New Roman" w:cs="Times New Roman"/>
                <w:b/>
                <w:bCs/>
                <w:sz w:val="24"/>
                <w:lang w:val="en-US" w:eastAsia="zh-CN"/>
              </w:rPr>
              <w:t>施工期</w:t>
            </w:r>
          </w:p>
          <w:p>
            <w:pPr>
              <w:adjustRightInd w:val="0"/>
              <w:snapToGrid w:val="0"/>
              <w:spacing w:line="360" w:lineRule="auto"/>
              <w:ind w:firstLine="480" w:firstLineChars="200"/>
              <w:rPr>
                <w:rFonts w:hint="eastAsia" w:ascii="Times New Roman" w:hAnsi="Times New Roman" w:cs="Times New Roman"/>
                <w:bCs/>
                <w:color w:val="auto"/>
                <w:sz w:val="24"/>
              </w:rPr>
            </w:pPr>
            <w:r>
              <w:rPr>
                <w:rFonts w:hint="eastAsia" w:ascii="Times New Roman" w:hAnsi="Times New Roman" w:cs="Times New Roman"/>
                <w:bCs/>
                <w:color w:val="auto"/>
                <w:sz w:val="24"/>
                <w:szCs w:val="24"/>
                <w:lang w:val="en-US" w:eastAsia="zh-CN"/>
              </w:rPr>
              <w:t>项目</w:t>
            </w:r>
            <w:r>
              <w:rPr>
                <w:color w:val="auto"/>
                <w:sz w:val="24"/>
              </w:rPr>
              <w:t>施工期工程</w:t>
            </w:r>
            <w:r>
              <w:rPr>
                <w:rFonts w:hint="eastAsia"/>
                <w:color w:val="auto"/>
                <w:sz w:val="24"/>
                <w:lang w:val="en-US" w:eastAsia="zh-CN"/>
              </w:rPr>
              <w:t>为工程建设以及场地</w:t>
            </w:r>
            <w:r>
              <w:rPr>
                <w:color w:val="auto"/>
                <w:sz w:val="24"/>
              </w:rPr>
              <w:t>清理等，产污环节主要为</w:t>
            </w:r>
            <w:r>
              <w:rPr>
                <w:rFonts w:hint="eastAsia"/>
                <w:color w:val="auto"/>
                <w:sz w:val="24"/>
                <w:lang w:eastAsia="zh-CN"/>
              </w:rPr>
              <w:t>锅炉房、煤棚、</w:t>
            </w:r>
            <w:r>
              <w:rPr>
                <w:rFonts w:hint="eastAsia"/>
                <w:color w:val="auto"/>
                <w:sz w:val="24"/>
                <w:lang w:val="en-US" w:eastAsia="zh-CN"/>
              </w:rPr>
              <w:t>渣库</w:t>
            </w:r>
            <w:r>
              <w:rPr>
                <w:rFonts w:hint="eastAsia"/>
                <w:color w:val="auto"/>
                <w:sz w:val="24"/>
                <w:lang w:eastAsia="zh-CN"/>
              </w:rPr>
              <w:t>改造；</w:t>
            </w:r>
            <w:r>
              <w:rPr>
                <w:rFonts w:hint="eastAsia"/>
                <w:color w:val="auto"/>
                <w:sz w:val="24"/>
                <w:lang w:val="en-US" w:eastAsia="zh-CN"/>
              </w:rPr>
              <w:t>新建破碎楼、灰库以及锅炉安装</w:t>
            </w:r>
            <w:r>
              <w:rPr>
                <w:color w:val="auto"/>
                <w:sz w:val="24"/>
              </w:rPr>
              <w:t>等过程中产生的施工</w:t>
            </w:r>
            <w:r>
              <w:rPr>
                <w:rFonts w:hint="eastAsia"/>
                <w:color w:val="auto"/>
                <w:sz w:val="24"/>
              </w:rPr>
              <w:t>扬尘</w:t>
            </w:r>
            <w:r>
              <w:rPr>
                <w:color w:val="auto"/>
                <w:sz w:val="24"/>
              </w:rPr>
              <w:t>、施工设备噪声、</w:t>
            </w:r>
            <w:r>
              <w:rPr>
                <w:rFonts w:hint="eastAsia"/>
                <w:color w:val="auto"/>
                <w:sz w:val="24"/>
              </w:rPr>
              <w:t>固体废物</w:t>
            </w:r>
            <w:r>
              <w:rPr>
                <w:color w:val="auto"/>
                <w:sz w:val="24"/>
              </w:rPr>
              <w:t>等污染物</w:t>
            </w:r>
            <w:r>
              <w:rPr>
                <w:rFonts w:hint="eastAsia" w:ascii="Times New Roman" w:hAnsi="Times New Roman" w:cs="Times New Roman"/>
                <w:bCs/>
                <w:color w:val="auto"/>
                <w:sz w:val="24"/>
              </w:rPr>
              <w:t>。</w:t>
            </w:r>
          </w:p>
          <w:p>
            <w:pPr>
              <w:pStyle w:val="33"/>
              <w:keepNext w:val="0"/>
              <w:keepLines w:val="0"/>
              <w:pageBreakBefore w:val="0"/>
              <w:widowControl w:val="0"/>
              <w:numPr>
                <w:ilvl w:val="4"/>
                <w:numId w:val="0"/>
              </w:numPr>
              <w:kinsoku/>
              <w:wordWrap/>
              <w:overflowPunct/>
              <w:topLinePunct w:val="0"/>
              <w:autoSpaceDE w:val="0"/>
              <w:autoSpaceDN w:val="0"/>
              <w:bidi w:val="0"/>
              <w:adjustRightInd w:val="0"/>
              <w:snapToGrid/>
              <w:spacing w:before="0" w:beforeLines="0"/>
              <w:ind w:leftChars="0"/>
              <w:jc w:val="both"/>
              <w:textAlignment w:val="auto"/>
              <w:rPr>
                <w:b/>
                <w:color w:val="auto"/>
                <w:sz w:val="24"/>
              </w:rPr>
            </w:pPr>
            <w:r>
              <w:rPr>
                <w:b/>
                <w:color w:val="auto"/>
                <w:sz w:val="24"/>
              </w:rPr>
              <mc:AlternateContent>
                <mc:Choice Requires="wpg">
                  <w:drawing>
                    <wp:inline distT="0" distB="0" distL="114300" distR="114300">
                      <wp:extent cx="5535930" cy="1810385"/>
                      <wp:effectExtent l="7620" t="6350" r="19050" b="12065"/>
                      <wp:docPr id="19" name="组合 19"/>
                      <wp:cNvGraphicFramePr/>
                      <a:graphic xmlns:a="http://schemas.openxmlformats.org/drawingml/2006/main">
                        <a:graphicData uri="http://schemas.microsoft.com/office/word/2010/wordprocessingGroup">
                          <wpg:wgp>
                            <wpg:cNvGrpSpPr/>
                            <wpg:grpSpPr>
                              <a:xfrm>
                                <a:off x="0" y="0"/>
                                <a:ext cx="5536011" cy="1810385"/>
                                <a:chOff x="-5980" y="17728"/>
                                <a:chExt cx="92640" cy="23762"/>
                              </a:xfrm>
                            </wpg:grpSpPr>
                            <wps:wsp>
                              <wps:cNvPr id="71" name="矩形 71"/>
                              <wps:cNvSpPr/>
                              <wps:spPr>
                                <a:xfrm>
                                  <a:off x="24114" y="27568"/>
                                  <a:ext cx="12997" cy="4318"/>
                                </a:xfrm>
                                <a:prstGeom prst="rect">
                                  <a:avLst/>
                                </a:prstGeom>
                                <a:noFill/>
                                <a:ln w="15875" cap="flat" cmpd="sng">
                                  <a:solidFill>
                                    <a:srgbClr val="000000"/>
                                  </a:solidFill>
                                  <a:prstDash val="solid"/>
                                  <a:miter/>
                                  <a:headEnd type="none" w="med" len="med"/>
                                  <a:tailEnd type="none" w="med" len="med"/>
                                </a:ln>
                              </wps:spPr>
                              <wps:txbx>
                                <w:txbxContent>
                                  <w:p>
                                    <w:pPr>
                                      <w:pStyle w:val="19"/>
                                      <w:jc w:val="center"/>
                                      <w:textAlignment w:val="baseline"/>
                                      <w:rPr>
                                        <w:rFonts w:hint="eastAsia" w:eastAsia="宋体"/>
                                        <w:sz w:val="18"/>
                                        <w:szCs w:val="18"/>
                                        <w:lang w:eastAsia="zh-CN"/>
                                      </w:rPr>
                                    </w:pPr>
                                    <w:r>
                                      <w:rPr>
                                        <w:rFonts w:hint="eastAsia"/>
                                        <w:sz w:val="18"/>
                                        <w:szCs w:val="18"/>
                                        <w:lang w:eastAsia="zh-CN"/>
                                      </w:rPr>
                                      <w:t>新建车间</w:t>
                                    </w:r>
                                  </w:p>
                                  <w:p/>
                                </w:txbxContent>
                              </wps:txbx>
                              <wps:bodyPr anchor="ctr" upright="1"/>
                            </wps:wsp>
                            <wps:wsp>
                              <wps:cNvPr id="72" name="直接箭头连接符 72"/>
                              <wps:cNvCnPr>
                                <a:stCxn id="71" idx="3"/>
                              </wps:cNvCnPr>
                              <wps:spPr>
                                <a:xfrm flipV="1">
                                  <a:off x="37111" y="29723"/>
                                  <a:ext cx="3210" cy="9"/>
                                </a:xfrm>
                                <a:prstGeom prst="straightConnector1">
                                  <a:avLst/>
                                </a:prstGeom>
                                <a:ln w="15875" cap="flat" cmpd="sng">
                                  <a:solidFill>
                                    <a:srgbClr val="000000"/>
                                  </a:solidFill>
                                  <a:prstDash val="solid"/>
                                  <a:headEnd type="none" w="med" len="med"/>
                                  <a:tailEnd type="triangle" w="lg" len="lg"/>
                                </a:ln>
                              </wps:spPr>
                              <wps:bodyPr/>
                            </wps:wsp>
                            <wps:wsp>
                              <wps:cNvPr id="73" name="矩形 73"/>
                              <wps:cNvSpPr/>
                              <wps:spPr>
                                <a:xfrm>
                                  <a:off x="75249" y="27573"/>
                                  <a:ext cx="11411" cy="4314"/>
                                </a:xfrm>
                                <a:prstGeom prst="rect">
                                  <a:avLst/>
                                </a:prstGeom>
                                <a:noFill/>
                                <a:ln w="15875" cap="flat" cmpd="sng">
                                  <a:solidFill>
                                    <a:srgbClr val="000000"/>
                                  </a:solidFill>
                                  <a:prstDash val="solid"/>
                                  <a:miter/>
                                  <a:headEnd type="none" w="med" len="med"/>
                                  <a:tailEnd type="none" w="med" len="med"/>
                                </a:ln>
                              </wps:spPr>
                              <wps:txbx>
                                <w:txbxContent>
                                  <w:p>
                                    <w:pPr>
                                      <w:pStyle w:val="19"/>
                                      <w:jc w:val="center"/>
                                      <w:textAlignment w:val="baseline"/>
                                      <w:rPr>
                                        <w:rFonts w:hint="default"/>
                                        <w:sz w:val="18"/>
                                        <w:szCs w:val="18"/>
                                      </w:rPr>
                                    </w:pPr>
                                    <w:r>
                                      <w:rPr>
                                        <w:rFonts w:asciiTheme="minorHAnsi" w:eastAsiaTheme="minorEastAsia" w:cstheme="minorBidi"/>
                                        <w:color w:val="000000" w:themeColor="text1"/>
                                        <w:kern w:val="24"/>
                                        <w:sz w:val="18"/>
                                        <w:szCs w:val="18"/>
                                        <w14:textFill>
                                          <w14:solidFill>
                                            <w14:schemeClr w14:val="tx1"/>
                                          </w14:solidFill>
                                        </w14:textFill>
                                      </w:rPr>
                                      <w:t>现场清理</w:t>
                                    </w:r>
                                  </w:p>
                                </w:txbxContent>
                              </wps:txbx>
                              <wps:bodyPr anchor="ctr" upright="1"/>
                            </wps:wsp>
                            <wps:wsp>
                              <wps:cNvPr id="74" name="直接箭头连接符 74"/>
                              <wps:cNvCnPr/>
                              <wps:spPr>
                                <a:xfrm>
                                  <a:off x="18351" y="29727"/>
                                  <a:ext cx="5199" cy="0"/>
                                </a:xfrm>
                                <a:prstGeom prst="straightConnector1">
                                  <a:avLst/>
                                </a:prstGeom>
                                <a:ln w="15875" cap="flat" cmpd="sng">
                                  <a:solidFill>
                                    <a:srgbClr val="000000"/>
                                  </a:solidFill>
                                  <a:prstDash val="solid"/>
                                  <a:headEnd type="none" w="med" len="med"/>
                                  <a:tailEnd type="triangle" w="lg" len="lg"/>
                                </a:ln>
                              </wps:spPr>
                              <wps:bodyPr/>
                            </wps:wsp>
                            <wps:wsp>
                              <wps:cNvPr id="75" name="矩形 75"/>
                              <wps:cNvSpPr/>
                              <wps:spPr>
                                <a:xfrm>
                                  <a:off x="59408" y="27573"/>
                                  <a:ext cx="11263" cy="4314"/>
                                </a:xfrm>
                                <a:prstGeom prst="rect">
                                  <a:avLst/>
                                </a:prstGeom>
                                <a:noFill/>
                                <a:ln w="15875" cap="flat" cmpd="sng">
                                  <a:solidFill>
                                    <a:srgbClr val="000000"/>
                                  </a:solidFill>
                                  <a:prstDash val="solid"/>
                                  <a:miter/>
                                  <a:headEnd type="none" w="med" len="med"/>
                                  <a:tailEnd type="none" w="med" len="med"/>
                                </a:ln>
                              </wps:spPr>
                              <wps:txbx>
                                <w:txbxContent>
                                  <w:p>
                                    <w:pPr>
                                      <w:pStyle w:val="19"/>
                                      <w:jc w:val="center"/>
                                      <w:textAlignment w:val="baseline"/>
                                      <w:rPr>
                                        <w:rFonts w:hint="default"/>
                                        <w:sz w:val="18"/>
                                        <w:szCs w:val="18"/>
                                      </w:rPr>
                                    </w:pPr>
                                    <w:r>
                                      <w:rPr>
                                        <w:rFonts w:asciiTheme="minorHAnsi" w:eastAsiaTheme="minorEastAsia" w:cstheme="minorBidi"/>
                                        <w:color w:val="000000" w:themeColor="text1"/>
                                        <w:kern w:val="24"/>
                                        <w:sz w:val="18"/>
                                        <w:szCs w:val="18"/>
                                        <w14:textFill>
                                          <w14:solidFill>
                                            <w14:schemeClr w14:val="tx1"/>
                                          </w14:solidFill>
                                        </w14:textFill>
                                      </w:rPr>
                                      <w:t>表面修整</w:t>
                                    </w:r>
                                  </w:p>
                                </w:txbxContent>
                              </wps:txbx>
                              <wps:bodyPr anchor="ctr" upright="1"/>
                            </wps:wsp>
                            <wps:wsp>
                              <wps:cNvPr id="76" name="矩形 76"/>
                              <wps:cNvSpPr/>
                              <wps:spPr>
                                <a:xfrm>
                                  <a:off x="40322" y="27568"/>
                                  <a:ext cx="11438" cy="4318"/>
                                </a:xfrm>
                                <a:prstGeom prst="rect">
                                  <a:avLst/>
                                </a:prstGeom>
                                <a:noFill/>
                                <a:ln w="15875" cap="flat" cmpd="sng">
                                  <a:solidFill>
                                    <a:srgbClr val="000000"/>
                                  </a:solidFill>
                                  <a:prstDash val="solid"/>
                                  <a:miter/>
                                  <a:headEnd type="none" w="med" len="med"/>
                                  <a:tailEnd type="none" w="med" len="med"/>
                                </a:ln>
                              </wps:spPr>
                              <wps:txbx>
                                <w:txbxContent>
                                  <w:p>
                                    <w:pPr>
                                      <w:pStyle w:val="19"/>
                                      <w:jc w:val="center"/>
                                      <w:textAlignment w:val="baseline"/>
                                      <w:rPr>
                                        <w:rFonts w:hint="default"/>
                                        <w:sz w:val="18"/>
                                        <w:szCs w:val="18"/>
                                      </w:rPr>
                                    </w:pPr>
                                    <w:r>
                                      <w:rPr>
                                        <w:rFonts w:hint="eastAsia" w:asciiTheme="minorHAnsi" w:eastAsiaTheme="minorEastAsia" w:cstheme="minorBidi"/>
                                        <w:color w:val="000000" w:themeColor="text1"/>
                                        <w:kern w:val="24"/>
                                        <w:sz w:val="18"/>
                                        <w:szCs w:val="18"/>
                                        <w:lang w:eastAsia="zh-CN"/>
                                        <w14:textFill>
                                          <w14:solidFill>
                                            <w14:schemeClr w14:val="tx1"/>
                                          </w14:solidFill>
                                        </w14:textFill>
                                      </w:rPr>
                                      <w:t>锅炉安装</w:t>
                                    </w:r>
                                  </w:p>
                                  <w:p/>
                                </w:txbxContent>
                              </wps:txbx>
                              <wps:bodyPr anchor="ctr" upright="1"/>
                            </wps:wsp>
                            <wps:wsp>
                              <wps:cNvPr id="77" name="直接箭头连接符 77"/>
                              <wps:cNvCnPr>
                                <a:stCxn id="76" idx="3"/>
                              </wps:cNvCnPr>
                              <wps:spPr>
                                <a:xfrm flipV="1">
                                  <a:off x="51756" y="29723"/>
                                  <a:ext cx="7648" cy="9"/>
                                </a:xfrm>
                                <a:prstGeom prst="straightConnector1">
                                  <a:avLst/>
                                </a:prstGeom>
                                <a:ln w="15875" cap="flat" cmpd="sng">
                                  <a:solidFill>
                                    <a:srgbClr val="000000"/>
                                  </a:solidFill>
                                  <a:prstDash val="solid"/>
                                  <a:headEnd type="none" w="med" len="med"/>
                                  <a:tailEnd type="triangle" w="lg" len="lg"/>
                                </a:ln>
                              </wps:spPr>
                              <wps:bodyPr/>
                            </wps:wsp>
                            <wps:wsp>
                              <wps:cNvPr id="78" name="矩形 78"/>
                              <wps:cNvSpPr/>
                              <wps:spPr>
                                <a:xfrm>
                                  <a:off x="-5980" y="27346"/>
                                  <a:ext cx="24345" cy="4301"/>
                                </a:xfrm>
                                <a:prstGeom prst="rect">
                                  <a:avLst/>
                                </a:prstGeom>
                                <a:noFill/>
                                <a:ln w="15875" cap="flat" cmpd="sng">
                                  <a:solidFill>
                                    <a:srgbClr val="000000"/>
                                  </a:solidFill>
                                  <a:prstDash val="solid"/>
                                  <a:miter/>
                                  <a:headEnd type="none" w="med" len="med"/>
                                  <a:tailEnd type="none" w="med" len="med"/>
                                </a:ln>
                              </wps:spPr>
                              <wps:txbx>
                                <w:txbxContent>
                                  <w:p>
                                    <w:pPr>
                                      <w:pStyle w:val="19"/>
                                      <w:jc w:val="center"/>
                                      <w:textAlignment w:val="baseline"/>
                                      <w:rPr>
                                        <w:rFonts w:hint="eastAsia" w:eastAsia="宋体"/>
                                        <w:sz w:val="18"/>
                                        <w:szCs w:val="18"/>
                                        <w:lang w:eastAsia="zh-CN"/>
                                      </w:rPr>
                                    </w:pPr>
                                    <w:r>
                                      <w:rPr>
                                        <w:rFonts w:hint="eastAsia" w:asciiTheme="minorHAnsi" w:eastAsiaTheme="minorEastAsia" w:cstheme="minorBidi"/>
                                        <w:color w:val="000000" w:themeColor="text1"/>
                                        <w:kern w:val="24"/>
                                        <w:sz w:val="18"/>
                                        <w:szCs w:val="18"/>
                                        <w:lang w:eastAsia="zh-CN"/>
                                        <w14:textFill>
                                          <w14:solidFill>
                                            <w14:schemeClr w14:val="tx1"/>
                                          </w14:solidFill>
                                        </w14:textFill>
                                      </w:rPr>
                                      <w:t>锅炉房、渣库、煤棚改造</w:t>
                                    </w:r>
                                  </w:p>
                                </w:txbxContent>
                              </wps:txbx>
                              <wps:bodyPr anchor="ctr" upright="1"/>
                            </wps:wsp>
                            <wps:wsp>
                              <wps:cNvPr id="79" name="直接箭头连接符 79"/>
                              <wps:cNvCnPr/>
                              <wps:spPr>
                                <a:xfrm rot="5400000">
                                  <a:off x="10072" y="34402"/>
                                  <a:ext cx="5032" cy="0"/>
                                </a:xfrm>
                                <a:prstGeom prst="straightConnector1">
                                  <a:avLst/>
                                </a:prstGeom>
                                <a:ln w="9525" cap="flat" cmpd="sng">
                                  <a:solidFill>
                                    <a:srgbClr val="000000"/>
                                  </a:solidFill>
                                  <a:prstDash val="dash"/>
                                  <a:headEnd type="none" w="med" len="med"/>
                                  <a:tailEnd type="triangle" w="lg" len="med"/>
                                </a:ln>
                              </wps:spPr>
                              <wps:bodyPr/>
                            </wps:wsp>
                            <wps:wsp>
                              <wps:cNvPr id="80" name="直接箭头连接符 80"/>
                              <wps:cNvCnPr/>
                              <wps:spPr>
                                <a:xfrm flipV="1">
                                  <a:off x="71215" y="29725"/>
                                  <a:ext cx="4034" cy="106"/>
                                </a:xfrm>
                                <a:prstGeom prst="straightConnector1">
                                  <a:avLst/>
                                </a:prstGeom>
                                <a:ln w="15875" cap="flat" cmpd="sng">
                                  <a:solidFill>
                                    <a:srgbClr val="000000"/>
                                  </a:solidFill>
                                  <a:prstDash val="solid"/>
                                  <a:headEnd type="none" w="med" len="med"/>
                                  <a:tailEnd type="triangle" w="lg" len="lg"/>
                                </a:ln>
                              </wps:spPr>
                              <wps:bodyPr/>
                            </wps:wsp>
                            <wps:wsp>
                              <wps:cNvPr id="81" name="直接箭头连接符 81"/>
                              <wps:cNvCnPr/>
                              <wps:spPr>
                                <a:xfrm rot="5400000">
                                  <a:off x="44521" y="34529"/>
                                  <a:ext cx="5032" cy="0"/>
                                </a:xfrm>
                                <a:prstGeom prst="straightConnector1">
                                  <a:avLst/>
                                </a:prstGeom>
                                <a:ln w="12700" cap="flat" cmpd="sng">
                                  <a:solidFill>
                                    <a:srgbClr val="000000"/>
                                  </a:solidFill>
                                  <a:prstDash val="dash"/>
                                  <a:headEnd type="none" w="med" len="med"/>
                                  <a:tailEnd type="triangle" w="lg" len="lg"/>
                                </a:ln>
                              </wps:spPr>
                              <wps:bodyPr/>
                            </wps:wsp>
                            <wps:wsp>
                              <wps:cNvPr id="82" name="直接箭头连接符 82"/>
                              <wps:cNvCnPr/>
                              <wps:spPr>
                                <a:xfrm rot="5400000">
                                  <a:off x="77970" y="34529"/>
                                  <a:ext cx="5032" cy="0"/>
                                </a:xfrm>
                                <a:prstGeom prst="straightConnector1">
                                  <a:avLst/>
                                </a:prstGeom>
                                <a:ln w="12700" cap="flat" cmpd="sng">
                                  <a:solidFill>
                                    <a:srgbClr val="000000"/>
                                  </a:solidFill>
                                  <a:prstDash val="dash"/>
                                  <a:headEnd type="none" w="med" len="med"/>
                                  <a:tailEnd type="triangle" w="lg" len="lg"/>
                                </a:ln>
                              </wps:spPr>
                              <wps:bodyPr/>
                            </wps:wsp>
                            <wps:wsp>
                              <wps:cNvPr id="83" name="矩形 83"/>
                              <wps:cNvSpPr/>
                              <wps:spPr>
                                <a:xfrm>
                                  <a:off x="7207" y="36918"/>
                                  <a:ext cx="11144" cy="4318"/>
                                </a:xfrm>
                                <a:prstGeom prst="rect">
                                  <a:avLst/>
                                </a:prstGeom>
                                <a:noFill/>
                                <a:ln w="12700" cap="flat" cmpd="sng">
                                  <a:solidFill>
                                    <a:srgbClr val="000000"/>
                                  </a:solidFill>
                                  <a:prstDash val="dash"/>
                                  <a:miter/>
                                  <a:headEnd type="none" w="med" len="med"/>
                                  <a:tailEnd type="none" w="med" len="med"/>
                                </a:ln>
                              </wps:spPr>
                              <wps:txbx>
                                <w:txbxContent>
                                  <w:p>
                                    <w:pPr>
                                      <w:pStyle w:val="19"/>
                                      <w:jc w:val="center"/>
                                      <w:textAlignment w:val="baseline"/>
                                      <w:rPr>
                                        <w:rFonts w:hint="default"/>
                                        <w:sz w:val="18"/>
                                        <w:szCs w:val="18"/>
                                      </w:rPr>
                                    </w:pPr>
                                    <w:r>
                                      <w:rPr>
                                        <w:rFonts w:ascii="Times New Roman" w:eastAsiaTheme="minorEastAsia"/>
                                        <w:color w:val="000000" w:themeColor="text1"/>
                                        <w:kern w:val="24"/>
                                        <w:sz w:val="18"/>
                                        <w:szCs w:val="18"/>
                                        <w14:textFill>
                                          <w14:solidFill>
                                            <w14:schemeClr w14:val="tx1"/>
                                          </w14:solidFill>
                                        </w14:textFill>
                                      </w:rPr>
                                      <w:t>固体废物</w:t>
                                    </w:r>
                                  </w:p>
                                </w:txbxContent>
                              </wps:txbx>
                              <wps:bodyPr anchor="ctr" upright="1"/>
                            </wps:wsp>
                            <wps:wsp>
                              <wps:cNvPr id="84" name="矩形 84"/>
                              <wps:cNvSpPr/>
                              <wps:spPr>
                                <a:xfrm>
                                  <a:off x="40719" y="37172"/>
                                  <a:ext cx="13113" cy="4318"/>
                                </a:xfrm>
                                <a:prstGeom prst="rect">
                                  <a:avLst/>
                                </a:prstGeom>
                                <a:noFill/>
                                <a:ln w="12700" cap="flat" cmpd="sng">
                                  <a:solidFill>
                                    <a:srgbClr val="000000"/>
                                  </a:solidFill>
                                  <a:prstDash val="dash"/>
                                  <a:miter/>
                                  <a:headEnd type="none" w="med" len="med"/>
                                  <a:tailEnd type="none" w="med" len="med"/>
                                </a:ln>
                              </wps:spPr>
                              <wps:txbx>
                                <w:txbxContent>
                                  <w:p>
                                    <w:pPr>
                                      <w:pStyle w:val="19"/>
                                      <w:jc w:val="center"/>
                                      <w:textAlignment w:val="baseline"/>
                                      <w:rPr>
                                        <w:rFonts w:hint="default"/>
                                        <w:sz w:val="18"/>
                                        <w:szCs w:val="18"/>
                                      </w:rPr>
                                    </w:pPr>
                                    <w:r>
                                      <w:rPr>
                                        <w:rFonts w:ascii="Times New Roman" w:eastAsiaTheme="minorEastAsia"/>
                                        <w:color w:val="000000" w:themeColor="text1"/>
                                        <w:kern w:val="24"/>
                                        <w:sz w:val="18"/>
                                        <w:szCs w:val="18"/>
                                        <w14:textFill>
                                          <w14:solidFill>
                                            <w14:schemeClr w14:val="tx1"/>
                                          </w14:solidFill>
                                        </w14:textFill>
                                      </w:rPr>
                                      <w:t>噪声</w:t>
                                    </w:r>
                                  </w:p>
                                </w:txbxContent>
                              </wps:txbx>
                              <wps:bodyPr anchor="ctr" upright="1"/>
                            </wps:wsp>
                            <wps:wsp>
                              <wps:cNvPr id="85" name="矩形 85"/>
                              <wps:cNvSpPr/>
                              <wps:spPr>
                                <a:xfrm>
                                  <a:off x="41399" y="17728"/>
                                  <a:ext cx="11160" cy="4318"/>
                                </a:xfrm>
                                <a:prstGeom prst="rect">
                                  <a:avLst/>
                                </a:prstGeom>
                                <a:noFill/>
                                <a:ln w="12700" cap="flat" cmpd="sng">
                                  <a:solidFill>
                                    <a:srgbClr val="000000"/>
                                  </a:solidFill>
                                  <a:prstDash val="dash"/>
                                  <a:miter/>
                                  <a:headEnd type="none" w="med" len="med"/>
                                  <a:tailEnd type="none" w="med" len="med"/>
                                </a:ln>
                              </wps:spPr>
                              <wps:txbx>
                                <w:txbxContent>
                                  <w:p>
                                    <w:pPr>
                                      <w:pStyle w:val="19"/>
                                      <w:jc w:val="center"/>
                                      <w:textAlignment w:val="baseline"/>
                                      <w:rPr>
                                        <w:rFonts w:hint="default"/>
                                        <w:sz w:val="18"/>
                                        <w:szCs w:val="18"/>
                                      </w:rPr>
                                    </w:pPr>
                                    <w:r>
                                      <w:rPr>
                                        <w:rFonts w:ascii="Times New Roman" w:eastAsiaTheme="minorEastAsia"/>
                                        <w:color w:val="000000" w:themeColor="text1"/>
                                        <w:kern w:val="24"/>
                                        <w:sz w:val="18"/>
                                        <w:szCs w:val="18"/>
                                        <w14:textFill>
                                          <w14:solidFill>
                                            <w14:schemeClr w14:val="tx1"/>
                                          </w14:solidFill>
                                        </w14:textFill>
                                      </w:rPr>
                                      <w:t>扬尘</w:t>
                                    </w:r>
                                  </w:p>
                                </w:txbxContent>
                              </wps:txbx>
                              <wps:bodyPr anchor="ctr" upright="1"/>
                            </wps:wsp>
                            <wps:wsp>
                              <wps:cNvPr id="86" name="矩形 86"/>
                              <wps:cNvSpPr/>
                              <wps:spPr>
                                <a:xfrm>
                                  <a:off x="75342" y="37172"/>
                                  <a:ext cx="11160" cy="4318"/>
                                </a:xfrm>
                                <a:prstGeom prst="rect">
                                  <a:avLst/>
                                </a:prstGeom>
                                <a:noFill/>
                                <a:ln w="12700" cap="flat" cmpd="sng">
                                  <a:solidFill>
                                    <a:srgbClr val="000000"/>
                                  </a:solidFill>
                                  <a:prstDash val="dash"/>
                                  <a:miter/>
                                  <a:headEnd type="none" w="med" len="med"/>
                                  <a:tailEnd type="none" w="med" len="med"/>
                                </a:ln>
                              </wps:spPr>
                              <wps:txbx>
                                <w:txbxContent>
                                  <w:p>
                                    <w:pPr>
                                      <w:pStyle w:val="19"/>
                                      <w:jc w:val="center"/>
                                      <w:textAlignment w:val="baseline"/>
                                      <w:rPr>
                                        <w:rFonts w:hint="default"/>
                                        <w:sz w:val="18"/>
                                        <w:szCs w:val="18"/>
                                      </w:rPr>
                                    </w:pPr>
                                    <w:r>
                                      <w:rPr>
                                        <w:rFonts w:ascii="Times New Roman" w:eastAsiaTheme="minorEastAsia"/>
                                        <w:color w:val="000000" w:themeColor="text1"/>
                                        <w:kern w:val="24"/>
                                        <w:sz w:val="18"/>
                                        <w:szCs w:val="18"/>
                                        <w14:textFill>
                                          <w14:solidFill>
                                            <w14:schemeClr w14:val="tx1"/>
                                          </w14:solidFill>
                                        </w14:textFill>
                                      </w:rPr>
                                      <w:t>固体废物</w:t>
                                    </w:r>
                                  </w:p>
                                </w:txbxContent>
                              </wps:txbx>
                              <wps:bodyPr anchor="ctr" upright="1"/>
                            </wps:wsp>
                            <wps:wsp>
                              <wps:cNvPr id="87" name="直接箭头连接符 87"/>
                              <wps:cNvCnPr/>
                              <wps:spPr>
                                <a:xfrm rot="-5400000" flipV="1">
                                  <a:off x="44643" y="24565"/>
                                  <a:ext cx="5033" cy="0"/>
                                </a:xfrm>
                                <a:prstGeom prst="straightConnector1">
                                  <a:avLst/>
                                </a:prstGeom>
                                <a:ln w="12700" cap="flat" cmpd="sng">
                                  <a:solidFill>
                                    <a:srgbClr val="000000"/>
                                  </a:solidFill>
                                  <a:prstDash val="dash"/>
                                  <a:headEnd type="none" w="med" len="med"/>
                                  <a:tailEnd type="triangle" w="lg" len="lg"/>
                                </a:ln>
                              </wps:spPr>
                              <wps:bodyPr/>
                            </wps:wsp>
                            <wps:wsp>
                              <wps:cNvPr id="88" name="直接箭头连接符 88"/>
                              <wps:cNvCnPr/>
                              <wps:spPr>
                                <a:xfrm>
                                  <a:off x="17636" y="32129"/>
                                  <a:ext cx="20883" cy="5761"/>
                                </a:xfrm>
                                <a:prstGeom prst="straightConnector1">
                                  <a:avLst/>
                                </a:prstGeom>
                                <a:ln w="12700" cap="flat" cmpd="sng">
                                  <a:solidFill>
                                    <a:srgbClr val="000000"/>
                                  </a:solidFill>
                                  <a:prstDash val="dash"/>
                                  <a:headEnd type="none" w="med" len="med"/>
                                  <a:tailEnd type="triangle" w="lg" len="lg"/>
                                </a:ln>
                              </wps:spPr>
                              <wps:bodyPr/>
                            </wps:wsp>
                            <wps:wsp>
                              <wps:cNvPr id="89" name="直接箭头连接符 89"/>
                              <wps:cNvCnPr/>
                              <wps:spPr>
                                <a:xfrm>
                                  <a:off x="34198" y="32129"/>
                                  <a:ext cx="5761" cy="5041"/>
                                </a:xfrm>
                                <a:prstGeom prst="straightConnector1">
                                  <a:avLst/>
                                </a:prstGeom>
                                <a:ln w="12700" cap="flat" cmpd="sng">
                                  <a:solidFill>
                                    <a:srgbClr val="000000"/>
                                  </a:solidFill>
                                  <a:prstDash val="dash"/>
                                  <a:headEnd type="none" w="med" len="med"/>
                                  <a:tailEnd type="triangle" w="lg" len="lg"/>
                                </a:ln>
                              </wps:spPr>
                              <wps:bodyPr/>
                            </wps:wsp>
                            <wps:wsp>
                              <wps:cNvPr id="90" name="直接箭头连接符 90"/>
                              <wps:cNvCnPr/>
                              <wps:spPr>
                                <a:xfrm flipV="1">
                                  <a:off x="34198" y="22048"/>
                                  <a:ext cx="7201" cy="5041"/>
                                </a:xfrm>
                                <a:prstGeom prst="straightConnector1">
                                  <a:avLst/>
                                </a:prstGeom>
                                <a:ln w="12700" cap="flat" cmpd="sng">
                                  <a:solidFill>
                                    <a:srgbClr val="000000"/>
                                  </a:solidFill>
                                  <a:prstDash val="dash"/>
                                  <a:headEnd type="none" w="med" len="med"/>
                                  <a:tailEnd type="triangle" w="lg" len="lg"/>
                                </a:ln>
                              </wps:spPr>
                              <wps:bodyPr/>
                            </wps:wsp>
                            <wps:wsp>
                              <wps:cNvPr id="91" name="直接箭头连接符 91"/>
                              <wps:cNvCnPr/>
                              <wps:spPr>
                                <a:xfrm flipH="1">
                                  <a:off x="54360" y="32129"/>
                                  <a:ext cx="5041" cy="5041"/>
                                </a:xfrm>
                                <a:prstGeom prst="straightConnector1">
                                  <a:avLst/>
                                </a:prstGeom>
                                <a:ln w="12700" cap="flat" cmpd="sng">
                                  <a:solidFill>
                                    <a:srgbClr val="000000"/>
                                  </a:solidFill>
                                  <a:prstDash val="dash"/>
                                  <a:headEnd type="none" w="med" len="med"/>
                                  <a:tailEnd type="triangle" w="lg" len="lg"/>
                                </a:ln>
                              </wps:spPr>
                              <wps:bodyPr/>
                            </wps:wsp>
                            <wps:wsp>
                              <wps:cNvPr id="92" name="直接箭头连接符 92"/>
                              <wps:cNvCnPr/>
                              <wps:spPr>
                                <a:xfrm flipH="1" flipV="1">
                                  <a:off x="53640" y="22048"/>
                                  <a:ext cx="5761" cy="5041"/>
                                </a:xfrm>
                                <a:prstGeom prst="straightConnector1">
                                  <a:avLst/>
                                </a:prstGeom>
                                <a:ln w="12700" cap="flat" cmpd="sng">
                                  <a:solidFill>
                                    <a:srgbClr val="000000"/>
                                  </a:solidFill>
                                  <a:prstDash val="dash"/>
                                  <a:headEnd type="none" w="med" len="med"/>
                                  <a:tailEnd type="triangle" w="lg" len="lg"/>
                                </a:ln>
                              </wps:spPr>
                              <wps:bodyPr/>
                            </wps:wsp>
                            <wps:wsp>
                              <wps:cNvPr id="93" name="直接箭头连接符 93"/>
                              <wps:cNvCnPr/>
                              <wps:spPr>
                                <a:xfrm flipV="1">
                                  <a:off x="18356" y="19888"/>
                                  <a:ext cx="22323" cy="7201"/>
                                </a:xfrm>
                                <a:prstGeom prst="straightConnector1">
                                  <a:avLst/>
                                </a:prstGeom>
                                <a:ln w="12700" cap="flat" cmpd="sng">
                                  <a:solidFill>
                                    <a:srgbClr val="000000"/>
                                  </a:solidFill>
                                  <a:prstDash val="dash"/>
                                  <a:headEnd type="none" w="med" len="med"/>
                                  <a:tailEnd type="triangle" w="lg" len="lg"/>
                                </a:ln>
                              </wps:spPr>
                              <wps:bodyPr/>
                            </wps:wsp>
                            <wps:wsp>
                              <wps:cNvPr id="94" name="直接箭头连接符 94"/>
                              <wps:cNvCnPr/>
                              <wps:spPr>
                                <a:xfrm flipH="1" flipV="1">
                                  <a:off x="53069" y="19745"/>
                                  <a:ext cx="22318" cy="7200"/>
                                </a:xfrm>
                                <a:prstGeom prst="straightConnector1">
                                  <a:avLst/>
                                </a:prstGeom>
                                <a:ln w="12700" cap="flat" cmpd="sng">
                                  <a:solidFill>
                                    <a:srgbClr val="000000"/>
                                  </a:solidFill>
                                  <a:prstDash val="dash"/>
                                  <a:headEnd type="none" w="med" len="med"/>
                                  <a:tailEnd type="triangle" w="lg" len="lg"/>
                                </a:ln>
                              </wps:spPr>
                              <wps:bodyPr/>
                            </wps:wsp>
                            <wps:wsp>
                              <wps:cNvPr id="95" name="直接箭头连接符 95"/>
                              <wps:cNvCnPr/>
                              <wps:spPr>
                                <a:xfrm flipH="1">
                                  <a:off x="54360" y="32129"/>
                                  <a:ext cx="21603" cy="7921"/>
                                </a:xfrm>
                                <a:prstGeom prst="straightConnector1">
                                  <a:avLst/>
                                </a:prstGeom>
                                <a:ln w="12700" cap="flat" cmpd="sng">
                                  <a:solidFill>
                                    <a:srgbClr val="000000"/>
                                  </a:solidFill>
                                  <a:prstDash val="dash"/>
                                  <a:headEnd type="none" w="med" len="med"/>
                                  <a:tailEnd type="triangle" w="lg" len="lg"/>
                                </a:ln>
                              </wps:spPr>
                              <wps:bodyPr/>
                            </wps:wsp>
                          </wpg:wgp>
                        </a:graphicData>
                      </a:graphic>
                    </wp:inline>
                  </w:drawing>
                </mc:Choice>
                <mc:Fallback>
                  <w:pict>
                    <v:group id="_x0000_s1026" o:spid="_x0000_s1026" o:spt="203" style="height:142.55pt;width:435.9pt;" coordorigin="-5980,17728" coordsize="92640,23762" o:gfxdata="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">
                      <o:lock v:ext="edit" aspectratio="f"/>
                      <v:rect id="_x0000_s1026" o:spid="_x0000_s1026" o:spt="1" style="position:absolute;left:24114;top:27568;height:4318;width:12997;v-text-anchor:middle;" filled="f" stroked="t" coordsize="21600,21600" o:gfxdata="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YyqVvQAA&#10;ANsAAAAPAAAAAAAAAAEAIAAAACIAAABkcnMvZG93bnJldi54bWxQSwECFAAUAAAACACHTuJAMy8F&#10;njsAAAA5AAAAEAAAAAAAAAABACAAAAAMAQAAZHJzL3NoYXBleG1sLnhtbFBLBQYAAAAABgAGAFsB&#10;AAC2AwAAAAA=&#10;">
                        <v:fill on="f" focussize="0,0"/>
                        <v:stroke weight="1.25pt" color="#000000" joinstyle="miter"/>
                        <v:imagedata o:title=""/>
                        <o:lock v:ext="edit" aspectratio="f"/>
                        <v:textbox>
                          <w:txbxContent>
                            <w:p>
                              <w:pPr>
                                <w:pStyle w:val="19"/>
                                <w:jc w:val="center"/>
                                <w:textAlignment w:val="baseline"/>
                                <w:rPr>
                                  <w:rFonts w:hint="eastAsia" w:eastAsia="宋体"/>
                                  <w:sz w:val="18"/>
                                  <w:szCs w:val="18"/>
                                  <w:lang w:eastAsia="zh-CN"/>
                                </w:rPr>
                              </w:pPr>
                              <w:r>
                                <w:rPr>
                                  <w:rFonts w:hint="eastAsia"/>
                                  <w:sz w:val="18"/>
                                  <w:szCs w:val="18"/>
                                  <w:lang w:eastAsia="zh-CN"/>
                                </w:rPr>
                                <w:t>新建车间</w:t>
                              </w:r>
                            </w:p>
                            <w:p/>
                          </w:txbxContent>
                        </v:textbox>
                      </v:rect>
                      <v:shape id="_x0000_s1026" o:spid="_x0000_s1026" o:spt="32" type="#_x0000_t32" style="position:absolute;left:37111;top:29723;flip:y;height:9;width:3210;" filled="f" stroked="t" coordsize="21600,21600" o:gfxdata="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RTWxvQAA&#10;ANsAAAAPAAAAAAAAAAEAIAAAACIAAABkcnMvZG93bnJldi54bWxQSwECFAAUAAAACACHTuJAMy8F&#10;njsAAAA5AAAAEAAAAAAAAAABACAAAAAMAQAAZHJzL3NoYXBleG1sLnhtbFBLBQYAAAAABgAGAFsB&#10;AAC2AwAAAAA=&#10;">
                        <v:fill on="f" focussize="0,0"/>
                        <v:stroke weight="1.25pt" color="#000000" joinstyle="round" endarrow="block" endarrowwidth="wide" endarrowlength="long"/>
                        <v:imagedata o:title=""/>
                        <o:lock v:ext="edit" aspectratio="f"/>
                      </v:shape>
                      <v:rect id="_x0000_s1026" o:spid="_x0000_s1026" o:spt="1" style="position:absolute;left:75249;top:27573;height:4314;width:11411;v-text-anchor:middle;" filled="f" stroked="t" coordsize="21600,21600" o:gfxdata="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RF5vQAA&#10;ANsAAAAPAAAAAAAAAAEAIAAAACIAAABkcnMvZG93bnJldi54bWxQSwECFAAUAAAACACHTuJAMy8F&#10;njsAAAA5AAAAEAAAAAAAAAABACAAAAAMAQAAZHJzL3NoYXBleG1sLnhtbFBLBQYAAAAABgAGAFsB&#10;AAC2AwAAAAA=&#10;">
                        <v:fill on="f" focussize="0,0"/>
                        <v:stroke weight="1.25pt" color="#000000" joinstyle="miter"/>
                        <v:imagedata o:title=""/>
                        <o:lock v:ext="edit" aspectratio="f"/>
                        <v:textbox>
                          <w:txbxContent>
                            <w:p>
                              <w:pPr>
                                <w:pStyle w:val="19"/>
                                <w:jc w:val="center"/>
                                <w:textAlignment w:val="baseline"/>
                                <w:rPr>
                                  <w:rFonts w:hint="default"/>
                                  <w:sz w:val="18"/>
                                  <w:szCs w:val="18"/>
                                </w:rPr>
                              </w:pPr>
                              <w:r>
                                <w:rPr>
                                  <w:rFonts w:asciiTheme="minorHAnsi" w:eastAsiaTheme="minorEastAsia" w:cstheme="minorBidi"/>
                                  <w:color w:val="000000" w:themeColor="text1"/>
                                  <w:kern w:val="24"/>
                                  <w:sz w:val="18"/>
                                  <w:szCs w:val="18"/>
                                  <w14:textFill>
                                    <w14:solidFill>
                                      <w14:schemeClr w14:val="tx1"/>
                                    </w14:solidFill>
                                  </w14:textFill>
                                </w:rPr>
                                <w:t>现场清理</w:t>
                              </w:r>
                            </w:p>
                          </w:txbxContent>
                        </v:textbox>
                      </v:rect>
                      <v:shape id="_x0000_s1026" o:spid="_x0000_s1026" o:spt="32" type="#_x0000_t32" style="position:absolute;left:18351;top:29727;height:0;width:5199;" filled="f" stroked="t" coordsize="21600,21600" o:gfxdata="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7R/tvQAA&#10;ANsAAAAPAAAAAAAAAAEAIAAAACIAAABkcnMvZG93bnJldi54bWxQSwECFAAUAAAACACHTuJAMy8F&#10;njsAAAA5AAAAEAAAAAAAAAABACAAAAAMAQAAZHJzL3NoYXBleG1sLnhtbFBLBQYAAAAABgAGAFsB&#10;AAC2AwAAAAA=&#10;">
                        <v:fill on="f" focussize="0,0"/>
                        <v:stroke weight="1.25pt" color="#000000" joinstyle="round" endarrow="block" endarrowwidth="wide" endarrowlength="long"/>
                        <v:imagedata o:title=""/>
                        <o:lock v:ext="edit" aspectratio="f"/>
                      </v:shape>
                      <v:rect id="_x0000_s1026" o:spid="_x0000_s1026" o:spt="1" style="position:absolute;left:59408;top:27573;height:4314;width:11263;v-text-anchor:middle;" filled="f" stroked="t" coordsize="21600,21600" o:gfxdata="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WCyWvQAA&#10;ANsAAAAPAAAAAAAAAAEAIAAAACIAAABkcnMvZG93bnJldi54bWxQSwECFAAUAAAACACHTuJAMy8F&#10;njsAAAA5AAAAEAAAAAAAAAABACAAAAAMAQAAZHJzL3NoYXBleG1sLnhtbFBLBQYAAAAABgAGAFsB&#10;AAC2AwAAAAA=&#10;">
                        <v:fill on="f" focussize="0,0"/>
                        <v:stroke weight="1.25pt" color="#000000" joinstyle="miter"/>
                        <v:imagedata o:title=""/>
                        <o:lock v:ext="edit" aspectratio="f"/>
                        <v:textbox>
                          <w:txbxContent>
                            <w:p>
                              <w:pPr>
                                <w:pStyle w:val="19"/>
                                <w:jc w:val="center"/>
                                <w:textAlignment w:val="baseline"/>
                                <w:rPr>
                                  <w:rFonts w:hint="default"/>
                                  <w:sz w:val="18"/>
                                  <w:szCs w:val="18"/>
                                </w:rPr>
                              </w:pPr>
                              <w:r>
                                <w:rPr>
                                  <w:rFonts w:asciiTheme="minorHAnsi" w:eastAsiaTheme="minorEastAsia" w:cstheme="minorBidi"/>
                                  <w:color w:val="000000" w:themeColor="text1"/>
                                  <w:kern w:val="24"/>
                                  <w:sz w:val="18"/>
                                  <w:szCs w:val="18"/>
                                  <w14:textFill>
                                    <w14:solidFill>
                                      <w14:schemeClr w14:val="tx1"/>
                                    </w14:solidFill>
                                  </w14:textFill>
                                </w:rPr>
                                <w:t>表面修整</w:t>
                              </w:r>
                            </w:p>
                          </w:txbxContent>
                        </v:textbox>
                      </v:rect>
                      <v:rect id="_x0000_s1026" o:spid="_x0000_s1026" o:spt="1" style="position:absolute;left:40322;top:27568;height:4318;width:11438;v-text-anchor:middle;" filled="f" stroked="t" coordsize="21600,21600" o:gfxdata="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6KsuG8AAAA&#10;2wAAAA8AAAAAAAAAAQAgAAAAIgAAAGRycy9kb3ducmV2LnhtbFBLAQIUABQAAAAIAIdO4kAzLwWe&#10;OwAAADkAAAAQAAAAAAAAAAEAIAAAAAsBAABkcnMvc2hhcGV4bWwueG1sUEsFBgAAAAAGAAYAWwEA&#10;ALUDAAAAAA==&#10;">
                        <v:fill on="f" focussize="0,0"/>
                        <v:stroke weight="1.25pt" color="#000000" joinstyle="miter"/>
                        <v:imagedata o:title=""/>
                        <o:lock v:ext="edit" aspectratio="f"/>
                        <v:textbox>
                          <w:txbxContent>
                            <w:p>
                              <w:pPr>
                                <w:pStyle w:val="19"/>
                                <w:jc w:val="center"/>
                                <w:textAlignment w:val="baseline"/>
                                <w:rPr>
                                  <w:rFonts w:hint="default"/>
                                  <w:sz w:val="18"/>
                                  <w:szCs w:val="18"/>
                                </w:rPr>
                              </w:pPr>
                              <w:r>
                                <w:rPr>
                                  <w:rFonts w:hint="eastAsia" w:asciiTheme="minorHAnsi" w:eastAsiaTheme="minorEastAsia" w:cstheme="minorBidi"/>
                                  <w:color w:val="000000" w:themeColor="text1"/>
                                  <w:kern w:val="24"/>
                                  <w:sz w:val="18"/>
                                  <w:szCs w:val="18"/>
                                  <w:lang w:eastAsia="zh-CN"/>
                                  <w14:textFill>
                                    <w14:solidFill>
                                      <w14:schemeClr w14:val="tx1"/>
                                    </w14:solidFill>
                                  </w14:textFill>
                                </w:rPr>
                                <w:t>锅炉安装</w:t>
                              </w:r>
                            </w:p>
                            <w:p/>
                          </w:txbxContent>
                        </v:textbox>
                      </v:rect>
                      <v:shape id="_x0000_s1026" o:spid="_x0000_s1026" o:spt="32" type="#_x0000_t32" style="position:absolute;left:51756;top:29723;flip:y;height:9;width:7648;" filled="f" stroked="t" coordsize="21600,21600" o:gfxdata="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MpYpvQAA&#10;ANsAAAAPAAAAAAAAAAEAIAAAACIAAABkcnMvZG93bnJldi54bWxQSwECFAAUAAAACACHTuJAMy8F&#10;njsAAAA5AAAAEAAAAAAAAAABACAAAAAMAQAAZHJzL3NoYXBleG1sLnhtbFBLBQYAAAAABgAGAFsB&#10;AAC2AwAAAAA=&#10;">
                        <v:fill on="f" focussize="0,0"/>
                        <v:stroke weight="1.25pt" color="#000000" joinstyle="round" endarrow="block" endarrowwidth="wide" endarrowlength="long"/>
                        <v:imagedata o:title=""/>
                        <o:lock v:ext="edit" aspectratio="f"/>
                      </v:shape>
                      <v:rect id="_x0000_s1026" o:spid="_x0000_s1026" o:spt="1" style="position:absolute;left:-5980;top:27346;height:4301;width:24345;v-text-anchor:middle;" filled="f" stroked="t" coordsize="21600,21600" o:gfxdata="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FmDCLsAAADb&#10;AAAADwAAAAAAAAABACAAAAAiAAAAZHJzL2Rvd25yZXYueG1sUEsBAhQAFAAAAAgAh07iQDMvBZ47&#10;AAAAOQAAABAAAAAAAAAAAQAgAAAACgEAAGRycy9zaGFwZXhtbC54bWxQSwUGAAAAAAYABgBbAQAA&#10;tAMAAAAA&#10;">
                        <v:fill on="f" focussize="0,0"/>
                        <v:stroke weight="1.25pt" color="#000000" joinstyle="miter"/>
                        <v:imagedata o:title=""/>
                        <o:lock v:ext="edit" aspectratio="f"/>
                        <v:textbox>
                          <w:txbxContent>
                            <w:p>
                              <w:pPr>
                                <w:pStyle w:val="19"/>
                                <w:jc w:val="center"/>
                                <w:textAlignment w:val="baseline"/>
                                <w:rPr>
                                  <w:rFonts w:hint="eastAsia" w:eastAsia="宋体"/>
                                  <w:sz w:val="18"/>
                                  <w:szCs w:val="18"/>
                                  <w:lang w:eastAsia="zh-CN"/>
                                </w:rPr>
                              </w:pPr>
                              <w:r>
                                <w:rPr>
                                  <w:rFonts w:hint="eastAsia" w:asciiTheme="minorHAnsi" w:eastAsiaTheme="minorEastAsia" w:cstheme="minorBidi"/>
                                  <w:color w:val="000000" w:themeColor="text1"/>
                                  <w:kern w:val="24"/>
                                  <w:sz w:val="18"/>
                                  <w:szCs w:val="18"/>
                                  <w:lang w:eastAsia="zh-CN"/>
                                  <w14:textFill>
                                    <w14:solidFill>
                                      <w14:schemeClr w14:val="tx1"/>
                                    </w14:solidFill>
                                  </w14:textFill>
                                </w:rPr>
                                <w:t>锅炉房、渣库、煤棚改造</w:t>
                              </w:r>
                            </w:p>
                          </w:txbxContent>
                        </v:textbox>
                      </v:rect>
                      <v:shape id="_x0000_s1026" o:spid="_x0000_s1026" o:spt="32" type="#_x0000_t32" style="position:absolute;left:10072;top:34402;height:0;width:5032;rotation:5898240f;" filled="f" stroked="t" coordsize="21600,21600" o:gfxdata="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Wc2a8AAAA&#10;2wAAAA8AAAAAAAAAAQAgAAAAIgAAAGRycy9kb3ducmV2LnhtbFBLAQIUABQAAAAIAIdO4kAzLwWe&#10;OwAAADkAAAAQAAAAAAAAAAEAIAAAAAsBAABkcnMvc2hhcGV4bWwueG1sUEsFBgAAAAAGAAYAWwEA&#10;ALUDAAAAAA==&#10;">
                        <v:fill on="f" focussize="0,0"/>
                        <v:stroke color="#000000" joinstyle="round" dashstyle="dash" endarrow="block" endarrowwidth="wide"/>
                        <v:imagedata o:title=""/>
                        <o:lock v:ext="edit" aspectratio="f"/>
                      </v:shape>
                      <v:shape id="_x0000_s1026" o:spid="_x0000_s1026" o:spt="32" type="#_x0000_t32" style="position:absolute;left:71215;top:29725;flip:y;height:106;width:4034;" filled="f" stroked="t" coordsize="21600,21600" o:gfxdata="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0Ofnq5AAAA2wAA&#10;AA8AAAAAAAAAAQAgAAAAIgAAAGRycy9kb3ducmV2LnhtbFBLAQIUABQAAAAIAIdO4kAzLwWeOwAA&#10;ADkAAAAQAAAAAAAAAAEAIAAAAAgBAABkcnMvc2hhcGV4bWwueG1sUEsFBgAAAAAGAAYAWwEAALID&#10;AAAAAA==&#10;">
                        <v:fill on="f" focussize="0,0"/>
                        <v:stroke weight="1.25pt" color="#000000" joinstyle="round" endarrow="block" endarrowwidth="wide" endarrowlength="long"/>
                        <v:imagedata o:title=""/>
                        <o:lock v:ext="edit" aspectratio="f"/>
                      </v:shape>
                      <v:shape id="_x0000_s1026" o:spid="_x0000_s1026" o:spt="32" type="#_x0000_t32" style="position:absolute;left:44521;top:34529;height:0;width:5032;rotation:5898240f;" filled="f" stroked="t" coordsize="21600,21600" o:gfxdata="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3KWm5AAAA2wAA&#10;AA8AAAAAAAAAAQAgAAAAIgAAAGRycy9kb3ducmV2LnhtbFBLAQIUABQAAAAIAIdO4kAzLwWeOwAA&#10;ADkAAAAQAAAAAAAAAAEAIAAAAAgBAABkcnMvc2hhcGV4bWwueG1sUEsFBgAAAAAGAAYAWwEAALID&#10;AAAAAA==&#10;">
                        <v:fill on="f" focussize="0,0"/>
                        <v:stroke weight="1pt" color="#000000" joinstyle="round" dashstyle="dash" endarrow="block" endarrowwidth="wide" endarrowlength="long"/>
                        <v:imagedata o:title=""/>
                        <o:lock v:ext="edit" aspectratio="f"/>
                      </v:shape>
                      <v:shape id="_x0000_s1026" o:spid="_x0000_s1026" o:spt="32" type="#_x0000_t32" style="position:absolute;left:77970;top:34529;height:0;width:5032;rotation:5898240f;" filled="f" stroked="t" coordsize="21600,21600" o:gfxdata="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8ltx65AAAA2wAA&#10;AA8AAAAAAAAAAQAgAAAAIgAAAGRycy9kb3ducmV2LnhtbFBLAQIUABQAAAAIAIdO4kAzLwWeOwAA&#10;ADkAAAAQAAAAAAAAAAEAIAAAAAgBAABkcnMvc2hhcGV4bWwueG1sUEsFBgAAAAAGAAYAWwEAALID&#10;AAAAAA==&#10;">
                        <v:fill on="f" focussize="0,0"/>
                        <v:stroke weight="1pt" color="#000000" joinstyle="round" dashstyle="dash" endarrow="block" endarrowwidth="wide" endarrowlength="long"/>
                        <v:imagedata o:title=""/>
                        <o:lock v:ext="edit" aspectratio="f"/>
                      </v:shape>
                      <v:rect id="_x0000_s1026" o:spid="_x0000_s1026" o:spt="1" style="position:absolute;left:7207;top:36918;height:4318;width:11144;v-text-anchor:middle;" filled="f" stroked="t" coordsize="21600,21600" o:gfxdata="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840G8AAAA&#10;2wAAAA8AAAAAAAAAAQAgAAAAIgAAAGRycy9kb3ducmV2LnhtbFBLAQIUABQAAAAIAIdO4kAzLwWe&#10;OwAAADkAAAAQAAAAAAAAAAEAIAAAAAsBAABkcnMvc2hhcGV4bWwueG1sUEsFBgAAAAAGAAYAWwEA&#10;ALUDAAAAAA==&#10;">
                        <v:fill on="f" focussize="0,0"/>
                        <v:stroke weight="1pt" color="#000000" joinstyle="miter" dashstyle="dash"/>
                        <v:imagedata o:title=""/>
                        <o:lock v:ext="edit" aspectratio="f"/>
                        <v:textbox>
                          <w:txbxContent>
                            <w:p>
                              <w:pPr>
                                <w:pStyle w:val="19"/>
                                <w:jc w:val="center"/>
                                <w:textAlignment w:val="baseline"/>
                                <w:rPr>
                                  <w:rFonts w:hint="default"/>
                                  <w:sz w:val="18"/>
                                  <w:szCs w:val="18"/>
                                </w:rPr>
                              </w:pPr>
                              <w:r>
                                <w:rPr>
                                  <w:rFonts w:ascii="Times New Roman" w:eastAsiaTheme="minorEastAsia"/>
                                  <w:color w:val="000000" w:themeColor="text1"/>
                                  <w:kern w:val="24"/>
                                  <w:sz w:val="18"/>
                                  <w:szCs w:val="18"/>
                                  <w14:textFill>
                                    <w14:solidFill>
                                      <w14:schemeClr w14:val="tx1"/>
                                    </w14:solidFill>
                                  </w14:textFill>
                                </w:rPr>
                                <w:t>固体废物</w:t>
                              </w:r>
                            </w:p>
                          </w:txbxContent>
                        </v:textbox>
                      </v:rect>
                      <v:rect id="_x0000_s1026" o:spid="_x0000_s1026" o:spt="1" style="position:absolute;left:40719;top:37172;height:4318;width:13113;v-text-anchor:middle;" filled="f" stroked="t" coordsize="21600,21600" o:gfxdata="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VezW8AAAA&#10;2wAAAA8AAAAAAAAAAQAgAAAAIgAAAGRycy9kb3ducmV2LnhtbFBLAQIUABQAAAAIAIdO4kAzLwWe&#10;OwAAADkAAAAQAAAAAAAAAAEAIAAAAAsBAABkcnMvc2hhcGV4bWwueG1sUEsFBgAAAAAGAAYAWwEA&#10;ALUDAAAAAA==&#10;">
                        <v:fill on="f" focussize="0,0"/>
                        <v:stroke weight="1pt" color="#000000" joinstyle="miter" dashstyle="dash"/>
                        <v:imagedata o:title=""/>
                        <o:lock v:ext="edit" aspectratio="f"/>
                        <v:textbox>
                          <w:txbxContent>
                            <w:p>
                              <w:pPr>
                                <w:pStyle w:val="19"/>
                                <w:jc w:val="center"/>
                                <w:textAlignment w:val="baseline"/>
                                <w:rPr>
                                  <w:rFonts w:hint="default"/>
                                  <w:sz w:val="18"/>
                                  <w:szCs w:val="18"/>
                                </w:rPr>
                              </w:pPr>
                              <w:r>
                                <w:rPr>
                                  <w:rFonts w:ascii="Times New Roman" w:eastAsiaTheme="minorEastAsia"/>
                                  <w:color w:val="000000" w:themeColor="text1"/>
                                  <w:kern w:val="24"/>
                                  <w:sz w:val="18"/>
                                  <w:szCs w:val="18"/>
                                  <w14:textFill>
                                    <w14:solidFill>
                                      <w14:schemeClr w14:val="tx1"/>
                                    </w14:solidFill>
                                  </w14:textFill>
                                </w:rPr>
                                <w:t>噪声</w:t>
                              </w:r>
                            </w:p>
                          </w:txbxContent>
                        </v:textbox>
                      </v:rect>
                      <v:rect id="_x0000_s1026" o:spid="_x0000_s1026" o:spt="1" style="position:absolute;left:41399;top:17728;height:4318;width:11160;v-text-anchor:middle;" filled="f" stroked="t" coordsize="21600,21600" o:gfxdata="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Z3q68AAAA&#10;2wAAAA8AAAAAAAAAAQAgAAAAIgAAAGRycy9kb3ducmV2LnhtbFBLAQIUABQAAAAIAIdO4kAzLwWe&#10;OwAAADkAAAAQAAAAAAAAAAEAIAAAAAsBAABkcnMvc2hhcGV4bWwueG1sUEsFBgAAAAAGAAYAWwEA&#10;ALUDAAAAAA==&#10;">
                        <v:fill on="f" focussize="0,0"/>
                        <v:stroke weight="1pt" color="#000000" joinstyle="miter" dashstyle="dash"/>
                        <v:imagedata o:title=""/>
                        <o:lock v:ext="edit" aspectratio="f"/>
                        <v:textbox>
                          <w:txbxContent>
                            <w:p>
                              <w:pPr>
                                <w:pStyle w:val="19"/>
                                <w:jc w:val="center"/>
                                <w:textAlignment w:val="baseline"/>
                                <w:rPr>
                                  <w:rFonts w:hint="default"/>
                                  <w:sz w:val="18"/>
                                  <w:szCs w:val="18"/>
                                </w:rPr>
                              </w:pPr>
                              <w:r>
                                <w:rPr>
                                  <w:rFonts w:ascii="Times New Roman" w:eastAsiaTheme="minorEastAsia"/>
                                  <w:color w:val="000000" w:themeColor="text1"/>
                                  <w:kern w:val="24"/>
                                  <w:sz w:val="18"/>
                                  <w:szCs w:val="18"/>
                                  <w14:textFill>
                                    <w14:solidFill>
                                      <w14:schemeClr w14:val="tx1"/>
                                    </w14:solidFill>
                                  </w14:textFill>
                                </w:rPr>
                                <w:t>扬尘</w:t>
                              </w:r>
                            </w:p>
                          </w:txbxContent>
                        </v:textbox>
                      </v:rect>
                      <v:rect id="_x0000_s1026" o:spid="_x0000_s1026" o:spt="1" style="position:absolute;left:75342;top:37172;height:4318;width:11160;v-text-anchor:middle;" filled="f" stroked="t" coordsize="21600,21600" o:gfxdata="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LQNm8AAAA&#10;2wAAAA8AAAAAAAAAAQAgAAAAIgAAAGRycy9kb3ducmV2LnhtbFBLAQIUABQAAAAIAIdO4kAzLwWe&#10;OwAAADkAAAAQAAAAAAAAAAEAIAAAAAsBAABkcnMvc2hhcGV4bWwueG1sUEsFBgAAAAAGAAYAWwEA&#10;ALUDAAAAAA==&#10;">
                        <v:fill on="f" focussize="0,0"/>
                        <v:stroke weight="1pt" color="#000000" joinstyle="miter" dashstyle="dash"/>
                        <v:imagedata o:title=""/>
                        <o:lock v:ext="edit" aspectratio="f"/>
                        <v:textbox>
                          <w:txbxContent>
                            <w:p>
                              <w:pPr>
                                <w:pStyle w:val="19"/>
                                <w:jc w:val="center"/>
                                <w:textAlignment w:val="baseline"/>
                                <w:rPr>
                                  <w:rFonts w:hint="default"/>
                                  <w:sz w:val="18"/>
                                  <w:szCs w:val="18"/>
                                </w:rPr>
                              </w:pPr>
                              <w:r>
                                <w:rPr>
                                  <w:rFonts w:ascii="Times New Roman" w:eastAsiaTheme="minorEastAsia"/>
                                  <w:color w:val="000000" w:themeColor="text1"/>
                                  <w:kern w:val="24"/>
                                  <w:sz w:val="18"/>
                                  <w:szCs w:val="18"/>
                                  <w14:textFill>
                                    <w14:solidFill>
                                      <w14:schemeClr w14:val="tx1"/>
                                    </w14:solidFill>
                                  </w14:textFill>
                                </w:rPr>
                                <w:t>固体废物</w:t>
                              </w:r>
                            </w:p>
                          </w:txbxContent>
                        </v:textbox>
                      </v:rect>
                      <v:shape id="_x0000_s1026" o:spid="_x0000_s1026" o:spt="32" type="#_x0000_t32" style="position:absolute;left:44643;top:24565;flip:y;height:0;width:5033;rotation:5898240f;" filled="f" stroked="t" coordsize="21600,21600" o:gfxdata="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9rWIL4A&#10;AADbAAAADwAAAAAAAAABACAAAAAiAAAAZHJzL2Rvd25yZXYueG1sUEsBAhQAFAAAAAgAh07iQDMv&#10;BZ47AAAAOQAAABAAAAAAAAAAAQAgAAAADQEAAGRycy9zaGFwZXhtbC54bWxQSwUGAAAAAAYABgBb&#10;AQAAtwMAAAAA&#10;">
                        <v:fill on="f" focussize="0,0"/>
                        <v:stroke weight="1pt" color="#000000" joinstyle="round" dashstyle="dash" endarrow="block" endarrowwidth="wide" endarrowlength="long"/>
                        <v:imagedata o:title=""/>
                        <o:lock v:ext="edit" aspectratio="f"/>
                      </v:shape>
                      <v:shape id="_x0000_s1026" o:spid="_x0000_s1026" o:spt="32" type="#_x0000_t32" style="position:absolute;left:17636;top:32129;height:5761;width:20883;" filled="f" stroked="t" coordsize="21600,21600" o:gfxdata="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s7fb7sAAADb&#10;AAAADwAAAAAAAAABACAAAAAiAAAAZHJzL2Rvd25yZXYueG1sUEsBAhQAFAAAAAgAh07iQDMvBZ47&#10;AAAAOQAAABAAAAAAAAAAAQAgAAAACgEAAGRycy9zaGFwZXhtbC54bWxQSwUGAAAAAAYABgBbAQAA&#10;tAMAAAAA&#10;">
                        <v:fill on="f" focussize="0,0"/>
                        <v:stroke weight="1pt" color="#000000" joinstyle="round" dashstyle="dash" endarrow="block" endarrowwidth="wide" endarrowlength="long"/>
                        <v:imagedata o:title=""/>
                        <o:lock v:ext="edit" aspectratio="f"/>
                      </v:shape>
                      <v:shape id="_x0000_s1026" o:spid="_x0000_s1026" o:spt="32" type="#_x0000_t32" style="position:absolute;left:34198;top:32129;height:5041;width:5761;" filled="f" stroked="t" coordsize="21600,21600" o:gfxdata="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gnr0vQAA&#10;ANsAAAAPAAAAAAAAAAEAIAAAACIAAABkcnMvZG93bnJldi54bWxQSwECFAAUAAAACACHTuJAMy8F&#10;njsAAAA5AAAAEAAAAAAAAAABACAAAAAMAQAAZHJzL3NoYXBleG1sLnhtbFBLBQYAAAAABgAGAFsB&#10;AAC2AwAAAAA=&#10;">
                        <v:fill on="f" focussize="0,0"/>
                        <v:stroke weight="1pt" color="#000000" joinstyle="round" dashstyle="dash" endarrow="block" endarrowwidth="wide" endarrowlength="long"/>
                        <v:imagedata o:title=""/>
                        <o:lock v:ext="edit" aspectratio="f"/>
                      </v:shape>
                      <v:shape id="_x0000_s1026" o:spid="_x0000_s1026" o:spt="32" type="#_x0000_t32" style="position:absolute;left:34198;top:22048;flip:y;height:5041;width:7201;" filled="f" stroked="t" coordsize="21600,21600" o:gfxdata="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XuC+bsAAADb&#10;AAAADwAAAAAAAAABACAAAAAiAAAAZHJzL2Rvd25yZXYueG1sUEsBAhQAFAAAAAgAh07iQDMvBZ47&#10;AAAAOQAAABAAAAAAAAAAAQAgAAAACgEAAGRycy9zaGFwZXhtbC54bWxQSwUGAAAAAAYABgBbAQAA&#10;tAMAAAAA&#10;">
                        <v:fill on="f" focussize="0,0"/>
                        <v:stroke weight="1pt" color="#000000" joinstyle="round" dashstyle="dash" endarrow="block" endarrowwidth="wide" endarrowlength="long"/>
                        <v:imagedata o:title=""/>
                        <o:lock v:ext="edit" aspectratio="f"/>
                      </v:shape>
                      <v:shape id="_x0000_s1026" o:spid="_x0000_s1026" o:spt="32" type="#_x0000_t32" style="position:absolute;left:54360;top:32129;flip:x;height:5041;width:5041;" filled="f" stroked="t" coordsize="21600,21600" o:gfxdata="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jcnYr4A&#10;AADbAAAADwAAAAAAAAABACAAAAAiAAAAZHJzL2Rvd25yZXYueG1sUEsBAhQAFAAAAAgAh07iQDMv&#10;BZ47AAAAOQAAABAAAAAAAAAAAQAgAAAADQEAAGRycy9zaGFwZXhtbC54bWxQSwUGAAAAAAYABgBb&#10;AQAAtwMAAAAA&#10;">
                        <v:fill on="f" focussize="0,0"/>
                        <v:stroke weight="1pt" color="#000000" joinstyle="round" dashstyle="dash" endarrow="block" endarrowwidth="wide" endarrowlength="long"/>
                        <v:imagedata o:title=""/>
                        <o:lock v:ext="edit" aspectratio="f"/>
                      </v:shape>
                      <v:shape id="_x0000_s1026" o:spid="_x0000_s1026" o:spt="32" type="#_x0000_t32" style="position:absolute;left:53640;top:22048;flip:x y;height:5041;width:5761;" filled="f" stroked="t" coordsize="21600,21600" o:gfxdata="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aPeqvQAA&#10;ANsAAAAPAAAAAAAAAAEAIAAAACIAAABkcnMvZG93bnJldi54bWxQSwECFAAUAAAACACHTuJAMy8F&#10;njsAAAA5AAAAEAAAAAAAAAABACAAAAAMAQAAZHJzL3NoYXBleG1sLnhtbFBLBQYAAAAABgAGAFsB&#10;AAC2AwAAAAA=&#10;">
                        <v:fill on="f" focussize="0,0"/>
                        <v:stroke weight="1pt" color="#000000" joinstyle="round" dashstyle="dash" endarrow="block" endarrowwidth="wide" endarrowlength="long"/>
                        <v:imagedata o:title=""/>
                        <o:lock v:ext="edit" aspectratio="f"/>
                      </v:shape>
                      <v:shape id="_x0000_s1026" o:spid="_x0000_s1026" o:spt="32" type="#_x0000_t32" style="position:absolute;left:18356;top:19888;flip:y;height:7201;width:22323;" filled="f" stroked="t" coordsize="21600,21600" o:gfxdata="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akcjr4A&#10;AADbAAAADwAAAAAAAAABACAAAAAiAAAAZHJzL2Rvd25yZXYueG1sUEsBAhQAFAAAAAgAh07iQDMv&#10;BZ47AAAAOQAAABAAAAAAAAAAAQAgAAAADQEAAGRycy9zaGFwZXhtbC54bWxQSwUGAAAAAAYABgBb&#10;AQAAtwMAAAAA&#10;">
                        <v:fill on="f" focussize="0,0"/>
                        <v:stroke weight="1pt" color="#000000" joinstyle="round" dashstyle="dash" endarrow="block" endarrowwidth="wide" endarrowlength="long"/>
                        <v:imagedata o:title=""/>
                        <o:lock v:ext="edit" aspectratio="f"/>
                      </v:shape>
                      <v:shape id="_x0000_s1026" o:spid="_x0000_s1026" o:spt="32" type="#_x0000_t32" style="position:absolute;left:53069;top:19745;flip:x y;height:7200;width:22318;" filled="f" stroked="t" coordsize="21600,21600" o:gfxdata="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zcpFvQAA&#10;ANsAAAAPAAAAAAAAAAEAIAAAACIAAABkcnMvZG93bnJldi54bWxQSwECFAAUAAAACACHTuJAMy8F&#10;njsAAAA5AAAAEAAAAAAAAAABACAAAAAMAQAAZHJzL3NoYXBleG1sLnhtbFBLBQYAAAAABgAGAFsB&#10;AAC2AwAAAAA=&#10;">
                        <v:fill on="f" focussize="0,0"/>
                        <v:stroke weight="1pt" color="#000000" joinstyle="round" dashstyle="dash" endarrow="block" endarrowwidth="wide" endarrowlength="long"/>
                        <v:imagedata o:title=""/>
                        <o:lock v:ext="edit" aspectratio="f"/>
                      </v:shape>
                      <v:shape id="_x0000_s1026" o:spid="_x0000_s1026" o:spt="32" type="#_x0000_t32" style="position:absolute;left:54360;top:32129;flip:x;height:7921;width:21603;" filled="f" stroked="t" coordsize="21600,21600" o:gfxdata="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QwhYb4A&#10;AADbAAAADwAAAAAAAAABACAAAAAiAAAAZHJzL2Rvd25yZXYueG1sUEsBAhQAFAAAAAgAh07iQDMv&#10;BZ47AAAAOQAAABAAAAAAAAAAAQAgAAAADQEAAGRycy9zaGFwZXhtbC54bWxQSwUGAAAAAAYABgBb&#10;AQAAtwMAAAAA&#10;">
                        <v:fill on="f" focussize="0,0"/>
                        <v:stroke weight="1pt" color="#000000" joinstyle="round" dashstyle="dash" endarrow="block" endarrowwidth="wide" endarrowlength="long"/>
                        <v:imagedata o:title=""/>
                        <o:lock v:ext="edit" aspectratio="f"/>
                      </v:shape>
                      <w10:wrap type="none"/>
                      <w10:anchorlock/>
                    </v:group>
                  </w:pict>
                </mc:Fallback>
              </mc:AlternateContent>
            </w:r>
          </w:p>
          <w:p>
            <w:pPr>
              <w:pStyle w:val="49"/>
              <w:keepNext w:val="0"/>
              <w:keepLines w:val="0"/>
              <w:pageBreakBefore w:val="0"/>
              <w:widowControl w:val="0"/>
              <w:kinsoku/>
              <w:wordWrap/>
              <w:overflowPunct/>
              <w:topLinePunct w:val="0"/>
              <w:autoSpaceDE/>
              <w:autoSpaceDN/>
              <w:bidi w:val="0"/>
              <w:adjustRightInd/>
              <w:snapToGrid w:val="0"/>
              <w:spacing w:before="157" w:beforeLines="50"/>
              <w:textAlignment w:val="auto"/>
              <w:rPr>
                <w:rFonts w:cs="Times New Roman"/>
                <w:color w:val="auto"/>
              </w:rPr>
            </w:pPr>
            <w:r>
              <w:rPr>
                <w:rFonts w:cs="Times New Roman"/>
                <w:color w:val="auto"/>
              </w:rPr>
              <w:t>图</w:t>
            </w:r>
            <w:r>
              <w:rPr>
                <w:rFonts w:hint="eastAsia" w:cs="Times New Roman"/>
                <w:color w:val="auto"/>
              </w:rPr>
              <w:t>2-</w:t>
            </w:r>
            <w:r>
              <w:rPr>
                <w:rFonts w:hint="eastAsia" w:cs="Times New Roman"/>
                <w:color w:val="auto"/>
                <w:lang w:val="en-US" w:eastAsia="zh-CN"/>
              </w:rPr>
              <w:t>2</w:t>
            </w:r>
            <w:r>
              <w:rPr>
                <w:rFonts w:cs="Times New Roman"/>
                <w:color w:val="auto"/>
              </w:rPr>
              <w:t xml:space="preserve">  施工期工艺流程图</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firstLine="482" w:firstLineChars="200"/>
              <w:textAlignment w:val="auto"/>
              <w:rPr>
                <w:rFonts w:ascii="Times New Roman" w:hAnsi="Times New Roman" w:cs="Times New Roman"/>
                <w:b/>
                <w:bCs/>
                <w:sz w:val="24"/>
              </w:rPr>
            </w:pPr>
            <w:r>
              <w:rPr>
                <w:rFonts w:hint="eastAsia" w:ascii="Times New Roman" w:hAnsi="Times New Roman" w:cs="Times New Roman"/>
                <w:b/>
                <w:bCs/>
                <w:sz w:val="24"/>
                <w:lang w:val="en-US" w:eastAsia="zh-CN"/>
              </w:rPr>
              <w:t>2、</w:t>
            </w:r>
            <w:r>
              <w:rPr>
                <w:rFonts w:hint="eastAsia" w:ascii="Times New Roman" w:hAnsi="Times New Roman" w:cs="Times New Roman"/>
                <w:b/>
                <w:bCs/>
                <w:sz w:val="24"/>
              </w:rPr>
              <w:t>运营期</w:t>
            </w:r>
          </w:p>
          <w:p>
            <w:pPr>
              <w:adjustRightInd w:val="0"/>
              <w:snapToGrid w:val="0"/>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lang w:eastAsia="zh-CN"/>
              </w:rPr>
              <w:t>（</w:t>
            </w:r>
            <w:r>
              <w:rPr>
                <w:rFonts w:hint="default" w:ascii="Times New Roman" w:hAnsi="Times New Roman" w:cs="Times New Roman"/>
                <w:bCs/>
                <w:sz w:val="24"/>
                <w:lang w:val="en-US" w:eastAsia="zh-CN"/>
              </w:rPr>
              <w:t>1</w:t>
            </w:r>
            <w:r>
              <w:rPr>
                <w:rFonts w:hint="default" w:ascii="Times New Roman" w:hAnsi="Times New Roman" w:cs="Times New Roman"/>
                <w:bCs/>
                <w:sz w:val="24"/>
                <w:lang w:eastAsia="zh-CN"/>
              </w:rPr>
              <w:t>）</w:t>
            </w:r>
            <w:r>
              <w:rPr>
                <w:rFonts w:hint="default" w:ascii="Times New Roman" w:hAnsi="Times New Roman" w:cs="Times New Roman"/>
                <w:bCs/>
                <w:sz w:val="24"/>
              </w:rPr>
              <w:t>上煤系统工艺流程</w:t>
            </w:r>
          </w:p>
          <w:p>
            <w:pPr>
              <w:adjustRightInd w:val="0"/>
              <w:snapToGrid w:val="0"/>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燃料煤经汽车运至</w:t>
            </w:r>
            <w:r>
              <w:rPr>
                <w:rFonts w:hint="eastAsia" w:ascii="Times New Roman" w:hAnsi="Times New Roman" w:cs="Times New Roman"/>
                <w:bCs/>
                <w:sz w:val="24"/>
                <w:lang w:eastAsia="zh-CN"/>
              </w:rPr>
              <w:t>煤棚</w:t>
            </w:r>
            <w:r>
              <w:rPr>
                <w:rFonts w:hint="default" w:ascii="Times New Roman" w:hAnsi="Times New Roman" w:cs="Times New Roman"/>
                <w:bCs/>
                <w:sz w:val="24"/>
              </w:rPr>
              <w:t>，然后</w:t>
            </w:r>
            <w:r>
              <w:rPr>
                <w:rFonts w:hint="default" w:ascii="Times New Roman" w:hAnsi="Times New Roman" w:cs="Times New Roman"/>
                <w:bCs/>
                <w:sz w:val="24"/>
                <w:lang w:val="en-US" w:eastAsia="zh-CN"/>
              </w:rPr>
              <w:t>通过破碎机破碎</w:t>
            </w:r>
            <w:r>
              <w:rPr>
                <w:rFonts w:hint="default" w:ascii="Times New Roman" w:hAnsi="Times New Roman" w:cs="Times New Roman"/>
                <w:bCs/>
                <w:sz w:val="24"/>
              </w:rPr>
              <w:t>，经皮带输送机</w:t>
            </w:r>
            <w:r>
              <w:rPr>
                <w:rFonts w:hint="default" w:ascii="Times New Roman" w:hAnsi="Times New Roman" w:cs="Times New Roman"/>
                <w:bCs/>
                <w:sz w:val="24"/>
                <w:lang w:val="en-US" w:eastAsia="zh-CN"/>
              </w:rPr>
              <w:t>送至锅炉</w:t>
            </w:r>
            <w:r>
              <w:rPr>
                <w:rFonts w:hint="default" w:ascii="Times New Roman" w:hAnsi="Times New Roman" w:cs="Times New Roman"/>
                <w:bCs/>
                <w:sz w:val="24"/>
              </w:rPr>
              <w:t>。</w:t>
            </w:r>
          </w:p>
          <w:p>
            <w:pPr>
              <w:adjustRightInd w:val="0"/>
              <w:snapToGrid w:val="0"/>
              <w:spacing w:line="360" w:lineRule="auto"/>
              <w:ind w:firstLine="480" w:firstLineChars="200"/>
              <w:rPr>
                <w:rFonts w:hint="default" w:ascii="Times New Roman" w:hAnsi="Times New Roman" w:cs="Times New Roman"/>
                <w:bCs/>
                <w:sz w:val="24"/>
                <w:lang w:eastAsia="zh-CN"/>
              </w:rPr>
            </w:pPr>
            <w:r>
              <w:rPr>
                <w:rFonts w:hint="default" w:ascii="Times New Roman" w:hAnsi="Times New Roman" w:cs="Times New Roman"/>
                <w:bCs/>
                <w:sz w:val="24"/>
                <w:lang w:eastAsia="zh-CN"/>
              </w:rPr>
              <w:t>（</w:t>
            </w:r>
            <w:r>
              <w:rPr>
                <w:rFonts w:hint="default" w:ascii="Times New Roman" w:hAnsi="Times New Roman" w:cs="Times New Roman"/>
                <w:bCs/>
                <w:sz w:val="24"/>
                <w:lang w:val="en-US" w:eastAsia="zh-CN"/>
              </w:rPr>
              <w:t>2</w:t>
            </w:r>
            <w:r>
              <w:rPr>
                <w:rFonts w:hint="default" w:ascii="Times New Roman" w:hAnsi="Times New Roman" w:cs="Times New Roman"/>
                <w:bCs/>
                <w:sz w:val="24"/>
                <w:lang w:eastAsia="zh-CN"/>
              </w:rPr>
              <w:t>）</w:t>
            </w:r>
            <w:r>
              <w:rPr>
                <w:rFonts w:hint="default" w:ascii="Times New Roman" w:hAnsi="Times New Roman" w:cs="Times New Roman"/>
                <w:bCs/>
                <w:sz w:val="24"/>
                <w:lang w:val="en-US" w:eastAsia="zh-CN"/>
              </w:rPr>
              <w:t>锅炉给水</w:t>
            </w:r>
          </w:p>
          <w:p>
            <w:pPr>
              <w:adjustRightInd w:val="0"/>
              <w:snapToGrid w:val="0"/>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lang w:val="zh-CN"/>
              </w:rPr>
              <w:t>锅炉给水采用除氧水。锅炉20℃左右的冷软化水进入</w:t>
            </w:r>
            <w:r>
              <w:rPr>
                <w:rFonts w:hint="default" w:ascii="Times New Roman" w:hAnsi="Times New Roman" w:cs="Times New Roman"/>
                <w:bCs/>
                <w:sz w:val="24"/>
                <w:lang w:val="en-US" w:eastAsia="zh-CN"/>
              </w:rPr>
              <w:t>4</w:t>
            </w:r>
            <w:r>
              <w:rPr>
                <w:rFonts w:hint="default" w:ascii="Times New Roman" w:hAnsi="Times New Roman" w:cs="Times New Roman"/>
                <w:bCs/>
                <w:sz w:val="24"/>
                <w:lang w:val="zh-CN"/>
              </w:rPr>
              <w:t>0t/h</w:t>
            </w:r>
            <w:r>
              <w:rPr>
                <w:rFonts w:hint="default" w:ascii="Times New Roman" w:hAnsi="Times New Roman" w:cs="Times New Roman"/>
                <w:bCs/>
                <w:sz w:val="24"/>
                <w:lang w:val="zh-CN" w:eastAsia="zh-CN"/>
              </w:rPr>
              <w:t>高位热力除氧器</w:t>
            </w:r>
            <w:r>
              <w:rPr>
                <w:rFonts w:hint="default" w:ascii="Times New Roman" w:hAnsi="Times New Roman" w:cs="Times New Roman"/>
                <w:bCs/>
                <w:sz w:val="24"/>
                <w:lang w:val="zh-CN"/>
              </w:rPr>
              <w:t>。除氧器附带2</w:t>
            </w:r>
            <w:r>
              <w:rPr>
                <w:rFonts w:hint="default" w:ascii="Times New Roman" w:hAnsi="Times New Roman" w:cs="Times New Roman"/>
                <w:bCs/>
                <w:sz w:val="24"/>
                <w:lang w:val="en-US" w:eastAsia="zh-CN"/>
              </w:rPr>
              <w:t>0</w:t>
            </w:r>
            <w:r>
              <w:rPr>
                <w:rFonts w:hint="default" w:ascii="Times New Roman" w:hAnsi="Times New Roman" w:cs="Times New Roman"/>
                <w:bCs/>
                <w:sz w:val="24"/>
                <w:lang w:val="zh-CN"/>
              </w:rPr>
              <w:t>m</w:t>
            </w:r>
            <w:r>
              <w:rPr>
                <w:rFonts w:hint="default" w:ascii="Times New Roman" w:hAnsi="Times New Roman" w:cs="Times New Roman"/>
                <w:bCs/>
                <w:sz w:val="24"/>
                <w:vertAlign w:val="superscript"/>
                <w:lang w:val="zh-CN"/>
              </w:rPr>
              <w:t>3</w:t>
            </w:r>
            <w:r>
              <w:rPr>
                <w:rFonts w:hint="default" w:ascii="Times New Roman" w:hAnsi="Times New Roman" w:cs="Times New Roman"/>
                <w:bCs/>
                <w:sz w:val="24"/>
                <w:lang w:val="zh-CN"/>
              </w:rPr>
              <w:t>除氧水箱（满足30分钟锅炉给水量），满足蒸汽热力站设计规范。软化水接入除氧器前的管道上装有调节阀，以调节除氧器水位。除氧水进入除氧水箱，经锅炉给水泵打入锅炉省煤器。本工程设1台定期排污扩容器，锅炉定期排污管接入定期排污扩容器。设1台连续排污扩容器，连续排污扩容器闪蒸的二次蒸汽接入除氧器。</w:t>
            </w:r>
          </w:p>
          <w:p>
            <w:pPr>
              <w:adjustRightInd w:val="0"/>
              <w:snapToGrid w:val="0"/>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lang w:eastAsia="zh-CN"/>
              </w:rPr>
              <w:t>（</w:t>
            </w:r>
            <w:r>
              <w:rPr>
                <w:rFonts w:hint="default" w:ascii="Times New Roman" w:hAnsi="Times New Roman" w:cs="Times New Roman"/>
                <w:bCs/>
                <w:sz w:val="24"/>
                <w:lang w:val="en-US" w:eastAsia="zh-CN"/>
              </w:rPr>
              <w:t>3</w:t>
            </w:r>
            <w:r>
              <w:rPr>
                <w:rFonts w:hint="default" w:ascii="Times New Roman" w:hAnsi="Times New Roman" w:cs="Times New Roman"/>
                <w:bCs/>
                <w:sz w:val="24"/>
                <w:lang w:eastAsia="zh-CN"/>
              </w:rPr>
              <w:t>）</w:t>
            </w:r>
            <w:r>
              <w:rPr>
                <w:rFonts w:hint="default" w:ascii="Times New Roman" w:hAnsi="Times New Roman" w:cs="Times New Roman"/>
                <w:bCs/>
                <w:sz w:val="24"/>
              </w:rPr>
              <w:t>水处理工艺</w:t>
            </w:r>
          </w:p>
          <w:p>
            <w:pPr>
              <w:adjustRightInd w:val="0"/>
              <w:snapToGrid w:val="0"/>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采用软化除氧水，供水由</w:t>
            </w:r>
            <w:r>
              <w:rPr>
                <w:rFonts w:hint="default" w:ascii="Times New Roman" w:hAnsi="Times New Roman" w:cs="Times New Roman"/>
                <w:bCs/>
                <w:sz w:val="24"/>
                <w:lang w:val="en-US" w:eastAsia="zh-CN"/>
              </w:rPr>
              <w:t>单级反渗透水处理</w:t>
            </w:r>
            <w:r>
              <w:rPr>
                <w:rFonts w:hint="default" w:ascii="Times New Roman" w:hAnsi="Times New Roman" w:cs="Times New Roman"/>
                <w:bCs/>
                <w:sz w:val="24"/>
              </w:rPr>
              <w:t>，经过处理后的补水水质满足锅炉进水的要求。</w:t>
            </w:r>
          </w:p>
          <w:p>
            <w:pPr>
              <w:adjustRightInd w:val="0"/>
              <w:snapToGrid w:val="0"/>
              <w:spacing w:line="360" w:lineRule="auto"/>
              <w:ind w:firstLine="480" w:firstLineChars="200"/>
              <w:rPr>
                <w:rFonts w:hint="default" w:ascii="Times New Roman" w:hAnsi="Times New Roman" w:cs="Times New Roman"/>
                <w:bCs/>
                <w:sz w:val="24"/>
                <w:lang w:eastAsia="zh-CN"/>
              </w:rPr>
            </w:pPr>
            <w:r>
              <w:rPr>
                <w:rFonts w:hint="default" w:ascii="Times New Roman" w:hAnsi="Times New Roman" w:cs="Times New Roman"/>
                <w:bCs/>
                <w:sz w:val="24"/>
                <w:lang w:eastAsia="zh-CN"/>
              </w:rPr>
              <w:t>（</w:t>
            </w:r>
            <w:r>
              <w:rPr>
                <w:rFonts w:hint="default" w:ascii="Times New Roman" w:hAnsi="Times New Roman" w:cs="Times New Roman"/>
                <w:bCs/>
                <w:sz w:val="24"/>
                <w:lang w:val="en-US" w:eastAsia="zh-CN"/>
              </w:rPr>
              <w:t>4</w:t>
            </w:r>
            <w:r>
              <w:rPr>
                <w:rFonts w:hint="default" w:ascii="Times New Roman" w:hAnsi="Times New Roman" w:cs="Times New Roman"/>
                <w:bCs/>
                <w:sz w:val="24"/>
                <w:lang w:eastAsia="zh-CN"/>
              </w:rPr>
              <w:t>）</w:t>
            </w:r>
            <w:r>
              <w:rPr>
                <w:rFonts w:hint="default" w:ascii="Times New Roman" w:hAnsi="Times New Roman" w:cs="Times New Roman"/>
                <w:bCs/>
                <w:sz w:val="24"/>
                <w:lang w:val="en-US" w:eastAsia="zh-CN"/>
              </w:rPr>
              <w:t>烟气处理工序</w:t>
            </w:r>
          </w:p>
          <w:p>
            <w:pPr>
              <w:adjustRightInd w:val="0"/>
              <w:snapToGrid w:val="0"/>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燃料燃烧所产生的高温烟气以辐射放热的方式向燃烧室四周的水冷壁放热，然后经过防渣管道进入烟道，对流烟道中布置对流管束等受热面，烟气在上部烟道中冲刷对流管束，放出热量后进入尾部烟道，尾部烟道布置省煤器和空气预热器等对流受热面，烟气流经过省煤器和空气预热器后，经布袋除尘器、脱硫、脱硝系统、引风机和烟囱排入大气。</w:t>
            </w:r>
          </w:p>
          <w:p>
            <w:pPr>
              <w:adjustRightInd w:val="0"/>
              <w:snapToGrid w:val="0"/>
              <w:spacing w:line="360" w:lineRule="auto"/>
              <w:ind w:firstLine="480" w:firstLineChars="200"/>
              <w:rPr>
                <w:rFonts w:hint="eastAsia" w:ascii="Times New Roman" w:hAnsi="Times New Roman" w:cs="Times New Roman"/>
                <w:bCs/>
                <w:sz w:val="24"/>
                <w:lang w:eastAsia="zh-CN"/>
              </w:rPr>
            </w:pPr>
            <w:r>
              <w:rPr>
                <w:rFonts w:hint="default" w:ascii="Times New Roman" w:hAnsi="Times New Roman" w:cs="Times New Roman"/>
                <w:bCs/>
                <w:sz w:val="24"/>
              </w:rPr>
              <w:t>鼓风机将由室外消声竖井吸入的室外空气送入锅炉进风口，烟气经尾部受热面降温至150℃左右进入脱硝系统（采用</w:t>
            </w:r>
            <w:r>
              <w:rPr>
                <w:rFonts w:hint="default" w:ascii="Times New Roman" w:hAnsi="Times New Roman" w:cs="Times New Roman"/>
                <w:bCs/>
                <w:sz w:val="24"/>
                <w:lang w:val="en-US" w:eastAsia="zh-CN"/>
              </w:rPr>
              <w:t>PN</w:t>
            </w:r>
            <w:r>
              <w:rPr>
                <w:rFonts w:hint="default" w:ascii="Times New Roman" w:hAnsi="Times New Roman" w:cs="Times New Roman"/>
                <w:bCs/>
                <w:sz w:val="24"/>
              </w:rPr>
              <w:t>CR脱硝）、布袋除尘器，再由引风机送入脱硫塔（湿法脱硫塔脱硫的烟气处理工艺），后经烟道送至烟囱排入大气进一步稀释</w:t>
            </w:r>
            <w:r>
              <w:rPr>
                <w:rFonts w:hint="eastAsia" w:ascii="Times New Roman" w:hAnsi="Times New Roman" w:cs="Times New Roman"/>
                <w:bCs/>
                <w:sz w:val="24"/>
                <w:lang w:eastAsia="zh-CN"/>
              </w:rPr>
              <w:t>。</w:t>
            </w:r>
          </w:p>
          <w:p>
            <w:pPr>
              <w:adjustRightInd w:val="0"/>
              <w:snapToGrid w:val="0"/>
              <w:spacing w:line="360" w:lineRule="auto"/>
              <w:ind w:firstLine="480" w:firstLineChars="200"/>
              <w:rPr>
                <w:rFonts w:hint="default" w:ascii="Times New Roman" w:hAnsi="Times New Roman" w:cs="Times New Roman"/>
                <w:bCs/>
                <w:sz w:val="24"/>
              </w:rPr>
            </w:pPr>
            <w:r>
              <w:rPr>
                <w:rFonts w:hint="eastAsia" w:ascii="Times New Roman" w:hAnsi="Times New Roman" w:cs="Times New Roman"/>
                <w:bCs/>
                <w:sz w:val="24"/>
                <w:lang w:eastAsia="zh-CN"/>
              </w:rPr>
              <w:t>生产工艺流程及产排污节点图</w:t>
            </w:r>
            <w:r>
              <w:rPr>
                <w:rFonts w:hint="default" w:ascii="Times New Roman" w:hAnsi="Times New Roman" w:cs="Times New Roman"/>
                <w:bCs/>
                <w:sz w:val="24"/>
              </w:rPr>
              <w:t>如下：</w:t>
            </w:r>
          </w:p>
          <w:p>
            <w:pPr>
              <w:pStyle w:val="30"/>
              <w:keepNext w:val="0"/>
              <w:keepLines w:val="0"/>
              <w:pageBreakBefore w:val="0"/>
              <w:widowControl w:val="0"/>
              <w:kinsoku/>
              <w:wordWrap/>
              <w:overflowPunct/>
              <w:topLinePunct w:val="0"/>
              <w:autoSpaceDE/>
              <w:autoSpaceDN/>
              <w:bidi w:val="0"/>
              <w:adjustRightInd w:val="0"/>
              <w:snapToGrid/>
              <w:spacing w:line="360" w:lineRule="auto"/>
              <w:ind w:left="0" w:leftChars="0"/>
              <w:textAlignment w:val="auto"/>
              <w:rPr>
                <w:color w:val="FF0000"/>
              </w:rPr>
            </w:pPr>
            <w:r>
              <w:rPr>
                <w:color w:val="FF0000"/>
              </w:rPr>
              <w:object>
                <v:shape id="_x0000_i1026" o:spt="75" type="#_x0000_t75" style="height:303.95pt;width:398.1pt;" o:ole="t" filled="f" o:preferrelative="t" stroked="f" coordsize="21600,21600">
                  <v:path/>
                  <v:fill on="f" focussize="0,0"/>
                  <v:stroke on="f"/>
                  <v:imagedata r:id="rId14" o:title=""/>
                  <o:lock v:ext="edit" aspectratio="f"/>
                  <w10:wrap type="none"/>
                  <w10:anchorlock/>
                </v:shape>
                <o:OLEObject Type="Embed" ProgID="Visio.Drawing.11" ShapeID="_x0000_i1026" DrawAspect="Content" ObjectID="_1468075726" r:id="rId13">
                  <o:LockedField>false</o:LockedField>
                </o:OLEObject>
              </w:object>
            </w:r>
          </w:p>
          <w:p>
            <w:pPr>
              <w:adjustRightInd w:val="0"/>
              <w:snapToGrid w:val="0"/>
              <w:spacing w:before="156" w:beforeLines="50" w:line="360" w:lineRule="auto"/>
              <w:jc w:val="center"/>
              <w:rPr>
                <w:b/>
                <w:bCs/>
                <w:color w:val="000000" w:themeColor="text1"/>
                <w14:textFill>
                  <w14:solidFill>
                    <w14:schemeClr w14:val="tx1"/>
                  </w14:solidFill>
                </w14:textFill>
              </w:rPr>
            </w:pPr>
            <w:r>
              <w:rPr>
                <w:rFonts w:ascii="Times New Roman" w:hAnsi="Times New Roman"/>
                <w:b/>
                <w:bCs/>
                <w:snapToGrid w:val="0"/>
                <w:color w:val="000000" w:themeColor="text1"/>
                <w:szCs w:val="21"/>
                <w14:textFill>
                  <w14:solidFill>
                    <w14:schemeClr w14:val="tx1"/>
                  </w14:solidFill>
                </w14:textFill>
              </w:rPr>
              <w:t>图</w:t>
            </w:r>
            <w:r>
              <w:rPr>
                <w:rFonts w:ascii="Times New Roman" w:hAnsi="Times New Roman" w:cs="Times New Roman"/>
                <w:b/>
                <w:bCs/>
                <w:snapToGrid w:val="0"/>
                <w:color w:val="000000" w:themeColor="text1"/>
                <w:szCs w:val="21"/>
                <w14:textFill>
                  <w14:solidFill>
                    <w14:schemeClr w14:val="tx1"/>
                  </w14:solidFill>
                </w14:textFill>
              </w:rPr>
              <w:t>2-</w:t>
            </w:r>
            <w:r>
              <w:rPr>
                <w:rFonts w:hint="eastAsia" w:ascii="Times New Roman" w:hAnsi="Times New Roman" w:cs="Times New Roman"/>
                <w:b/>
                <w:bCs/>
                <w:snapToGrid w:val="0"/>
                <w:color w:val="000000" w:themeColor="text1"/>
                <w:szCs w:val="21"/>
                <w:lang w:val="en-US" w:eastAsia="zh-CN"/>
                <w14:textFill>
                  <w14:solidFill>
                    <w14:schemeClr w14:val="tx1"/>
                  </w14:solidFill>
                </w14:textFill>
              </w:rPr>
              <w:t>3</w:t>
            </w:r>
            <w:r>
              <w:rPr>
                <w:color w:val="000000" w:themeColor="text1"/>
                <w14:textFill>
                  <w14:solidFill>
                    <w14:schemeClr w14:val="tx1"/>
                  </w14:solidFill>
                </w14:textFill>
              </w:rPr>
              <w:t xml:space="preserve">  </w:t>
            </w:r>
            <w:r>
              <w:rPr>
                <w:rFonts w:hint="eastAsia"/>
                <w:b/>
                <w:bCs/>
                <w:color w:val="000000" w:themeColor="text1"/>
                <w14:textFill>
                  <w14:solidFill>
                    <w14:schemeClr w14:val="tx1"/>
                  </w14:solidFill>
                </w14:textFill>
              </w:rPr>
              <w:t>生产</w:t>
            </w:r>
            <w:r>
              <w:rPr>
                <w:b/>
                <w:bCs/>
                <w:color w:val="000000" w:themeColor="text1"/>
                <w14:textFill>
                  <w14:solidFill>
                    <w14:schemeClr w14:val="tx1"/>
                  </w14:solidFill>
                </w14:textFill>
              </w:rPr>
              <w:t>工艺流程</w:t>
            </w:r>
            <w:r>
              <w:rPr>
                <w:rFonts w:hint="eastAsia"/>
                <w:b/>
                <w:bCs/>
                <w:color w:val="000000" w:themeColor="text1"/>
                <w14:textFill>
                  <w14:solidFill>
                    <w14:schemeClr w14:val="tx1"/>
                  </w14:solidFill>
                </w14:textFill>
              </w:rPr>
              <w:t>及产排污节点</w:t>
            </w:r>
            <w:r>
              <w:rPr>
                <w:b/>
                <w:bCs/>
                <w:color w:val="000000" w:themeColor="text1"/>
                <w14:textFill>
                  <w14:solidFill>
                    <w14:schemeClr w14:val="tx1"/>
                  </w14:solidFill>
                </w14:textFill>
              </w:rPr>
              <w:t>图</w:t>
            </w:r>
          </w:p>
          <w:p>
            <w:pPr>
              <w:pStyle w:val="49"/>
              <w:adjustRightInd w:val="0"/>
              <w:snapToGrid w:val="0"/>
              <w:rPr>
                <w:rFonts w:cs="Times New Roman"/>
              </w:rPr>
            </w:pPr>
            <w:r>
              <w:rPr>
                <w:rFonts w:cs="Times New Roman"/>
              </w:rPr>
              <w:t>表</w:t>
            </w:r>
            <w:r>
              <w:rPr>
                <w:rFonts w:hint="eastAsia" w:cs="Times New Roman"/>
              </w:rPr>
              <w:t>2-</w:t>
            </w:r>
            <w:r>
              <w:rPr>
                <w:rFonts w:hint="eastAsia" w:cs="Times New Roman"/>
                <w:lang w:val="en-US" w:eastAsia="zh-CN"/>
              </w:rPr>
              <w:t>7</w:t>
            </w:r>
            <w:r>
              <w:rPr>
                <w:rFonts w:cs="Times New Roman"/>
              </w:rPr>
              <w:t xml:space="preserve">  主要排污节点一览表</w:t>
            </w:r>
          </w:p>
          <w:tbl>
            <w:tblPr>
              <w:tblStyle w:val="24"/>
              <w:tblW w:w="83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056"/>
              <w:gridCol w:w="643"/>
              <w:gridCol w:w="1417"/>
              <w:gridCol w:w="1261"/>
              <w:gridCol w:w="1334"/>
              <w:gridCol w:w="700"/>
              <w:gridCol w:w="1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56"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类别</w:t>
                  </w:r>
                </w:p>
              </w:tc>
              <w:tc>
                <w:tcPr>
                  <w:tcW w:w="643"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1417"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排污节点</w:t>
                  </w:r>
                </w:p>
              </w:tc>
              <w:tc>
                <w:tcPr>
                  <w:tcW w:w="1261"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w:t>
                  </w:r>
                </w:p>
              </w:tc>
              <w:tc>
                <w:tcPr>
                  <w:tcW w:w="1334"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lang w:val="en-US" w:eastAsia="zh-CN"/>
                    </w:rPr>
                    <w:t>污染因子</w:t>
                  </w:r>
                </w:p>
              </w:tc>
              <w:tc>
                <w:tcPr>
                  <w:tcW w:w="700"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产生特征</w:t>
                  </w:r>
                </w:p>
              </w:tc>
              <w:tc>
                <w:tcPr>
                  <w:tcW w:w="1982"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56" w:type="dxa"/>
                  <w:vMerge w:val="restart"/>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废气</w:t>
                  </w:r>
                </w:p>
              </w:tc>
              <w:tc>
                <w:tcPr>
                  <w:tcW w:w="643"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G1</w:t>
                  </w:r>
                </w:p>
              </w:tc>
              <w:tc>
                <w:tcPr>
                  <w:tcW w:w="1417"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val="en-US" w:eastAsia="zh-CN"/>
                    </w:rPr>
                    <w:t>破碎机</w:t>
                  </w:r>
                </w:p>
              </w:tc>
              <w:tc>
                <w:tcPr>
                  <w:tcW w:w="1261"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rPr>
                    <w:t>粉尘</w:t>
                  </w:r>
                </w:p>
              </w:tc>
              <w:tc>
                <w:tcPr>
                  <w:tcW w:w="1334"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颗粒物</w:t>
                  </w:r>
                </w:p>
              </w:tc>
              <w:tc>
                <w:tcPr>
                  <w:tcW w:w="700"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lang w:val="en-US" w:eastAsia="zh-CN"/>
                    </w:rPr>
                    <w:t>间断</w:t>
                  </w:r>
                </w:p>
              </w:tc>
              <w:tc>
                <w:tcPr>
                  <w:tcW w:w="1982"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脉冲布袋除尘器+15m高的排气筒排放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056" w:type="dxa"/>
                  <w:vMerge w:val="continue"/>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p>
              </w:tc>
              <w:tc>
                <w:tcPr>
                  <w:tcW w:w="643"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G</w:t>
                  </w:r>
                  <w:r>
                    <w:rPr>
                      <w:rFonts w:hint="eastAsia" w:ascii="Times New Roman" w:hAnsi="Times New Roman" w:eastAsia="宋体" w:cs="Times New Roman"/>
                      <w:bCs/>
                      <w:color w:val="auto"/>
                      <w:sz w:val="21"/>
                      <w:szCs w:val="21"/>
                      <w:lang w:val="en-US" w:eastAsia="zh-CN"/>
                    </w:rPr>
                    <w:t>2</w:t>
                  </w:r>
                </w:p>
              </w:tc>
              <w:tc>
                <w:tcPr>
                  <w:tcW w:w="1417"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排气筒</w:t>
                  </w:r>
                </w:p>
              </w:tc>
              <w:tc>
                <w:tcPr>
                  <w:tcW w:w="1261"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锅炉废气</w:t>
                  </w:r>
                </w:p>
              </w:tc>
              <w:tc>
                <w:tcPr>
                  <w:tcW w:w="1334"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rPr>
                    <w:t>SO</w:t>
                  </w:r>
                  <w:r>
                    <w:rPr>
                      <w:rFonts w:hint="default" w:ascii="Times New Roman" w:hAnsi="Times New Roman" w:eastAsia="宋体" w:cs="Times New Roman"/>
                      <w:bCs/>
                      <w:color w:val="auto"/>
                      <w:sz w:val="21"/>
                      <w:szCs w:val="21"/>
                      <w:vertAlign w:val="subscript"/>
                    </w:rPr>
                    <w:t>2</w:t>
                  </w:r>
                  <w:r>
                    <w:rPr>
                      <w:rFonts w:hint="default" w:ascii="Times New Roman" w:hAnsi="Times New Roman" w:eastAsia="宋体" w:cs="Times New Roman"/>
                      <w:bCs/>
                      <w:color w:val="auto"/>
                      <w:sz w:val="21"/>
                      <w:szCs w:val="21"/>
                    </w:rPr>
                    <w:t>、NO</w:t>
                  </w:r>
                  <w:r>
                    <w:rPr>
                      <w:rFonts w:hint="default" w:ascii="Times New Roman" w:hAnsi="Times New Roman" w:eastAsia="宋体" w:cs="Times New Roman"/>
                      <w:bCs/>
                      <w:color w:val="auto"/>
                      <w:sz w:val="21"/>
                      <w:szCs w:val="21"/>
                      <w:vertAlign w:val="subscript"/>
                    </w:rPr>
                    <w:t>X</w:t>
                  </w:r>
                  <w:r>
                    <w:rPr>
                      <w:rFonts w:hint="default" w:ascii="Times New Roman" w:hAnsi="Times New Roman" w:eastAsia="宋体" w:cs="Times New Roman"/>
                      <w:bCs/>
                      <w:color w:val="auto"/>
                      <w:sz w:val="21"/>
                      <w:szCs w:val="21"/>
                    </w:rPr>
                    <w:t>、烟尘</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lang w:val="en-US" w:eastAsia="zh-CN"/>
                    </w:rPr>
                    <w:t>汞及其化合物（以Hg计）</w:t>
                  </w:r>
                </w:p>
              </w:tc>
              <w:tc>
                <w:tcPr>
                  <w:tcW w:w="700"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连续</w:t>
                  </w:r>
                </w:p>
              </w:tc>
              <w:tc>
                <w:tcPr>
                  <w:tcW w:w="1982"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布袋除尘器+脱硫塔+PNCR高分子炉内脱硝</w:t>
                  </w:r>
                  <w:r>
                    <w:rPr>
                      <w:rFonts w:hint="default" w:ascii="Times New Roman" w:hAnsi="Times New Roman" w:eastAsia="宋体" w:cs="Times New Roman"/>
                      <w:bCs/>
                      <w:color w:val="auto"/>
                      <w:sz w:val="21"/>
                      <w:szCs w:val="21"/>
                      <w:lang w:val="en-US" w:eastAsia="zh-CN"/>
                    </w:rPr>
                    <w:t>+</w:t>
                  </w:r>
                  <w:r>
                    <w:rPr>
                      <w:rFonts w:hint="eastAsia" w:ascii="Times New Roman" w:hAnsi="Times New Roman" w:eastAsia="宋体" w:cs="Times New Roman"/>
                      <w:bCs/>
                      <w:color w:val="auto"/>
                      <w:sz w:val="21"/>
                      <w:szCs w:val="21"/>
                      <w:lang w:val="en-US" w:eastAsia="zh-CN"/>
                    </w:rPr>
                    <w:t>4</w:t>
                  </w:r>
                  <w:r>
                    <w:rPr>
                      <w:rFonts w:hint="default" w:ascii="Times New Roman" w:hAnsi="Times New Roman" w:eastAsia="宋体" w:cs="Times New Roman"/>
                      <w:bCs/>
                      <w:color w:val="auto"/>
                      <w:sz w:val="21"/>
                      <w:szCs w:val="21"/>
                      <w:lang w:val="en-US" w:eastAsia="zh-CN"/>
                    </w:rPr>
                    <w:t>5m高的排气筒排放</w:t>
                  </w:r>
                  <w:r>
                    <w:rPr>
                      <w:rFonts w:hint="eastAsia" w:ascii="Times New Roman" w:hAnsi="Times New Roman" w:eastAsia="宋体" w:cs="Times New Roman"/>
                      <w:bCs/>
                      <w:color w:val="auto"/>
                      <w:sz w:val="21"/>
                      <w:szCs w:val="21"/>
                      <w:lang w:val="en-US" w:eastAsia="zh-CN"/>
                    </w:rPr>
                    <w:t>，</w:t>
                  </w:r>
                  <w:r>
                    <w:rPr>
                      <w:rFonts w:hint="eastAsia" w:ascii="Times New Roman" w:hAnsi="Times New Roman" w:cs="Times New Roman"/>
                      <w:color w:val="auto"/>
                      <w:sz w:val="21"/>
                      <w:szCs w:val="21"/>
                      <w:lang w:val="en-US" w:eastAsia="zh-CN"/>
                    </w:rPr>
                    <w:t>并增加烟气自动在线监测设备。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56" w:type="dxa"/>
                  <w:vMerge w:val="continue"/>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p>
              </w:tc>
              <w:tc>
                <w:tcPr>
                  <w:tcW w:w="643"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G</w:t>
                  </w:r>
                  <w:r>
                    <w:rPr>
                      <w:rFonts w:hint="eastAsia" w:ascii="Times New Roman" w:hAnsi="Times New Roman" w:eastAsia="宋体" w:cs="Times New Roman"/>
                      <w:bCs/>
                      <w:color w:val="auto"/>
                      <w:sz w:val="21"/>
                      <w:szCs w:val="21"/>
                      <w:lang w:val="en-US" w:eastAsia="zh-CN"/>
                    </w:rPr>
                    <w:t>3</w:t>
                  </w:r>
                </w:p>
              </w:tc>
              <w:tc>
                <w:tcPr>
                  <w:tcW w:w="1417"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除尘灰灰仓</w:t>
                  </w:r>
                </w:p>
              </w:tc>
              <w:tc>
                <w:tcPr>
                  <w:tcW w:w="1261"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eastAsia="zh-CN"/>
                    </w:rPr>
                    <w:t>除尘灰</w:t>
                  </w:r>
                </w:p>
              </w:tc>
              <w:tc>
                <w:tcPr>
                  <w:tcW w:w="1334"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val="en-US" w:eastAsia="zh-CN"/>
                    </w:rPr>
                    <w:t>颗粒物</w:t>
                  </w:r>
                </w:p>
              </w:tc>
              <w:tc>
                <w:tcPr>
                  <w:tcW w:w="700"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color w:val="auto"/>
                      <w:sz w:val="21"/>
                      <w:szCs w:val="21"/>
                      <w:lang w:val="en-US" w:eastAsia="zh-CN"/>
                    </w:rPr>
                    <w:t>间断</w:t>
                  </w:r>
                </w:p>
              </w:tc>
              <w:tc>
                <w:tcPr>
                  <w:tcW w:w="1982"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锅炉除尘灰由灰仓仓顶自带低压脉冲袋式除尘器+15m高的排气筒排放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56" w:type="dxa"/>
                  <w:vMerge w:val="continue"/>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p>
              </w:tc>
              <w:tc>
                <w:tcPr>
                  <w:tcW w:w="643"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G</w:t>
                  </w:r>
                  <w:r>
                    <w:rPr>
                      <w:rFonts w:hint="eastAsia" w:ascii="Times New Roman" w:hAnsi="Times New Roman" w:eastAsia="宋体" w:cs="Times New Roman"/>
                      <w:bCs/>
                      <w:color w:val="auto"/>
                      <w:sz w:val="21"/>
                      <w:szCs w:val="21"/>
                      <w:lang w:val="en-US" w:eastAsia="zh-CN"/>
                    </w:rPr>
                    <w:t>4</w:t>
                  </w:r>
                </w:p>
              </w:tc>
              <w:tc>
                <w:tcPr>
                  <w:tcW w:w="1417"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运输车辆</w:t>
                  </w:r>
                </w:p>
              </w:tc>
              <w:tc>
                <w:tcPr>
                  <w:tcW w:w="1261"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扬尘</w:t>
                  </w:r>
                </w:p>
              </w:tc>
              <w:tc>
                <w:tcPr>
                  <w:tcW w:w="1334"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颗粒物</w:t>
                  </w:r>
                </w:p>
              </w:tc>
              <w:tc>
                <w:tcPr>
                  <w:tcW w:w="700"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间断</w:t>
                  </w:r>
                </w:p>
              </w:tc>
              <w:tc>
                <w:tcPr>
                  <w:tcW w:w="1982"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道路硬化，洒水降尘，减速慢行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56" w:type="dxa"/>
                  <w:vMerge w:val="restart"/>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噪声</w:t>
                  </w:r>
                </w:p>
              </w:tc>
              <w:tc>
                <w:tcPr>
                  <w:tcW w:w="643"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rPr>
                    <w:t>N</w:t>
                  </w:r>
                  <w:r>
                    <w:rPr>
                      <w:rFonts w:hint="default" w:ascii="Times New Roman" w:hAnsi="Times New Roman" w:eastAsia="宋体" w:cs="Times New Roman"/>
                      <w:bCs/>
                      <w:color w:val="auto"/>
                      <w:sz w:val="21"/>
                      <w:szCs w:val="21"/>
                      <w:lang w:val="en-US" w:eastAsia="zh-CN"/>
                    </w:rPr>
                    <w:t>1-N</w:t>
                  </w:r>
                  <w:r>
                    <w:rPr>
                      <w:rFonts w:hint="eastAsia" w:ascii="Times New Roman" w:hAnsi="Times New Roman" w:eastAsia="宋体" w:cs="Times New Roman"/>
                      <w:bCs/>
                      <w:color w:val="auto"/>
                      <w:sz w:val="21"/>
                      <w:szCs w:val="21"/>
                      <w:lang w:val="en-US" w:eastAsia="zh-CN"/>
                    </w:rPr>
                    <w:t>7</w:t>
                  </w:r>
                </w:p>
              </w:tc>
              <w:tc>
                <w:tcPr>
                  <w:tcW w:w="1417"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lang w:val="en-US" w:eastAsia="zh-CN"/>
                    </w:rPr>
                    <w:t>生产设备</w:t>
                  </w:r>
                </w:p>
              </w:tc>
              <w:tc>
                <w:tcPr>
                  <w:tcW w:w="1261"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lang w:val="en-US" w:eastAsia="zh-CN"/>
                    </w:rPr>
                    <w:t>设备噪声</w:t>
                  </w:r>
                </w:p>
              </w:tc>
              <w:tc>
                <w:tcPr>
                  <w:tcW w:w="1334" w:type="dxa"/>
                  <w:noWrap/>
                  <w:vAlign w:val="center"/>
                </w:tcPr>
                <w:p>
                  <w:pPr>
                    <w:pStyle w:val="53"/>
                    <w:keepNext w:val="0"/>
                    <w:keepLines w:val="0"/>
                    <w:pageBreakBefore w:val="0"/>
                    <w:widowControl w:val="0"/>
                    <w:kinsoku/>
                    <w:wordWrap/>
                    <w:overflowPunct/>
                    <w:topLinePunct w:val="0"/>
                    <w:autoSpaceDE/>
                    <w:autoSpaceDN/>
                    <w:bidi w:val="0"/>
                    <w:snapToGrid w:val="0"/>
                    <w:spacing w:line="240" w:lineRule="auto"/>
                    <w:ind w:firstLine="0" w:firstLineChars="0"/>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lang w:val="en-US" w:eastAsia="zh-CN"/>
                    </w:rPr>
                    <w:t>Leq(A)</w:t>
                  </w:r>
                </w:p>
              </w:tc>
              <w:tc>
                <w:tcPr>
                  <w:tcW w:w="700" w:type="dxa"/>
                  <w:noWrap/>
                  <w:vAlign w:val="center"/>
                </w:tcPr>
                <w:p>
                  <w:pPr>
                    <w:pStyle w:val="53"/>
                    <w:keepNext w:val="0"/>
                    <w:keepLines w:val="0"/>
                    <w:pageBreakBefore w:val="0"/>
                    <w:widowControl w:val="0"/>
                    <w:kinsoku/>
                    <w:wordWrap/>
                    <w:overflowPunct/>
                    <w:topLinePunct w:val="0"/>
                    <w:autoSpaceDE/>
                    <w:autoSpaceDN/>
                    <w:bidi w:val="0"/>
                    <w:snapToGrid w:val="0"/>
                    <w:spacing w:line="240" w:lineRule="auto"/>
                    <w:ind w:firstLine="0" w:firstLineChars="0"/>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eastAsia="zh-CN"/>
                    </w:rPr>
                    <w:t>间断</w:t>
                  </w:r>
                </w:p>
              </w:tc>
              <w:tc>
                <w:tcPr>
                  <w:tcW w:w="1982"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rPr>
                    <w:t>位于封闭的设备间内，选用低噪声设备</w:t>
                  </w:r>
                  <w:r>
                    <w:rPr>
                      <w:rFonts w:hint="default" w:ascii="Times New Roman" w:hAnsi="Times New Roman" w:eastAsia="宋体" w:cs="Times New Roman"/>
                      <w:bCs/>
                      <w:color w:val="auto"/>
                      <w:sz w:val="21"/>
                      <w:szCs w:val="21"/>
                      <w:lang w:eastAsia="zh-CN"/>
                    </w:rPr>
                    <w:t>，基础减震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56" w:type="dxa"/>
                  <w:vMerge w:val="continue"/>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p>
              </w:tc>
              <w:tc>
                <w:tcPr>
                  <w:tcW w:w="643"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N</w:t>
                  </w:r>
                  <w:r>
                    <w:rPr>
                      <w:rFonts w:hint="eastAsia" w:ascii="Times New Roman" w:hAnsi="Times New Roman" w:eastAsia="宋体" w:cs="Times New Roman"/>
                      <w:bCs/>
                      <w:color w:val="auto"/>
                      <w:sz w:val="21"/>
                      <w:szCs w:val="21"/>
                      <w:lang w:val="en-US" w:eastAsia="zh-CN"/>
                    </w:rPr>
                    <w:t>8</w:t>
                  </w:r>
                </w:p>
              </w:tc>
              <w:tc>
                <w:tcPr>
                  <w:tcW w:w="1417"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运输车辆</w:t>
                  </w:r>
                </w:p>
              </w:tc>
              <w:tc>
                <w:tcPr>
                  <w:tcW w:w="1261"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车辆噪声</w:t>
                  </w:r>
                </w:p>
              </w:tc>
              <w:tc>
                <w:tcPr>
                  <w:tcW w:w="1334" w:type="dxa"/>
                  <w:noWrap/>
                  <w:vAlign w:val="center"/>
                </w:tcPr>
                <w:p>
                  <w:pPr>
                    <w:pStyle w:val="53"/>
                    <w:keepNext w:val="0"/>
                    <w:keepLines w:val="0"/>
                    <w:pageBreakBefore w:val="0"/>
                    <w:widowControl w:val="0"/>
                    <w:kinsoku/>
                    <w:wordWrap/>
                    <w:overflowPunct/>
                    <w:topLinePunct w:val="0"/>
                    <w:autoSpaceDE/>
                    <w:autoSpaceDN/>
                    <w:bidi w:val="0"/>
                    <w:snapToGrid w:val="0"/>
                    <w:spacing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Leq(A)</w:t>
                  </w:r>
                </w:p>
              </w:tc>
              <w:tc>
                <w:tcPr>
                  <w:tcW w:w="700" w:type="dxa"/>
                  <w:noWrap/>
                  <w:vAlign w:val="center"/>
                </w:tcPr>
                <w:p>
                  <w:pPr>
                    <w:pStyle w:val="53"/>
                    <w:keepNext w:val="0"/>
                    <w:keepLines w:val="0"/>
                    <w:pageBreakBefore w:val="0"/>
                    <w:widowControl w:val="0"/>
                    <w:kinsoku/>
                    <w:wordWrap/>
                    <w:overflowPunct/>
                    <w:topLinePunct w:val="0"/>
                    <w:autoSpaceDE/>
                    <w:autoSpaceDN/>
                    <w:bidi w:val="0"/>
                    <w:snapToGrid w:val="0"/>
                    <w:spacing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间断</w:t>
                  </w:r>
                </w:p>
              </w:tc>
              <w:tc>
                <w:tcPr>
                  <w:tcW w:w="1982"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减速慢行，不鸣笛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4" w:hRule="atLeast"/>
                <w:jc w:val="center"/>
              </w:trPr>
              <w:tc>
                <w:tcPr>
                  <w:tcW w:w="1056" w:type="dxa"/>
                  <w:vMerge w:val="restart"/>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废水</w:t>
                  </w:r>
                </w:p>
              </w:tc>
              <w:tc>
                <w:tcPr>
                  <w:tcW w:w="643"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rPr>
                    <w:t>W</w:t>
                  </w:r>
                  <w:r>
                    <w:rPr>
                      <w:rFonts w:hint="default" w:ascii="Times New Roman" w:hAnsi="Times New Roman" w:eastAsia="宋体" w:cs="Times New Roman"/>
                      <w:bCs/>
                      <w:color w:val="auto"/>
                      <w:sz w:val="21"/>
                      <w:szCs w:val="21"/>
                      <w:lang w:val="en-US" w:eastAsia="zh-CN"/>
                    </w:rPr>
                    <w:t>1</w:t>
                  </w:r>
                </w:p>
              </w:tc>
              <w:tc>
                <w:tcPr>
                  <w:tcW w:w="1417"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反渗透水处理</w:t>
                  </w:r>
                </w:p>
              </w:tc>
              <w:tc>
                <w:tcPr>
                  <w:tcW w:w="1261"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反渗透纯水制备废水</w:t>
                  </w:r>
                </w:p>
              </w:tc>
              <w:tc>
                <w:tcPr>
                  <w:tcW w:w="1334" w:type="dxa"/>
                  <w:vMerge w:val="restart"/>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pH 值、化学需氧量、溶解性总固体（全盐量）</w:t>
                  </w:r>
                </w:p>
              </w:tc>
              <w:tc>
                <w:tcPr>
                  <w:tcW w:w="700"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间断</w:t>
                  </w:r>
                </w:p>
              </w:tc>
              <w:tc>
                <w:tcPr>
                  <w:tcW w:w="1982" w:type="dxa"/>
                  <w:vMerge w:val="restart"/>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反渗透纯水制备废水作为脱硫系统用水，锅炉定期排水用于厂区洒水降尘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56" w:type="dxa"/>
                  <w:vMerge w:val="continue"/>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p>
              </w:tc>
              <w:tc>
                <w:tcPr>
                  <w:tcW w:w="643"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sz w:val="21"/>
                      <w:szCs w:val="21"/>
                    </w:rPr>
                    <w:t>W</w:t>
                  </w:r>
                  <w:r>
                    <w:rPr>
                      <w:rFonts w:hint="default" w:ascii="Times New Roman" w:hAnsi="Times New Roman" w:eastAsia="宋体" w:cs="Times New Roman"/>
                      <w:bCs/>
                      <w:color w:val="000000"/>
                      <w:sz w:val="21"/>
                      <w:szCs w:val="21"/>
                      <w:lang w:val="en-US" w:eastAsia="zh-CN"/>
                    </w:rPr>
                    <w:t>2</w:t>
                  </w:r>
                </w:p>
              </w:tc>
              <w:tc>
                <w:tcPr>
                  <w:tcW w:w="1417"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kern w:val="2"/>
                      <w:sz w:val="21"/>
                      <w:szCs w:val="21"/>
                      <w:lang w:val="en-US" w:eastAsia="zh-CN" w:bidi="ar-SA"/>
                    </w:rPr>
                    <w:t>锅炉</w:t>
                  </w:r>
                </w:p>
              </w:tc>
              <w:tc>
                <w:tcPr>
                  <w:tcW w:w="1261"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kern w:val="2"/>
                      <w:sz w:val="21"/>
                      <w:szCs w:val="21"/>
                      <w:lang w:val="en-US" w:eastAsia="zh-CN" w:bidi="ar-SA"/>
                    </w:rPr>
                    <w:t>锅炉排水</w:t>
                  </w:r>
                </w:p>
              </w:tc>
              <w:tc>
                <w:tcPr>
                  <w:tcW w:w="1334" w:type="dxa"/>
                  <w:vMerge w:val="continue"/>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p>
              </w:tc>
              <w:tc>
                <w:tcPr>
                  <w:tcW w:w="700"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sz w:val="21"/>
                      <w:szCs w:val="21"/>
                    </w:rPr>
                    <w:t>间断</w:t>
                  </w:r>
                </w:p>
              </w:tc>
              <w:tc>
                <w:tcPr>
                  <w:tcW w:w="1982" w:type="dxa"/>
                  <w:vMerge w:val="continue"/>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FF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56" w:type="dxa"/>
                  <w:vMerge w:val="restart"/>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固废</w:t>
                  </w:r>
                </w:p>
              </w:tc>
              <w:tc>
                <w:tcPr>
                  <w:tcW w:w="643"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rPr>
                    <w:t>S</w:t>
                  </w:r>
                  <w:r>
                    <w:rPr>
                      <w:rFonts w:hint="default" w:ascii="Times New Roman" w:hAnsi="Times New Roman" w:eastAsia="宋体" w:cs="Times New Roman"/>
                      <w:bCs/>
                      <w:color w:val="000000"/>
                      <w:sz w:val="21"/>
                      <w:szCs w:val="21"/>
                      <w:lang w:val="en-US" w:eastAsia="zh-CN"/>
                    </w:rPr>
                    <w:t>1</w:t>
                  </w:r>
                </w:p>
              </w:tc>
              <w:tc>
                <w:tcPr>
                  <w:tcW w:w="1417"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反渗透水处理</w:t>
                  </w:r>
                </w:p>
              </w:tc>
              <w:tc>
                <w:tcPr>
                  <w:tcW w:w="1261"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bCs/>
                      <w:color w:val="000000"/>
                      <w:sz w:val="21"/>
                      <w:szCs w:val="21"/>
                      <w:lang w:val="en-US" w:eastAsia="zh-CN"/>
                    </w:rPr>
                    <w:t>废渗透膜</w:t>
                  </w:r>
                </w:p>
              </w:tc>
              <w:tc>
                <w:tcPr>
                  <w:tcW w:w="1334"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000000"/>
                      <w:sz w:val="21"/>
                      <w:szCs w:val="21"/>
                    </w:rPr>
                  </w:pPr>
                  <w:r>
                    <w:rPr>
                      <w:rFonts w:hint="default" w:ascii="Times New Roman" w:hAnsi="Times New Roman" w:eastAsia="宋体" w:cs="Times New Roman"/>
                      <w:b w:val="0"/>
                      <w:bCs w:val="0"/>
                      <w:color w:val="auto"/>
                      <w:sz w:val="21"/>
                      <w:szCs w:val="21"/>
                      <w:lang w:val="en-US" w:eastAsia="zh-CN"/>
                    </w:rPr>
                    <w:t>废渗透膜</w:t>
                  </w:r>
                </w:p>
              </w:tc>
              <w:tc>
                <w:tcPr>
                  <w:tcW w:w="700"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间断</w:t>
                  </w:r>
                </w:p>
              </w:tc>
              <w:tc>
                <w:tcPr>
                  <w:tcW w:w="1982"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0"/>
                      <w:sz w:val="21"/>
                      <w:szCs w:val="21"/>
                      <w:lang w:val="en-US" w:eastAsia="zh-CN" w:bidi="ar-SA"/>
                    </w:rPr>
                  </w:pPr>
                  <w:r>
                    <w:rPr>
                      <w:rFonts w:hint="default" w:ascii="Times New Roman" w:hAnsi="Times New Roman" w:eastAsia="宋体" w:cs="Times New Roman"/>
                      <w:snapToGrid w:val="0"/>
                      <w:color w:val="000000"/>
                      <w:kern w:val="0"/>
                      <w:sz w:val="21"/>
                      <w:szCs w:val="21"/>
                      <w:lang w:val="en-US" w:eastAsia="zh-CN" w:bidi="ar-SA"/>
                    </w:rPr>
                    <w:t>集中收集后，定期由厂家回收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56" w:type="dxa"/>
                  <w:vMerge w:val="continue"/>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000000"/>
                      <w:sz w:val="21"/>
                      <w:szCs w:val="21"/>
                    </w:rPr>
                  </w:pPr>
                </w:p>
              </w:tc>
              <w:tc>
                <w:tcPr>
                  <w:tcW w:w="643"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S</w:t>
                  </w:r>
                  <w:r>
                    <w:rPr>
                      <w:rFonts w:hint="default" w:ascii="Times New Roman" w:hAnsi="Times New Roman" w:eastAsia="宋体" w:cs="Times New Roman"/>
                      <w:bCs/>
                      <w:color w:val="000000"/>
                      <w:sz w:val="21"/>
                      <w:szCs w:val="21"/>
                      <w:lang w:val="en-US" w:eastAsia="zh-CN"/>
                    </w:rPr>
                    <w:t>2</w:t>
                  </w:r>
                </w:p>
              </w:tc>
              <w:tc>
                <w:tcPr>
                  <w:tcW w:w="1417"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布袋除尘器</w:t>
                  </w:r>
                </w:p>
              </w:tc>
              <w:tc>
                <w:tcPr>
                  <w:tcW w:w="1261"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sz w:val="21"/>
                      <w:szCs w:val="21"/>
                      <w:lang w:val="en-US" w:eastAsia="zh-CN"/>
                    </w:rPr>
                    <w:t>除尘灰</w:t>
                  </w:r>
                </w:p>
              </w:tc>
              <w:tc>
                <w:tcPr>
                  <w:tcW w:w="1334"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除尘灰</w:t>
                  </w:r>
                </w:p>
              </w:tc>
              <w:tc>
                <w:tcPr>
                  <w:tcW w:w="700"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sz w:val="21"/>
                      <w:szCs w:val="21"/>
                    </w:rPr>
                    <w:t>间断</w:t>
                  </w:r>
                </w:p>
              </w:tc>
              <w:tc>
                <w:tcPr>
                  <w:tcW w:w="1982"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收集后作为燃料回用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56" w:type="dxa"/>
                  <w:vMerge w:val="continue"/>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000000"/>
                      <w:sz w:val="21"/>
                      <w:szCs w:val="21"/>
                    </w:rPr>
                  </w:pPr>
                </w:p>
              </w:tc>
              <w:tc>
                <w:tcPr>
                  <w:tcW w:w="643" w:type="dxa"/>
                  <w:vMerge w:val="restart"/>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eastAsia"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rPr>
                    <w:t>S</w:t>
                  </w:r>
                  <w:r>
                    <w:rPr>
                      <w:rFonts w:hint="eastAsia" w:ascii="Times New Roman" w:hAnsi="Times New Roman" w:eastAsia="宋体" w:cs="Times New Roman"/>
                      <w:bCs/>
                      <w:color w:val="000000"/>
                      <w:sz w:val="21"/>
                      <w:szCs w:val="21"/>
                      <w:lang w:val="en-US" w:eastAsia="zh-CN"/>
                    </w:rPr>
                    <w:t>3</w:t>
                  </w:r>
                </w:p>
              </w:tc>
              <w:tc>
                <w:tcPr>
                  <w:tcW w:w="1417" w:type="dxa"/>
                  <w:vMerge w:val="restart"/>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锅炉</w:t>
                  </w:r>
                </w:p>
              </w:tc>
              <w:tc>
                <w:tcPr>
                  <w:tcW w:w="1261"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锅炉除尘灰</w:t>
                  </w:r>
                </w:p>
              </w:tc>
              <w:tc>
                <w:tcPr>
                  <w:tcW w:w="1334" w:type="dxa"/>
                  <w:noWrap/>
                  <w:vAlign w:val="center"/>
                </w:tcPr>
                <w:p>
                  <w:pPr>
                    <w:pStyle w:val="53"/>
                    <w:keepNext w:val="0"/>
                    <w:keepLines w:val="0"/>
                    <w:pageBreakBefore w:val="0"/>
                    <w:widowControl w:val="0"/>
                    <w:kinsoku/>
                    <w:wordWrap/>
                    <w:overflowPunct/>
                    <w:topLinePunct w:val="0"/>
                    <w:autoSpaceDE/>
                    <w:autoSpaceDN/>
                    <w:bidi w:val="0"/>
                    <w:snapToGrid w:val="0"/>
                    <w:spacing w:line="240" w:lineRule="auto"/>
                    <w:ind w:firstLine="0" w:firstLineChars="0"/>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锅炉除尘灰</w:t>
                  </w:r>
                </w:p>
              </w:tc>
              <w:tc>
                <w:tcPr>
                  <w:tcW w:w="700"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sz w:val="21"/>
                      <w:szCs w:val="21"/>
                    </w:rPr>
                    <w:t>间断</w:t>
                  </w:r>
                </w:p>
              </w:tc>
              <w:tc>
                <w:tcPr>
                  <w:tcW w:w="1982" w:type="dxa"/>
                  <w:vMerge w:val="restart"/>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集中收集后外售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56" w:type="dxa"/>
                  <w:vMerge w:val="continue"/>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000000"/>
                      <w:sz w:val="21"/>
                      <w:szCs w:val="21"/>
                    </w:rPr>
                  </w:pPr>
                </w:p>
              </w:tc>
              <w:tc>
                <w:tcPr>
                  <w:tcW w:w="643" w:type="dxa"/>
                  <w:vMerge w:val="continue"/>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p>
              </w:tc>
              <w:tc>
                <w:tcPr>
                  <w:tcW w:w="1417" w:type="dxa"/>
                  <w:vMerge w:val="continue"/>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1261"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炉渣</w:t>
                  </w:r>
                </w:p>
              </w:tc>
              <w:tc>
                <w:tcPr>
                  <w:tcW w:w="1334"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sz w:val="21"/>
                      <w:szCs w:val="21"/>
                      <w:lang w:val="en-US" w:eastAsia="zh-CN"/>
                    </w:rPr>
                    <w:t>炉渣</w:t>
                  </w:r>
                </w:p>
              </w:tc>
              <w:tc>
                <w:tcPr>
                  <w:tcW w:w="700"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sz w:val="21"/>
                      <w:szCs w:val="21"/>
                    </w:rPr>
                    <w:t>间断</w:t>
                  </w:r>
                </w:p>
              </w:tc>
              <w:tc>
                <w:tcPr>
                  <w:tcW w:w="1982" w:type="dxa"/>
                  <w:vMerge w:val="continue"/>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56" w:type="dxa"/>
                  <w:vMerge w:val="continue"/>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000000"/>
                      <w:sz w:val="21"/>
                      <w:szCs w:val="21"/>
                    </w:rPr>
                  </w:pPr>
                </w:p>
              </w:tc>
              <w:tc>
                <w:tcPr>
                  <w:tcW w:w="643"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eastAsia"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rPr>
                    <w:t>S</w:t>
                  </w:r>
                  <w:r>
                    <w:rPr>
                      <w:rFonts w:hint="eastAsia" w:ascii="Times New Roman" w:hAnsi="Times New Roman" w:eastAsia="宋体" w:cs="Times New Roman"/>
                      <w:bCs/>
                      <w:color w:val="000000"/>
                      <w:sz w:val="21"/>
                      <w:szCs w:val="21"/>
                      <w:lang w:val="en-US" w:eastAsia="zh-CN"/>
                    </w:rPr>
                    <w:t>4</w:t>
                  </w:r>
                </w:p>
              </w:tc>
              <w:tc>
                <w:tcPr>
                  <w:tcW w:w="1417" w:type="dxa"/>
                  <w:noWrap/>
                  <w:vAlign w:val="center"/>
                </w:tcPr>
                <w:p>
                  <w:pPr>
                    <w:pStyle w:val="70"/>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脱硫系统</w:t>
                  </w:r>
                </w:p>
              </w:tc>
              <w:tc>
                <w:tcPr>
                  <w:tcW w:w="1261" w:type="dxa"/>
                  <w:noWrap/>
                  <w:vAlign w:val="center"/>
                </w:tcPr>
                <w:p>
                  <w:pPr>
                    <w:pStyle w:val="70"/>
                    <w:keepNext w:val="0"/>
                    <w:keepLines w:val="0"/>
                    <w:pageBreakBefore w:val="0"/>
                    <w:widowControl/>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固形物MgSO</w:t>
                  </w:r>
                  <w:r>
                    <w:rPr>
                      <w:rFonts w:hint="default" w:ascii="Times New Roman" w:hAnsi="Times New Roman" w:eastAsia="宋体" w:cs="Times New Roman"/>
                      <w:color w:val="auto"/>
                      <w:sz w:val="21"/>
                      <w:szCs w:val="21"/>
                      <w:vertAlign w:val="subscript"/>
                      <w:lang w:val="en-US" w:eastAsia="zh-CN" w:bidi="ar-SA"/>
                    </w:rPr>
                    <w:t>4</w:t>
                  </w:r>
                </w:p>
              </w:tc>
              <w:tc>
                <w:tcPr>
                  <w:tcW w:w="1334"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color w:val="auto"/>
                      <w:sz w:val="21"/>
                      <w:szCs w:val="21"/>
                      <w:lang w:val="en-US" w:eastAsia="zh-CN" w:bidi="ar-SA"/>
                    </w:rPr>
                    <w:t>MgSO</w:t>
                  </w:r>
                  <w:r>
                    <w:rPr>
                      <w:rFonts w:hint="default" w:ascii="Times New Roman" w:hAnsi="Times New Roman" w:eastAsia="宋体" w:cs="Times New Roman"/>
                      <w:color w:val="auto"/>
                      <w:sz w:val="21"/>
                      <w:szCs w:val="21"/>
                      <w:vertAlign w:val="subscript"/>
                      <w:lang w:val="en-US" w:eastAsia="zh-CN" w:bidi="ar-SA"/>
                    </w:rPr>
                    <w:t>4</w:t>
                  </w:r>
                </w:p>
              </w:tc>
              <w:tc>
                <w:tcPr>
                  <w:tcW w:w="700"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间断</w:t>
                  </w:r>
                </w:p>
              </w:tc>
              <w:tc>
                <w:tcPr>
                  <w:tcW w:w="1982"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eastAsia="宋体" w:cs="Times New Roman"/>
                      <w:bCs/>
                      <w:color w:val="000000"/>
                      <w:kern w:val="2"/>
                      <w:sz w:val="21"/>
                      <w:szCs w:val="21"/>
                      <w:lang w:val="en-US" w:eastAsia="zh-CN" w:bidi="ar-SA"/>
                    </w:rPr>
                    <w:t>集中收集后外售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56" w:type="dxa"/>
                  <w:vMerge w:val="continue"/>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000000"/>
                      <w:sz w:val="21"/>
                      <w:szCs w:val="21"/>
                    </w:rPr>
                  </w:pPr>
                </w:p>
              </w:tc>
              <w:tc>
                <w:tcPr>
                  <w:tcW w:w="643" w:type="dxa"/>
                  <w:vMerge w:val="restart"/>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eastAsia"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rPr>
                    <w:t>S</w:t>
                  </w:r>
                  <w:r>
                    <w:rPr>
                      <w:rFonts w:hint="eastAsia" w:ascii="Times New Roman" w:hAnsi="Times New Roman" w:eastAsia="宋体" w:cs="Times New Roman"/>
                      <w:bCs/>
                      <w:color w:val="000000"/>
                      <w:sz w:val="21"/>
                      <w:szCs w:val="21"/>
                      <w:lang w:val="en-US" w:eastAsia="zh-CN"/>
                    </w:rPr>
                    <w:t>5</w:t>
                  </w:r>
                </w:p>
              </w:tc>
              <w:tc>
                <w:tcPr>
                  <w:tcW w:w="1417" w:type="dxa"/>
                  <w:vMerge w:val="restart"/>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设备维护</w:t>
                  </w:r>
                </w:p>
              </w:tc>
              <w:tc>
                <w:tcPr>
                  <w:tcW w:w="1261"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废矿物油</w:t>
                  </w:r>
                </w:p>
              </w:tc>
              <w:tc>
                <w:tcPr>
                  <w:tcW w:w="1334"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废矿物油</w:t>
                  </w:r>
                </w:p>
              </w:tc>
              <w:tc>
                <w:tcPr>
                  <w:tcW w:w="700"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间断</w:t>
                  </w:r>
                </w:p>
              </w:tc>
              <w:tc>
                <w:tcPr>
                  <w:tcW w:w="1982" w:type="dxa"/>
                  <w:vMerge w:val="restart"/>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bCs/>
                      <w:color w:val="000000"/>
                      <w:sz w:val="21"/>
                      <w:szCs w:val="21"/>
                    </w:rPr>
                    <w:t>分类收集暂存于危险废物贮存间内，定期交由有资质的单位处理。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56" w:type="dxa"/>
                  <w:vMerge w:val="continue"/>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FF0000"/>
                      <w:sz w:val="21"/>
                      <w:szCs w:val="21"/>
                    </w:rPr>
                  </w:pPr>
                </w:p>
              </w:tc>
              <w:tc>
                <w:tcPr>
                  <w:tcW w:w="643" w:type="dxa"/>
                  <w:vMerge w:val="continue"/>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FF0000"/>
                      <w:kern w:val="2"/>
                      <w:sz w:val="21"/>
                      <w:szCs w:val="21"/>
                      <w:lang w:val="en-US" w:eastAsia="zh-CN" w:bidi="ar-SA"/>
                    </w:rPr>
                  </w:pPr>
                </w:p>
              </w:tc>
              <w:tc>
                <w:tcPr>
                  <w:tcW w:w="1417" w:type="dxa"/>
                  <w:vMerge w:val="continue"/>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FF0000"/>
                      <w:sz w:val="21"/>
                      <w:szCs w:val="21"/>
                      <w:lang w:val="en-US" w:eastAsia="zh-CN"/>
                    </w:rPr>
                  </w:pPr>
                </w:p>
              </w:tc>
              <w:tc>
                <w:tcPr>
                  <w:tcW w:w="1261"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废油桶</w:t>
                  </w:r>
                </w:p>
              </w:tc>
              <w:tc>
                <w:tcPr>
                  <w:tcW w:w="1334"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废油桶</w:t>
                  </w:r>
                </w:p>
              </w:tc>
              <w:tc>
                <w:tcPr>
                  <w:tcW w:w="700" w:type="dxa"/>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间断</w:t>
                  </w:r>
                </w:p>
              </w:tc>
              <w:tc>
                <w:tcPr>
                  <w:tcW w:w="1982" w:type="dxa"/>
                  <w:vMerge w:val="continue"/>
                  <w:noWrap/>
                  <w:vAlign w:val="center"/>
                </w:tcPr>
                <w:p>
                  <w:pPr>
                    <w:keepNext w:val="0"/>
                    <w:keepLines w:val="0"/>
                    <w:pageBreakBefore w:val="0"/>
                    <w:widowControl w:val="0"/>
                    <w:kinsoku/>
                    <w:wordWrap/>
                    <w:overflowPunct/>
                    <w:topLinePunct w:val="0"/>
                    <w:autoSpaceDE/>
                    <w:autoSpaceDN/>
                    <w:bidi w:val="0"/>
                    <w:snapToGrid w:val="0"/>
                    <w:spacing w:line="240" w:lineRule="auto"/>
                    <w:ind w:firstLine="0" w:firstLineChars="0"/>
                    <w:jc w:val="center"/>
                    <w:textAlignment w:val="auto"/>
                    <w:rPr>
                      <w:rFonts w:hint="default" w:ascii="Times New Roman" w:hAnsi="Times New Roman" w:eastAsia="宋体" w:cs="Times New Roman"/>
                      <w:color w:val="FF0000"/>
                      <w:sz w:val="21"/>
                      <w:szCs w:val="21"/>
                    </w:rPr>
                  </w:pPr>
                </w:p>
              </w:tc>
            </w:tr>
          </w:tbl>
          <w:p>
            <w:pPr>
              <w:jc w:val="cente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3" w:hRule="atLeast"/>
          <w:jc w:val="center"/>
        </w:trPr>
        <w:tc>
          <w:tcPr>
            <w:tcW w:w="456" w:type="dxa"/>
            <w:tcBorders>
              <w:top w:val="single" w:color="auto" w:sz="4" w:space="0"/>
              <w:left w:val="single" w:color="auto" w:sz="8" w:space="0"/>
              <w:bottom w:val="single" w:color="auto" w:sz="8" w:space="0"/>
              <w:right w:val="single" w:color="auto" w:sz="4" w:space="0"/>
            </w:tcBorders>
            <w:shd w:val="clear" w:color="auto" w:fill="auto"/>
            <w:vAlign w:val="center"/>
          </w:tcPr>
          <w:p>
            <w:pPr>
              <w:pStyle w:val="19"/>
              <w:adjustRightInd w:val="0"/>
              <w:snapToGrid w:val="0"/>
              <w:spacing w:beforeAutospacing="0" w:afterAutospacing="0"/>
              <w:jc w:val="center"/>
              <w:rPr>
                <w:rFonts w:hint="default" w:ascii="Times New Roman" w:hAnsi="Times New Roman"/>
                <w:sz w:val="21"/>
                <w:szCs w:val="21"/>
              </w:rPr>
            </w:pPr>
            <w:r>
              <w:rPr>
                <w:rFonts w:hint="default" w:ascii="Times New Roman" w:hAnsi="Times New Roman"/>
                <w:bCs/>
                <w:kern w:val="2"/>
                <w:sz w:val="24"/>
                <w:szCs w:val="24"/>
              </w:rPr>
              <w:t>与项目有关原有环境污染问题</w:t>
            </w:r>
          </w:p>
        </w:tc>
        <w:tc>
          <w:tcPr>
            <w:tcW w:w="8894" w:type="dxa"/>
            <w:tcBorders>
              <w:top w:val="single" w:color="auto" w:sz="4" w:space="0"/>
              <w:left w:val="single" w:color="auto" w:sz="4" w:space="0"/>
              <w:bottom w:val="single" w:color="auto" w:sz="8" w:space="0"/>
              <w:right w:val="single" w:color="auto" w:sz="8" w:space="0"/>
            </w:tcBorders>
            <w:shd w:val="clear" w:color="auto" w:fill="auto"/>
          </w:tcPr>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ascii="Times New Roman" w:hAnsi="Times New Roman" w:cs="Times New Roman"/>
                <w:b/>
                <w:sz w:val="24"/>
              </w:rPr>
            </w:pPr>
            <w:r>
              <w:rPr>
                <w:rFonts w:hint="default" w:ascii="Times New Roman" w:hAnsi="Times New Roman" w:cs="Times New Roman"/>
                <w:b/>
                <w:bCs w:val="0"/>
                <w:color w:val="auto"/>
                <w:sz w:val="24"/>
                <w:szCs w:val="24"/>
                <w:lang w:val="en-US" w:eastAsia="zh-CN"/>
              </w:rPr>
              <w:t>1、现有工程环保手续</w:t>
            </w:r>
          </w:p>
          <w:p>
            <w:pPr>
              <w:spacing w:line="360" w:lineRule="auto"/>
              <w:ind w:firstLine="480" w:firstLineChars="200"/>
              <w:rPr>
                <w:rFonts w:hint="eastAsia" w:ascii="Times New Roman" w:hAnsi="Times New Roman" w:cs="Times New Roman"/>
                <w:bCs/>
                <w:sz w:val="24"/>
              </w:rPr>
            </w:pPr>
            <w:r>
              <w:rPr>
                <w:rFonts w:hint="eastAsia" w:ascii="Times New Roman" w:hAnsi="Times New Roman" w:cs="Times New Roman"/>
                <w:bCs/>
                <w:sz w:val="24"/>
                <w:lang w:val="en-US" w:eastAsia="zh-CN"/>
              </w:rPr>
              <w:t>2012年12月</w:t>
            </w:r>
            <w:r>
              <w:rPr>
                <w:rFonts w:hint="eastAsia" w:ascii="Times New Roman" w:hAnsi="Times New Roman" w:cs="Times New Roman"/>
                <w:bCs/>
                <w:sz w:val="24"/>
              </w:rPr>
              <w:t>承德富龙现代农业发展有限公司</w:t>
            </w:r>
            <w:r>
              <w:rPr>
                <w:rFonts w:hint="eastAsia" w:ascii="Times New Roman" w:hAnsi="Times New Roman" w:cs="Times New Roman"/>
                <w:bCs/>
                <w:sz w:val="24"/>
                <w:lang w:val="en-US" w:eastAsia="zh-CN"/>
              </w:rPr>
              <w:t>委托承德市科学研究院</w:t>
            </w:r>
            <w:r>
              <w:rPr>
                <w:rFonts w:hint="eastAsia" w:ascii="Times New Roman" w:hAnsi="Times New Roman" w:cs="Times New Roman"/>
                <w:bCs/>
                <w:sz w:val="24"/>
              </w:rPr>
              <w:t>编制了《承德富龙现代农业发展有限公司马铃薯深加工项目环境影响</w:t>
            </w:r>
            <w:r>
              <w:rPr>
                <w:rFonts w:hint="eastAsia" w:ascii="Times New Roman" w:hAnsi="Times New Roman" w:cs="Times New Roman"/>
                <w:bCs/>
                <w:sz w:val="24"/>
                <w:lang w:val="en-US" w:eastAsia="zh-CN"/>
              </w:rPr>
              <w:t>报告表</w:t>
            </w:r>
            <w:r>
              <w:rPr>
                <w:rFonts w:hint="eastAsia" w:ascii="Times New Roman" w:hAnsi="Times New Roman" w:cs="Times New Roman"/>
                <w:bCs/>
                <w:sz w:val="24"/>
              </w:rPr>
              <w:t>》，</w:t>
            </w:r>
            <w:r>
              <w:rPr>
                <w:rFonts w:hint="eastAsia" w:ascii="Times New Roman" w:hAnsi="Times New Roman" w:cs="Times New Roman"/>
                <w:bCs/>
                <w:sz w:val="24"/>
                <w:lang w:val="en-US" w:eastAsia="zh-CN"/>
              </w:rPr>
              <w:t>项目</w:t>
            </w:r>
            <w:r>
              <w:rPr>
                <w:rFonts w:hint="eastAsia" w:ascii="Times New Roman" w:hAnsi="Times New Roman" w:cs="Times New Roman"/>
                <w:bCs/>
                <w:sz w:val="24"/>
              </w:rPr>
              <w:t>于2012年12月12日</w:t>
            </w:r>
            <w:r>
              <w:rPr>
                <w:rFonts w:hint="eastAsia" w:ascii="Times New Roman" w:hAnsi="Times New Roman" w:cs="Times New Roman"/>
                <w:bCs/>
                <w:sz w:val="24"/>
                <w:lang w:val="en-US" w:eastAsia="zh-CN"/>
              </w:rPr>
              <w:t>取得原承德市环境保护</w:t>
            </w:r>
            <w:r>
              <w:rPr>
                <w:rFonts w:hint="eastAsia" w:ascii="Times New Roman" w:hAnsi="Times New Roman" w:cs="Times New Roman"/>
                <w:bCs/>
                <w:sz w:val="24"/>
              </w:rPr>
              <w:t>局</w:t>
            </w:r>
            <w:r>
              <w:rPr>
                <w:rFonts w:hint="eastAsia" w:ascii="Times New Roman" w:hAnsi="Times New Roman" w:cs="Times New Roman"/>
                <w:bCs/>
                <w:sz w:val="24"/>
                <w:lang w:val="en-US" w:eastAsia="zh-CN"/>
              </w:rPr>
              <w:t>的批复（承环评【2012】122号）</w:t>
            </w:r>
            <w:r>
              <w:rPr>
                <w:rFonts w:hint="eastAsia" w:ascii="Times New Roman" w:hAnsi="Times New Roman" w:cs="Times New Roman"/>
                <w:bCs/>
                <w:sz w:val="24"/>
              </w:rPr>
              <w:t>。</w:t>
            </w:r>
          </w:p>
          <w:p>
            <w:pPr>
              <w:spacing w:line="360" w:lineRule="auto"/>
              <w:ind w:firstLine="480" w:firstLineChars="200"/>
              <w:rPr>
                <w:rFonts w:hint="eastAsia" w:ascii="Times New Roman" w:hAnsi="Times New Roman" w:cs="Times New Roman"/>
                <w:bCs/>
                <w:sz w:val="24"/>
                <w:lang w:eastAsia="zh-CN"/>
              </w:rPr>
            </w:pPr>
            <w:r>
              <w:rPr>
                <w:rFonts w:hint="eastAsia" w:ascii="Times New Roman" w:hAnsi="Times New Roman" w:cs="Times New Roman"/>
                <w:bCs/>
                <w:sz w:val="24"/>
                <w:lang w:val="en-US" w:eastAsia="zh-CN"/>
              </w:rPr>
              <w:t>由于</w:t>
            </w:r>
            <w:r>
              <w:rPr>
                <w:rFonts w:hint="eastAsia" w:ascii="Times New Roman" w:hAnsi="Times New Roman" w:cs="Times New Roman"/>
                <w:bCs/>
                <w:sz w:val="24"/>
              </w:rPr>
              <w:t>项目建设内容发生变化，承德富龙现代农业发展有限公司应当地环境保护主管部门要求，对项目实际变化情况进行</w:t>
            </w:r>
            <w:r>
              <w:rPr>
                <w:rFonts w:hint="eastAsia" w:ascii="Times New Roman" w:hAnsi="Times New Roman" w:cs="Times New Roman"/>
                <w:bCs/>
                <w:sz w:val="24"/>
                <w:lang w:val="en-US" w:eastAsia="zh-CN"/>
              </w:rPr>
              <w:t>了</w:t>
            </w:r>
            <w:r>
              <w:rPr>
                <w:rFonts w:hint="eastAsia" w:ascii="Times New Roman" w:hAnsi="Times New Roman" w:cs="Times New Roman"/>
                <w:bCs/>
                <w:sz w:val="24"/>
              </w:rPr>
              <w:t>变更说明。2016年5月承德富龙现代农业发展有限公司委托河北圣泓环保科技有限责任公司</w:t>
            </w:r>
            <w:r>
              <w:rPr>
                <w:rFonts w:hint="eastAsia" w:ascii="Times New Roman" w:hAnsi="Times New Roman" w:cs="Times New Roman"/>
                <w:bCs/>
                <w:sz w:val="24"/>
                <w:lang w:val="en-US" w:eastAsia="zh-CN"/>
              </w:rPr>
              <w:t>编制</w:t>
            </w:r>
            <w:r>
              <w:rPr>
                <w:rFonts w:hint="eastAsia" w:ascii="Times New Roman" w:hAnsi="Times New Roman" w:cs="Times New Roman"/>
                <w:bCs/>
                <w:sz w:val="24"/>
              </w:rPr>
              <w:t>完成</w:t>
            </w:r>
            <w:r>
              <w:rPr>
                <w:rFonts w:hint="eastAsia" w:ascii="Times New Roman" w:hAnsi="Times New Roman" w:cs="Times New Roman"/>
                <w:bCs/>
                <w:sz w:val="24"/>
                <w:lang w:val="en-US" w:eastAsia="zh-CN"/>
              </w:rPr>
              <w:t>了</w:t>
            </w:r>
            <w:r>
              <w:rPr>
                <w:rFonts w:hint="eastAsia" w:ascii="Times New Roman" w:hAnsi="Times New Roman" w:cs="Times New Roman"/>
                <w:bCs/>
                <w:sz w:val="24"/>
                <w:lang w:eastAsia="zh-CN"/>
              </w:rPr>
              <w:t>《</w:t>
            </w:r>
            <w:r>
              <w:rPr>
                <w:rFonts w:hint="eastAsia" w:ascii="Times New Roman" w:hAnsi="Times New Roman" w:cs="Times New Roman"/>
                <w:bCs/>
                <w:sz w:val="24"/>
              </w:rPr>
              <w:t>承德富龙现代农业发展有限公司马铃薯深加工项目环境影响评价变更说明</w:t>
            </w:r>
            <w:r>
              <w:rPr>
                <w:rFonts w:hint="eastAsia" w:ascii="Times New Roman" w:hAnsi="Times New Roman" w:cs="Times New Roman"/>
                <w:bCs/>
                <w:sz w:val="24"/>
                <w:lang w:eastAsia="zh-CN"/>
              </w:rPr>
              <w:t>》。</w:t>
            </w:r>
          </w:p>
          <w:p>
            <w:pPr>
              <w:spacing w:line="360" w:lineRule="auto"/>
              <w:ind w:firstLine="480" w:firstLineChars="200"/>
              <w:rPr>
                <w:rFonts w:hint="eastAsia" w:ascii="Times New Roman" w:hAnsi="Times New Roman" w:cs="Times New Roman"/>
                <w:bCs/>
                <w:sz w:val="24"/>
                <w:lang w:val="en-US" w:eastAsia="zh-CN"/>
              </w:rPr>
            </w:pPr>
            <w:r>
              <w:rPr>
                <w:rFonts w:hint="eastAsia" w:ascii="Times New Roman" w:hAnsi="Times New Roman" w:cs="Times New Roman"/>
                <w:bCs/>
                <w:sz w:val="24"/>
              </w:rPr>
              <w:t>马铃薯深加工</w:t>
            </w:r>
            <w:r>
              <w:rPr>
                <w:rFonts w:hint="eastAsia" w:ascii="Times New Roman" w:hAnsi="Times New Roman" w:cs="Times New Roman"/>
                <w:bCs/>
                <w:sz w:val="24"/>
                <w:lang w:val="en-US" w:eastAsia="zh-CN"/>
              </w:rPr>
              <w:t>项目于2016年8月9日经原承德市环境保护</w:t>
            </w:r>
            <w:r>
              <w:rPr>
                <w:rFonts w:hint="eastAsia" w:ascii="Times New Roman" w:hAnsi="Times New Roman" w:cs="Times New Roman"/>
                <w:bCs/>
                <w:sz w:val="24"/>
              </w:rPr>
              <w:t>局</w:t>
            </w:r>
            <w:r>
              <w:rPr>
                <w:rFonts w:hint="eastAsia" w:ascii="Times New Roman" w:hAnsi="Times New Roman" w:cs="Times New Roman"/>
                <w:bCs/>
                <w:sz w:val="24"/>
                <w:lang w:val="en-US" w:eastAsia="zh-CN"/>
              </w:rPr>
              <w:t>验收通过，验收批复文号为：承环验[2016]26号。</w:t>
            </w:r>
          </w:p>
          <w:p>
            <w:pPr>
              <w:spacing w:line="360" w:lineRule="auto"/>
              <w:ind w:firstLine="480" w:firstLineChars="200"/>
              <w:rPr>
                <w:rFonts w:hint="eastAsia" w:ascii="Times New Roman" w:hAnsi="Times New Roman" w:cs="Times New Roman"/>
                <w:bCs/>
                <w:sz w:val="24"/>
                <w:lang w:val="en-US" w:eastAsia="zh-CN"/>
              </w:rPr>
            </w:pPr>
            <w:r>
              <w:rPr>
                <w:rFonts w:hint="eastAsia" w:ascii="Times New Roman" w:hAnsi="Times New Roman" w:cs="Times New Roman"/>
                <w:bCs/>
                <w:sz w:val="24"/>
                <w:lang w:val="en-US" w:eastAsia="zh-CN"/>
              </w:rPr>
              <w:t>2020年5月，根据政策要求，企业燃煤锅炉不再使用，因此</w:t>
            </w:r>
            <w:r>
              <w:rPr>
                <w:rFonts w:hint="eastAsia" w:ascii="Times New Roman" w:hAnsi="Times New Roman" w:cs="Times New Roman"/>
                <w:bCs/>
                <w:sz w:val="24"/>
              </w:rPr>
              <w:t>承德富龙现代农业发展有限公司拆除原有</w:t>
            </w:r>
            <w:r>
              <w:rPr>
                <w:rFonts w:hint="eastAsia" w:ascii="Times New Roman" w:hAnsi="Times New Roman" w:cs="Times New Roman"/>
                <w:bCs/>
                <w:sz w:val="24"/>
                <w:lang w:val="en-US" w:eastAsia="zh-CN"/>
              </w:rPr>
              <w:t>1台20t/h</w:t>
            </w:r>
            <w:r>
              <w:rPr>
                <w:rFonts w:hint="eastAsia" w:ascii="Times New Roman" w:hAnsi="Times New Roman" w:cs="Times New Roman"/>
                <w:bCs/>
                <w:sz w:val="24"/>
              </w:rPr>
              <w:t>燃煤锅炉，</w:t>
            </w:r>
            <w:r>
              <w:rPr>
                <w:rFonts w:hint="eastAsia" w:ascii="Times New Roman" w:hAnsi="Times New Roman" w:cs="Times New Roman"/>
                <w:bCs/>
                <w:sz w:val="24"/>
                <w:lang w:eastAsia="zh-CN"/>
              </w:rPr>
              <w:t>新建</w:t>
            </w:r>
            <w:r>
              <w:rPr>
                <w:rFonts w:hint="eastAsia" w:ascii="Times New Roman" w:hAnsi="Times New Roman" w:cs="Times New Roman"/>
                <w:bCs/>
                <w:sz w:val="24"/>
                <w:lang w:val="en-US" w:eastAsia="zh-CN"/>
              </w:rPr>
              <w:t>1</w:t>
            </w:r>
            <w:r>
              <w:rPr>
                <w:rFonts w:hint="eastAsia" w:ascii="Times New Roman" w:hAnsi="Times New Roman" w:cs="Times New Roman"/>
                <w:bCs/>
                <w:sz w:val="24"/>
                <w:lang w:eastAsia="zh-CN"/>
              </w:rPr>
              <w:t>台2</w:t>
            </w:r>
            <w:r>
              <w:rPr>
                <w:rFonts w:hint="eastAsia" w:ascii="Times New Roman" w:hAnsi="Times New Roman" w:cs="Times New Roman"/>
                <w:bCs/>
                <w:sz w:val="24"/>
                <w:lang w:val="en-US" w:eastAsia="zh-CN"/>
              </w:rPr>
              <w:t>0</w:t>
            </w:r>
            <w:r>
              <w:rPr>
                <w:rFonts w:hint="eastAsia" w:ascii="Times New Roman" w:hAnsi="Times New Roman" w:cs="Times New Roman"/>
                <w:bCs/>
                <w:sz w:val="24"/>
                <w:lang w:eastAsia="zh-CN"/>
              </w:rPr>
              <w:t>t/h</w:t>
            </w:r>
            <w:r>
              <w:rPr>
                <w:rFonts w:hint="eastAsia" w:ascii="Times New Roman" w:hAnsi="Times New Roman" w:cs="Times New Roman"/>
                <w:bCs/>
                <w:sz w:val="24"/>
                <w:lang w:val="en-US" w:eastAsia="zh-CN"/>
              </w:rPr>
              <w:t>生物质</w:t>
            </w:r>
            <w:r>
              <w:rPr>
                <w:rFonts w:hint="eastAsia" w:ascii="Times New Roman" w:hAnsi="Times New Roman" w:cs="Times New Roman"/>
                <w:bCs/>
                <w:sz w:val="24"/>
              </w:rPr>
              <w:t>锅炉。</w:t>
            </w:r>
            <w:r>
              <w:rPr>
                <w:rFonts w:hint="eastAsia" w:ascii="Times New Roman" w:hAnsi="Times New Roman" w:cs="Times New Roman"/>
                <w:bCs/>
                <w:sz w:val="24"/>
                <w:lang w:val="zh-CN"/>
              </w:rPr>
              <w:t>承德富龙现代农业发展有限公司</w:t>
            </w:r>
            <w:r>
              <w:rPr>
                <w:rFonts w:hint="eastAsia" w:ascii="Times New Roman" w:hAnsi="Times New Roman" w:cs="Times New Roman"/>
                <w:bCs/>
                <w:sz w:val="24"/>
                <w:lang w:val="en-US" w:eastAsia="zh-CN"/>
              </w:rPr>
              <w:t>委托</w:t>
            </w:r>
            <w:r>
              <w:rPr>
                <w:rFonts w:hint="eastAsia" w:ascii="Times New Roman" w:hAnsi="Times New Roman" w:cs="Times New Roman"/>
                <w:bCs/>
                <w:sz w:val="24"/>
              </w:rPr>
              <w:t>河北圣泓环保科技有限责任公司</w:t>
            </w:r>
            <w:r>
              <w:rPr>
                <w:rFonts w:hint="eastAsia" w:ascii="Times New Roman" w:hAnsi="Times New Roman" w:cs="Times New Roman"/>
                <w:bCs/>
                <w:sz w:val="24"/>
                <w:lang w:val="en-US" w:eastAsia="zh-CN"/>
              </w:rPr>
              <w:t>编制了《</w:t>
            </w:r>
            <w:r>
              <w:rPr>
                <w:rFonts w:hint="eastAsia" w:ascii="Times New Roman" w:hAnsi="Times New Roman" w:cs="Times New Roman"/>
                <w:bCs/>
                <w:sz w:val="24"/>
                <w:lang w:eastAsia="zh-CN"/>
              </w:rPr>
              <w:t>木兰皇家农业综合示范园区集中供热承德富龙现代农业发展有限公司锅炉升级改造项目</w:t>
            </w:r>
            <w:r>
              <w:rPr>
                <w:rFonts w:hint="eastAsia" w:ascii="Times New Roman" w:hAnsi="Times New Roman" w:cs="Times New Roman"/>
                <w:bCs/>
                <w:sz w:val="24"/>
                <w:lang w:val="en-US" w:eastAsia="zh-CN"/>
              </w:rPr>
              <w:t>环境影响报告表》，项目于2020年6月27日完成了竣工环境保护验收工作。</w:t>
            </w:r>
          </w:p>
          <w:p>
            <w:pPr>
              <w:spacing w:line="360" w:lineRule="auto"/>
              <w:ind w:firstLine="480" w:firstLineChars="200"/>
              <w:rPr>
                <w:rFonts w:hint="eastAsia" w:ascii="Times New Roman" w:hAnsi="Times New Roman" w:cs="Times New Roman"/>
                <w:bCs/>
                <w:sz w:val="24"/>
              </w:rPr>
            </w:pPr>
            <w:r>
              <w:rPr>
                <w:rFonts w:hint="eastAsia" w:ascii="Times New Roman" w:hAnsi="Times New Roman" w:cs="Times New Roman"/>
                <w:bCs/>
                <w:sz w:val="24"/>
                <w:lang w:val="en-US" w:eastAsia="zh-CN"/>
              </w:rPr>
              <w:t>2020年3月31日，</w:t>
            </w:r>
            <w:r>
              <w:rPr>
                <w:rFonts w:hint="eastAsia" w:ascii="Times New Roman" w:hAnsi="Times New Roman" w:cs="Times New Roman"/>
                <w:bCs/>
                <w:sz w:val="24"/>
              </w:rPr>
              <w:t>承德富龙现代农业发展有限公司</w:t>
            </w:r>
            <w:r>
              <w:rPr>
                <w:rFonts w:hint="eastAsia" w:ascii="Times New Roman" w:hAnsi="Times New Roman" w:cs="Times New Roman"/>
                <w:bCs/>
                <w:sz w:val="24"/>
                <w:lang w:val="en-US" w:eastAsia="zh-CN"/>
              </w:rPr>
              <w:t>首次取得了全国</w:t>
            </w:r>
            <w:r>
              <w:rPr>
                <w:rFonts w:hint="eastAsia" w:ascii="Times New Roman" w:hAnsi="Times New Roman" w:cs="Times New Roman"/>
                <w:bCs/>
                <w:sz w:val="24"/>
              </w:rPr>
              <w:t>排污许可证</w:t>
            </w:r>
            <w:r>
              <w:rPr>
                <w:rFonts w:hint="eastAsia" w:ascii="Times New Roman" w:hAnsi="Times New Roman" w:cs="Times New Roman"/>
                <w:bCs/>
                <w:sz w:val="24"/>
                <w:lang w:val="en-US" w:eastAsia="zh-CN"/>
              </w:rPr>
              <w:t>（</w:t>
            </w:r>
            <w:r>
              <w:rPr>
                <w:rFonts w:hint="eastAsia" w:ascii="Times New Roman" w:hAnsi="Times New Roman" w:cs="Times New Roman"/>
                <w:bCs/>
                <w:sz w:val="24"/>
              </w:rPr>
              <w:t>许可证编号</w:t>
            </w:r>
            <w:r>
              <w:rPr>
                <w:rFonts w:hint="eastAsia" w:ascii="Times New Roman" w:hAnsi="Times New Roman" w:cs="Times New Roman"/>
                <w:bCs/>
                <w:sz w:val="24"/>
                <w:lang w:eastAsia="zh-CN"/>
              </w:rPr>
              <w:t>：91130828595446895P001X</w:t>
            </w:r>
            <w:r>
              <w:rPr>
                <w:rFonts w:hint="eastAsia" w:ascii="Times New Roman" w:hAnsi="Times New Roman" w:cs="Times New Roman"/>
                <w:bCs/>
                <w:sz w:val="24"/>
                <w:lang w:val="en-US" w:eastAsia="zh-CN"/>
              </w:rPr>
              <w:t>）</w:t>
            </w:r>
            <w:r>
              <w:rPr>
                <w:rFonts w:hint="eastAsia" w:ascii="Times New Roman" w:hAnsi="Times New Roman" w:cs="Times New Roman"/>
                <w:bCs/>
                <w:sz w:val="24"/>
              </w:rPr>
              <w:t>。</w:t>
            </w:r>
          </w:p>
          <w:p>
            <w:pPr>
              <w:pStyle w:val="17"/>
            </w:pPr>
            <w:r>
              <w:rPr>
                <w:rFonts w:hint="default" w:ascii="Times New Roman" w:hAnsi="Times New Roman" w:eastAsia="宋体" w:cs="Times New Roman"/>
                <w:b/>
                <w:bCs/>
                <w:color w:val="auto"/>
                <w:kern w:val="44"/>
                <w:sz w:val="24"/>
                <w:szCs w:val="24"/>
                <w:lang w:val="en-US" w:eastAsia="zh-CN"/>
              </w:rPr>
              <w:t>2、现有工程主要建设内容</w:t>
            </w:r>
          </w:p>
          <w:p>
            <w:pPr>
              <w:spacing w:line="360" w:lineRule="auto"/>
              <w:ind w:firstLine="480" w:firstLineChars="200"/>
              <w:rPr>
                <w:rFonts w:hint="eastAsia" w:ascii="Times New Roman" w:hAnsi="Times New Roman" w:cs="Times New Roman"/>
                <w:color w:val="auto"/>
                <w:kern w:val="24"/>
                <w:sz w:val="24"/>
                <w:szCs w:val="24"/>
                <w:lang w:eastAsia="zh-CN"/>
              </w:rPr>
            </w:pPr>
            <w:r>
              <w:rPr>
                <w:rFonts w:hint="eastAsia" w:ascii="Times New Roman" w:hAnsi="Times New Roman" w:eastAsia="宋体" w:cs="Times New Roman"/>
                <w:color w:val="auto"/>
                <w:kern w:val="44"/>
                <w:sz w:val="24"/>
                <w:szCs w:val="24"/>
                <w:lang w:val="en-US" w:eastAsia="zh-CN"/>
              </w:rPr>
              <w:t>承德富龙现代农业发展有限公司</w:t>
            </w:r>
            <w:r>
              <w:rPr>
                <w:rFonts w:hint="eastAsia" w:ascii="Times New Roman" w:hAnsi="Times New Roman" w:cs="Times New Roman"/>
                <w:bCs/>
                <w:sz w:val="24"/>
                <w:lang w:val="en-US" w:eastAsia="zh-CN"/>
              </w:rPr>
              <w:t>2020年新建</w:t>
            </w:r>
            <w:r>
              <w:rPr>
                <w:rFonts w:hint="eastAsia" w:ascii="Times New Roman" w:hAnsi="Times New Roman" w:eastAsia="宋体" w:cs="Times New Roman"/>
                <w:color w:val="auto"/>
                <w:kern w:val="44"/>
                <w:sz w:val="24"/>
                <w:szCs w:val="24"/>
                <w:lang w:val="en-US" w:eastAsia="zh-CN"/>
              </w:rPr>
              <w:t>1台20t/h生物质锅炉，用于生产供热。</w:t>
            </w:r>
            <w:r>
              <w:rPr>
                <w:rFonts w:hint="default" w:ascii="Times New Roman" w:hAnsi="Times New Roman" w:cs="Times New Roman"/>
                <w:color w:val="auto"/>
                <w:kern w:val="0"/>
                <w:sz w:val="24"/>
                <w:szCs w:val="24"/>
                <w:lang w:eastAsia="zh-CN"/>
              </w:rPr>
              <w:t>主要建设内容</w:t>
            </w:r>
            <w:r>
              <w:rPr>
                <w:rFonts w:hint="eastAsia" w:ascii="Times New Roman" w:hAnsi="Times New Roman" w:cs="Times New Roman"/>
                <w:color w:val="auto"/>
                <w:kern w:val="0"/>
                <w:sz w:val="24"/>
                <w:szCs w:val="24"/>
                <w:lang w:eastAsia="zh-CN"/>
              </w:rPr>
              <w:t>锅炉房、生物质棚</w:t>
            </w:r>
            <w:r>
              <w:rPr>
                <w:rFonts w:hint="default" w:ascii="Times New Roman" w:hAnsi="Times New Roman" w:cs="Times New Roman"/>
                <w:color w:val="auto"/>
                <w:kern w:val="0"/>
                <w:sz w:val="24"/>
                <w:szCs w:val="24"/>
                <w:lang w:val="en-US" w:eastAsia="zh-CN"/>
              </w:rPr>
              <w:t>等</w:t>
            </w:r>
            <w:r>
              <w:rPr>
                <w:rFonts w:hint="default" w:ascii="Times New Roman" w:hAnsi="Times New Roman" w:cs="Times New Roman"/>
                <w:color w:val="auto"/>
                <w:kern w:val="0"/>
                <w:sz w:val="24"/>
                <w:szCs w:val="24"/>
              </w:rPr>
              <w:t>。</w:t>
            </w:r>
            <w:r>
              <w:rPr>
                <w:rFonts w:hint="default" w:ascii="Times New Roman" w:hAnsi="Times New Roman" w:cs="Times New Roman"/>
                <w:color w:val="auto"/>
                <w:kern w:val="24"/>
                <w:sz w:val="24"/>
                <w:szCs w:val="24"/>
              </w:rPr>
              <w:t>主要建构筑物见</w:t>
            </w:r>
            <w:r>
              <w:rPr>
                <w:rFonts w:hint="eastAsia" w:ascii="Times New Roman" w:hAnsi="Times New Roman" w:cs="Times New Roman"/>
                <w:color w:val="auto"/>
                <w:kern w:val="24"/>
                <w:sz w:val="24"/>
                <w:szCs w:val="24"/>
                <w:lang w:eastAsia="zh-CN"/>
              </w:rPr>
              <w:t>下</w:t>
            </w:r>
            <w:r>
              <w:rPr>
                <w:rFonts w:hint="default" w:ascii="Times New Roman" w:hAnsi="Times New Roman" w:cs="Times New Roman"/>
                <w:color w:val="auto"/>
                <w:kern w:val="24"/>
                <w:sz w:val="24"/>
                <w:szCs w:val="24"/>
              </w:rPr>
              <w:t>表</w:t>
            </w:r>
            <w:r>
              <w:rPr>
                <w:rFonts w:hint="eastAsia" w:ascii="Times New Roman" w:hAnsi="Times New Roman" w:cs="Times New Roman"/>
                <w:color w:val="auto"/>
                <w:kern w:val="24"/>
                <w:sz w:val="24"/>
                <w:szCs w:val="24"/>
                <w:lang w:eastAsia="zh-CN"/>
              </w:rPr>
              <w:t>：</w:t>
            </w:r>
          </w:p>
          <w:p>
            <w:pPr>
              <w:pStyle w:val="49"/>
              <w:rPr>
                <w:rFonts w:hint="default" w:ascii="Times New Roman" w:hAnsi="Times New Roman" w:eastAsia="宋体" w:cs="Times New Roman"/>
              </w:rPr>
            </w:pPr>
            <w:r>
              <w:rPr>
                <w:rFonts w:hint="default" w:ascii="Times New Roman" w:hAnsi="Times New Roman" w:eastAsia="宋体" w:cs="Times New Roman"/>
              </w:rPr>
              <w:t>表</w:t>
            </w:r>
            <w:r>
              <w:rPr>
                <w:rFonts w:hint="eastAsia" w:ascii="Times New Roman" w:hAnsi="Times New Roman" w:eastAsia="宋体" w:cs="Times New Roman"/>
                <w:lang w:val="en-US" w:eastAsia="zh-CN"/>
              </w:rPr>
              <w:t>2-</w:t>
            </w:r>
            <w:r>
              <w:rPr>
                <w:rFonts w:hint="eastAsia" w:cs="Times New Roman"/>
                <w:lang w:val="en-US" w:eastAsia="zh-CN"/>
              </w:rPr>
              <w:t>8</w:t>
            </w:r>
            <w:r>
              <w:rPr>
                <w:rFonts w:hint="default" w:ascii="Times New Roman" w:hAnsi="Times New Roman" w:eastAsia="宋体" w:cs="Times New Roman"/>
              </w:rPr>
              <w:t xml:space="preserve">  项目</w:t>
            </w:r>
            <w:r>
              <w:rPr>
                <w:rFonts w:hint="default" w:ascii="Times New Roman" w:hAnsi="Times New Roman" w:eastAsia="宋体" w:cs="Times New Roman"/>
                <w:lang w:val="en-US" w:eastAsia="zh-CN"/>
              </w:rPr>
              <w:t>现有工程</w:t>
            </w:r>
            <w:r>
              <w:rPr>
                <w:rFonts w:hint="default" w:ascii="Times New Roman" w:hAnsi="Times New Roman" w:eastAsia="宋体" w:cs="Times New Roman"/>
              </w:rPr>
              <w:t>主要建设内容一览表</w:t>
            </w:r>
          </w:p>
          <w:tbl>
            <w:tblPr>
              <w:tblStyle w:val="24"/>
              <w:tblW w:w="499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67"/>
              <w:gridCol w:w="1079"/>
              <w:gridCol w:w="691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385" w:type="pct"/>
                  <w:tcBorders>
                    <w:tl2br w:val="nil"/>
                    <w:tr2bl w:val="nil"/>
                  </w:tcBorders>
                  <w:noWrap w:val="0"/>
                  <w:vAlign w:val="center"/>
                </w:tcPr>
                <w:p>
                  <w:pPr>
                    <w:pStyle w:val="53"/>
                    <w:rPr>
                      <w:rFonts w:hint="default" w:ascii="Times New Roman" w:hAnsi="Times New Roman" w:eastAsia="宋体" w:cs="Times New Roman"/>
                      <w:b/>
                      <w:bCs/>
                    </w:rPr>
                  </w:pPr>
                  <w:r>
                    <w:rPr>
                      <w:rFonts w:hint="default" w:ascii="Times New Roman" w:hAnsi="Times New Roman" w:eastAsia="宋体" w:cs="Times New Roman"/>
                      <w:b/>
                      <w:bCs/>
                    </w:rPr>
                    <w:t>工程类型</w:t>
                  </w:r>
                </w:p>
              </w:tc>
              <w:tc>
                <w:tcPr>
                  <w:tcW w:w="623" w:type="pct"/>
                  <w:tcBorders>
                    <w:tl2br w:val="nil"/>
                    <w:tr2bl w:val="nil"/>
                  </w:tcBorders>
                  <w:noWrap w:val="0"/>
                  <w:vAlign w:val="center"/>
                </w:tcPr>
                <w:p>
                  <w:pPr>
                    <w:pStyle w:val="53"/>
                    <w:rPr>
                      <w:rFonts w:hint="default" w:ascii="Times New Roman" w:hAnsi="Times New Roman" w:eastAsia="宋体" w:cs="Times New Roman"/>
                      <w:b/>
                      <w:bCs/>
                    </w:rPr>
                  </w:pPr>
                  <w:r>
                    <w:rPr>
                      <w:rFonts w:hint="default" w:ascii="Times New Roman" w:hAnsi="Times New Roman" w:eastAsia="宋体" w:cs="Times New Roman"/>
                      <w:b/>
                      <w:bCs/>
                    </w:rPr>
                    <w:t>名称</w:t>
                  </w:r>
                </w:p>
              </w:tc>
              <w:tc>
                <w:tcPr>
                  <w:tcW w:w="3991" w:type="pct"/>
                  <w:tcBorders>
                    <w:tl2br w:val="nil"/>
                    <w:tr2bl w:val="nil"/>
                  </w:tcBorders>
                  <w:noWrap w:val="0"/>
                  <w:vAlign w:val="center"/>
                </w:tcPr>
                <w:p>
                  <w:pPr>
                    <w:pStyle w:val="53"/>
                    <w:rPr>
                      <w:rFonts w:hint="default" w:ascii="Times New Roman" w:hAnsi="Times New Roman" w:eastAsia="宋体" w:cs="Times New Roman"/>
                      <w:b/>
                      <w:bCs/>
                    </w:rPr>
                  </w:pPr>
                  <w:r>
                    <w:rPr>
                      <w:rFonts w:hint="default" w:ascii="Times New Roman" w:hAnsi="Times New Roman" w:eastAsia="宋体" w:cs="Times New Roman"/>
                      <w:b/>
                      <w:bCs/>
                    </w:rPr>
                    <w:t>建设内容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385" w:type="pct"/>
                  <w:tcBorders>
                    <w:tl2br w:val="nil"/>
                    <w:tr2bl w:val="nil"/>
                  </w:tcBorders>
                  <w:noWrap w:val="0"/>
                  <w:vAlign w:val="center"/>
                </w:tcPr>
                <w:p>
                  <w:pPr>
                    <w:pStyle w:val="53"/>
                    <w:rPr>
                      <w:rFonts w:hint="default" w:ascii="Times New Roman" w:hAnsi="Times New Roman" w:eastAsia="宋体" w:cs="Times New Roman"/>
                    </w:rPr>
                  </w:pPr>
                  <w:r>
                    <w:rPr>
                      <w:rFonts w:hint="default" w:ascii="Times New Roman" w:hAnsi="Times New Roman" w:eastAsia="宋体" w:cs="Times New Roman"/>
                    </w:rPr>
                    <w:t>主体工程</w:t>
                  </w:r>
                </w:p>
              </w:tc>
              <w:tc>
                <w:tcPr>
                  <w:tcW w:w="623" w:type="pct"/>
                  <w:tcBorders>
                    <w:tl2br w:val="nil"/>
                    <w:tr2bl w:val="nil"/>
                  </w:tcBorders>
                  <w:noWrap w:val="0"/>
                  <w:vAlign w:val="center"/>
                </w:tcPr>
                <w:p>
                  <w:pPr>
                    <w:pStyle w:val="53"/>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lang w:val="en-US" w:eastAsia="zh-CN"/>
                    </w:rPr>
                    <w:t>锅炉房</w:t>
                  </w:r>
                </w:p>
              </w:tc>
              <w:tc>
                <w:tcPr>
                  <w:tcW w:w="3991" w:type="pct"/>
                  <w:tcBorders>
                    <w:tl2br w:val="nil"/>
                    <w:tr2bl w:val="nil"/>
                  </w:tcBorders>
                  <w:noWrap w:val="0"/>
                  <w:vAlign w:val="center"/>
                </w:tcPr>
                <w:p>
                  <w:pPr>
                    <w:pStyle w:val="53"/>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1座，占地面积为1000m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，位于厂区东南侧，内设1台20t/h生物质锅炉，用于生产供热。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385" w:type="pct"/>
                  <w:vMerge w:val="restart"/>
                  <w:tcBorders>
                    <w:tl2br w:val="nil"/>
                    <w:tr2bl w:val="nil"/>
                  </w:tcBorders>
                  <w:noWrap w:val="0"/>
                  <w:vAlign w:val="center"/>
                </w:tcPr>
                <w:p>
                  <w:pPr>
                    <w:pStyle w:val="53"/>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辅助工程</w:t>
                  </w:r>
                </w:p>
              </w:tc>
              <w:tc>
                <w:tcPr>
                  <w:tcW w:w="623" w:type="pct"/>
                  <w:tcBorders>
                    <w:tl2br w:val="nil"/>
                    <w:tr2bl w:val="nil"/>
                  </w:tcBorders>
                  <w:noWrap w:val="0"/>
                  <w:vAlign w:val="center"/>
                </w:tcPr>
                <w:p>
                  <w:pPr>
                    <w:pStyle w:val="53"/>
                    <w:ind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生物质棚</w:t>
                  </w:r>
                </w:p>
              </w:tc>
              <w:tc>
                <w:tcPr>
                  <w:tcW w:w="3991" w:type="pct"/>
                  <w:tcBorders>
                    <w:tl2br w:val="nil"/>
                    <w:tr2bl w:val="nil"/>
                  </w:tcBorders>
                  <w:noWrap w:val="0"/>
                  <w:vAlign w:val="center"/>
                </w:tcPr>
                <w:p>
                  <w:pPr>
                    <w:pStyle w:val="53"/>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1处，占地面积为2000m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，位于锅炉房西侧，用于生物质燃料储存。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385" w:type="pct"/>
                  <w:vMerge w:val="continue"/>
                  <w:tcBorders>
                    <w:tl2br w:val="nil"/>
                    <w:tr2bl w:val="nil"/>
                  </w:tcBorders>
                  <w:noWrap w:val="0"/>
                  <w:vAlign w:val="center"/>
                </w:tcPr>
                <w:p>
                  <w:pPr>
                    <w:pStyle w:val="53"/>
                    <w:rPr>
                      <w:rFonts w:hint="default" w:ascii="Times New Roman" w:hAnsi="Times New Roman" w:eastAsia="宋体" w:cs="Times New Roman"/>
                      <w:lang w:val="en-US" w:eastAsia="zh-CN"/>
                    </w:rPr>
                  </w:pPr>
                </w:p>
              </w:tc>
              <w:tc>
                <w:tcPr>
                  <w:tcW w:w="623" w:type="pct"/>
                  <w:tcBorders>
                    <w:tl2br w:val="nil"/>
                    <w:tr2bl w:val="nil"/>
                  </w:tcBorders>
                  <w:noWrap w:val="0"/>
                  <w:vAlign w:val="center"/>
                </w:tcPr>
                <w:p>
                  <w:pPr>
                    <w:pStyle w:val="46"/>
                    <w:spacing w:line="240" w:lineRule="auto"/>
                    <w:ind w:firstLine="0" w:firstLineChars="0"/>
                    <w:jc w:val="center"/>
                    <w:rPr>
                      <w:rFonts w:hint="default" w:ascii="Times New Roman" w:hAnsi="Times New Roman" w:eastAsia="宋体" w:cs="Times New Roman"/>
                      <w:kern w:val="2"/>
                      <w:sz w:val="24"/>
                      <w:szCs w:val="22"/>
                      <w:lang w:val="en-US" w:eastAsia="zh-CN" w:bidi="ar-SA"/>
                    </w:rPr>
                  </w:pPr>
                  <w:r>
                    <w:rPr>
                      <w:rFonts w:hint="default" w:ascii="Times New Roman" w:hAnsi="Times New Roman" w:eastAsia="宋体" w:cs="Times New Roman"/>
                      <w:color w:val="auto"/>
                      <w:sz w:val="21"/>
                      <w:szCs w:val="21"/>
                    </w:rPr>
                    <w:t>软水系统</w:t>
                  </w:r>
                </w:p>
              </w:tc>
              <w:tc>
                <w:tcPr>
                  <w:tcW w:w="3991" w:type="pct"/>
                  <w:tcBorders>
                    <w:tl2br w:val="nil"/>
                    <w:tr2bl w:val="nil"/>
                  </w:tcBorders>
                  <w:noWrap w:val="0"/>
                  <w:vAlign w:val="center"/>
                </w:tcPr>
                <w:p>
                  <w:pPr>
                    <w:pStyle w:val="46"/>
                    <w:spacing w:line="240" w:lineRule="auto"/>
                    <w:ind w:firstLine="0" w:firstLineChars="0"/>
                    <w:jc w:val="center"/>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sz w:val="21"/>
                      <w:szCs w:val="21"/>
                      <w:lang w:val="en-US" w:eastAsia="zh-CN"/>
                    </w:rPr>
                    <w:t>采用</w:t>
                  </w:r>
                  <w:r>
                    <w:rPr>
                      <w:rFonts w:hint="default" w:ascii="Times New Roman" w:hAnsi="Times New Roman" w:eastAsia="宋体" w:cs="Times New Roman"/>
                      <w:color w:val="auto"/>
                      <w:sz w:val="21"/>
                      <w:szCs w:val="21"/>
                    </w:rPr>
                    <w:t>离子交换</w:t>
                  </w:r>
                  <w:r>
                    <w:rPr>
                      <w:rFonts w:hint="default" w:ascii="Times New Roman" w:hAnsi="Times New Roman" w:eastAsia="宋体" w:cs="Times New Roman"/>
                      <w:color w:val="auto"/>
                      <w:sz w:val="21"/>
                      <w:szCs w:val="21"/>
                      <w:lang w:val="en-US" w:eastAsia="zh-CN"/>
                    </w:rPr>
                    <w:t>法制备软化水，共1套。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385" w:type="pct"/>
                  <w:vMerge w:val="restart"/>
                  <w:tcBorders>
                    <w:tl2br w:val="nil"/>
                    <w:tr2bl w:val="nil"/>
                  </w:tcBorders>
                  <w:noWrap w:val="0"/>
                  <w:vAlign w:val="center"/>
                </w:tcPr>
                <w:p>
                  <w:pPr>
                    <w:pStyle w:val="53"/>
                    <w:ind w:firstLine="0" w:firstLineChars="0"/>
                    <w:rPr>
                      <w:rFonts w:hint="default" w:ascii="Times New Roman" w:hAnsi="Times New Roman" w:eastAsia="宋体" w:cs="Times New Roman"/>
                    </w:rPr>
                  </w:pPr>
                  <w:r>
                    <w:rPr>
                      <w:rFonts w:hint="default" w:ascii="Times New Roman" w:hAnsi="Times New Roman" w:eastAsia="宋体" w:cs="Times New Roman"/>
                      <w:color w:val="auto"/>
                    </w:rPr>
                    <w:t>公用工程</w:t>
                  </w:r>
                </w:p>
              </w:tc>
              <w:tc>
                <w:tcPr>
                  <w:tcW w:w="623" w:type="pct"/>
                  <w:tcBorders>
                    <w:tl2br w:val="nil"/>
                    <w:tr2bl w:val="nil"/>
                  </w:tcBorders>
                  <w:noWrap w:val="0"/>
                  <w:vAlign w:val="center"/>
                </w:tcPr>
                <w:p>
                  <w:pPr>
                    <w:pStyle w:val="53"/>
                    <w:ind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rPr>
                    <w:t>给水</w:t>
                  </w:r>
                  <w:r>
                    <w:rPr>
                      <w:rFonts w:hint="default" w:ascii="Times New Roman" w:hAnsi="Times New Roman" w:eastAsia="宋体" w:cs="Times New Roman"/>
                      <w:lang w:val="en-US" w:eastAsia="zh-CN"/>
                    </w:rPr>
                    <w:t>工程</w:t>
                  </w:r>
                </w:p>
              </w:tc>
              <w:tc>
                <w:tcPr>
                  <w:tcW w:w="3991" w:type="pct"/>
                  <w:tcBorders>
                    <w:tl2br w:val="nil"/>
                    <w:tr2bl w:val="nil"/>
                  </w:tcBorders>
                  <w:noWrap w:val="0"/>
                  <w:vAlign w:val="center"/>
                </w:tcPr>
                <w:p>
                  <w:pPr>
                    <w:widowControl/>
                    <w:snapToGri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b w:val="0"/>
                      <w:bCs/>
                      <w:color w:val="auto"/>
                      <w:kern w:val="44"/>
                      <w:sz w:val="21"/>
                      <w:szCs w:val="21"/>
                      <w:vertAlign w:val="baseline"/>
                      <w:lang w:val="en-US" w:eastAsia="zh-CN"/>
                    </w:rPr>
                    <w:t>依托</w:t>
                  </w:r>
                  <w:r>
                    <w:rPr>
                      <w:rFonts w:hint="default" w:ascii="Times New Roman" w:hAnsi="Times New Roman" w:eastAsia="宋体" w:cs="Times New Roman"/>
                      <w:lang w:val="en-US" w:eastAsia="zh-CN"/>
                    </w:rPr>
                    <w:t>厂区现有供水工程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385" w:type="pct"/>
                  <w:vMerge w:val="continue"/>
                  <w:tcBorders>
                    <w:tl2br w:val="nil"/>
                    <w:tr2bl w:val="nil"/>
                  </w:tcBorders>
                  <w:noWrap w:val="0"/>
                  <w:vAlign w:val="center"/>
                </w:tcPr>
                <w:p>
                  <w:pPr>
                    <w:pStyle w:val="53"/>
                    <w:ind w:firstLine="0" w:firstLineChars="0"/>
                    <w:rPr>
                      <w:rFonts w:hint="default" w:ascii="Times New Roman" w:hAnsi="Times New Roman" w:eastAsia="宋体" w:cs="Times New Roman"/>
                    </w:rPr>
                  </w:pPr>
                </w:p>
              </w:tc>
              <w:tc>
                <w:tcPr>
                  <w:tcW w:w="623" w:type="pct"/>
                  <w:tcBorders>
                    <w:tl2br w:val="nil"/>
                    <w:tr2bl w:val="nil"/>
                  </w:tcBorders>
                  <w:noWrap w:val="0"/>
                  <w:vAlign w:val="center"/>
                </w:tcPr>
                <w:p>
                  <w:pPr>
                    <w:pStyle w:val="53"/>
                    <w:ind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排水工程</w:t>
                  </w:r>
                </w:p>
              </w:tc>
              <w:tc>
                <w:tcPr>
                  <w:tcW w:w="3991" w:type="pct"/>
                  <w:tcBorders>
                    <w:tl2br w:val="nil"/>
                    <w:tr2bl w:val="nil"/>
                  </w:tcBorders>
                  <w:noWrap w:val="0"/>
                  <w:vAlign w:val="center"/>
                </w:tcPr>
                <w:p>
                  <w:pPr>
                    <w:widowControl/>
                    <w:snapToGri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本项目不新增员工，无新增生活污水；本项目废水为锅炉排污水和软化水制备</w:t>
                  </w:r>
                  <w:r>
                    <w:rPr>
                      <w:rFonts w:hint="eastAsia" w:ascii="Times New Roman" w:hAnsi="Times New Roman" w:eastAsia="宋体" w:cs="Times New Roman"/>
                      <w:color w:val="auto"/>
                      <w:sz w:val="21"/>
                      <w:szCs w:val="21"/>
                      <w:lang w:val="en-US" w:eastAsia="zh-CN"/>
                    </w:rPr>
                    <w:t>废水通过厂区管网进入厂区污水处理站，依托厂区原有污水处理站进行处理</w:t>
                  </w:r>
                  <w:r>
                    <w:rPr>
                      <w:rFonts w:hint="default" w:ascii="Times New Roman" w:hAnsi="Times New Roman" w:eastAsia="宋体" w:cs="Times New Roman"/>
                      <w:color w:val="auto"/>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385" w:type="pct"/>
                  <w:vMerge w:val="continue"/>
                  <w:tcBorders>
                    <w:tl2br w:val="nil"/>
                    <w:tr2bl w:val="nil"/>
                  </w:tcBorders>
                  <w:noWrap w:val="0"/>
                  <w:vAlign w:val="center"/>
                </w:tcPr>
                <w:p>
                  <w:pPr>
                    <w:pStyle w:val="53"/>
                    <w:ind w:firstLine="0" w:firstLineChars="0"/>
                    <w:rPr>
                      <w:rFonts w:hint="default" w:ascii="Times New Roman" w:hAnsi="Times New Roman" w:eastAsia="宋体" w:cs="Times New Roman"/>
                    </w:rPr>
                  </w:pPr>
                </w:p>
              </w:tc>
              <w:tc>
                <w:tcPr>
                  <w:tcW w:w="623" w:type="pct"/>
                  <w:tcBorders>
                    <w:tl2br w:val="nil"/>
                    <w:tr2bl w:val="nil"/>
                  </w:tcBorders>
                  <w:noWrap w:val="0"/>
                  <w:vAlign w:val="center"/>
                </w:tcPr>
                <w:p>
                  <w:pPr>
                    <w:pStyle w:val="53"/>
                    <w:ind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rPr>
                    <w:t>供电</w:t>
                  </w:r>
                  <w:r>
                    <w:rPr>
                      <w:rFonts w:hint="default" w:ascii="Times New Roman" w:hAnsi="Times New Roman" w:eastAsia="宋体" w:cs="Times New Roman"/>
                      <w:lang w:val="en-US" w:eastAsia="zh-CN"/>
                    </w:rPr>
                    <w:t>工程</w:t>
                  </w:r>
                </w:p>
              </w:tc>
              <w:tc>
                <w:tcPr>
                  <w:tcW w:w="3991" w:type="pct"/>
                  <w:tcBorders>
                    <w:tl2br w:val="nil"/>
                    <w:tr2bl w:val="nil"/>
                  </w:tcBorders>
                  <w:noWrap w:val="0"/>
                  <w:vAlign w:val="center"/>
                </w:tcPr>
                <w:p>
                  <w:pPr>
                    <w:pStyle w:val="53"/>
                    <w:tabs>
                      <w:tab w:val="left" w:pos="498"/>
                      <w:tab w:val="center" w:pos="3342"/>
                    </w:tabs>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b w:val="0"/>
                      <w:bCs/>
                      <w:color w:val="auto"/>
                      <w:kern w:val="44"/>
                      <w:sz w:val="21"/>
                      <w:szCs w:val="21"/>
                      <w:vertAlign w:val="baseline"/>
                      <w:lang w:val="en-US" w:eastAsia="zh-CN"/>
                    </w:rPr>
                    <w:t>依托</w:t>
                  </w:r>
                  <w:r>
                    <w:rPr>
                      <w:rFonts w:hint="default" w:ascii="Times New Roman" w:hAnsi="Times New Roman" w:eastAsia="宋体" w:cs="Times New Roman"/>
                      <w:lang w:val="en-US" w:eastAsia="zh-CN"/>
                    </w:rPr>
                    <w:t>厂区现有</w:t>
                  </w:r>
                  <w:r>
                    <w:rPr>
                      <w:rFonts w:hint="default" w:ascii="Times New Roman" w:hAnsi="Times New Roman" w:eastAsia="宋体" w:cs="Times New Roman"/>
                      <w:b w:val="0"/>
                      <w:bCs/>
                      <w:color w:val="auto"/>
                      <w:kern w:val="44"/>
                      <w:sz w:val="21"/>
                      <w:szCs w:val="21"/>
                      <w:vertAlign w:val="baseline"/>
                      <w:lang w:val="en-US" w:eastAsia="zh-CN"/>
                    </w:rPr>
                    <w:t>供电系统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385" w:type="pct"/>
                  <w:vMerge w:val="restart"/>
                  <w:tcBorders>
                    <w:tl2br w:val="nil"/>
                    <w:tr2bl w:val="nil"/>
                  </w:tcBorders>
                  <w:noWrap w:val="0"/>
                  <w:vAlign w:val="center"/>
                </w:tcPr>
                <w:p>
                  <w:pPr>
                    <w:pStyle w:val="53"/>
                    <w:ind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环保工程</w:t>
                  </w:r>
                </w:p>
              </w:tc>
              <w:tc>
                <w:tcPr>
                  <w:tcW w:w="623" w:type="pct"/>
                  <w:tcBorders>
                    <w:tl2br w:val="nil"/>
                    <w:tr2bl w:val="nil"/>
                  </w:tcBorders>
                  <w:noWrap w:val="0"/>
                  <w:vAlign w:val="center"/>
                </w:tcPr>
                <w:p>
                  <w:pPr>
                    <w:pStyle w:val="53"/>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废气治理</w:t>
                  </w:r>
                </w:p>
              </w:tc>
              <w:tc>
                <w:tcPr>
                  <w:tcW w:w="3991" w:type="pct"/>
                  <w:tcBorders>
                    <w:tl2br w:val="nil"/>
                    <w:tr2bl w:val="nil"/>
                  </w:tcBorders>
                  <w:noWrap w:val="0"/>
                  <w:vAlign w:val="center"/>
                </w:tcPr>
                <w:p>
                  <w:pPr>
                    <w:pStyle w:val="53"/>
                    <w:ind w:firstLine="0" w:firstLineChars="0"/>
                    <w:jc w:val="center"/>
                    <w:rPr>
                      <w:rFonts w:hint="default" w:ascii="Times New Roman" w:hAnsi="Times New Roman" w:eastAsia="宋体" w:cs="Times New Roman"/>
                      <w:b w:val="0"/>
                      <w:bCs/>
                      <w:color w:val="auto"/>
                      <w:kern w:val="44"/>
                      <w:sz w:val="21"/>
                      <w:szCs w:val="21"/>
                      <w:vertAlign w:val="baseline"/>
                      <w:lang w:val="en-US" w:eastAsia="zh-CN"/>
                    </w:rPr>
                  </w:pPr>
                  <w:r>
                    <w:rPr>
                      <w:rFonts w:hint="default" w:ascii="Times New Roman" w:hAnsi="Times New Roman" w:eastAsia="宋体" w:cs="Times New Roman"/>
                      <w:color w:val="auto"/>
                      <w:sz w:val="21"/>
                      <w:szCs w:val="21"/>
                      <w:lang w:val="en-US" w:eastAsia="zh-CN"/>
                    </w:rPr>
                    <w:t>20t/h生物质锅炉废气经布袋除尘+水浴除尘后经1根45m高排气筒排放。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385" w:type="pct"/>
                  <w:vMerge w:val="continue"/>
                  <w:tcBorders>
                    <w:tl2br w:val="nil"/>
                    <w:tr2bl w:val="nil"/>
                  </w:tcBorders>
                  <w:noWrap w:val="0"/>
                  <w:vAlign w:val="center"/>
                </w:tcPr>
                <w:p>
                  <w:pPr>
                    <w:pStyle w:val="53"/>
                    <w:ind w:firstLine="0" w:firstLineChars="0"/>
                    <w:rPr>
                      <w:rFonts w:hint="default" w:ascii="Times New Roman" w:hAnsi="Times New Roman" w:eastAsia="宋体" w:cs="Times New Roman"/>
                    </w:rPr>
                  </w:pPr>
                </w:p>
              </w:tc>
              <w:tc>
                <w:tcPr>
                  <w:tcW w:w="623" w:type="pct"/>
                  <w:tcBorders>
                    <w:tl2br w:val="nil"/>
                    <w:tr2bl w:val="nil"/>
                  </w:tcBorders>
                  <w:noWrap w:val="0"/>
                  <w:vAlign w:val="center"/>
                </w:tcPr>
                <w:p>
                  <w:pPr>
                    <w:pStyle w:val="53"/>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废水治理</w:t>
                  </w:r>
                </w:p>
              </w:tc>
              <w:tc>
                <w:tcPr>
                  <w:tcW w:w="3991" w:type="pct"/>
                  <w:tcBorders>
                    <w:tl2br w:val="nil"/>
                    <w:tr2bl w:val="nil"/>
                  </w:tcBorders>
                  <w:noWrap w:val="0"/>
                  <w:vAlign w:val="center"/>
                </w:tcPr>
                <w:p>
                  <w:pPr>
                    <w:pStyle w:val="53"/>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锅炉排污水和软化水制备废水通过厂区管网进入厂区污水处理站，依托厂区原有污水处理站进行处理。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385" w:type="pct"/>
                  <w:vMerge w:val="continue"/>
                  <w:tcBorders>
                    <w:tl2br w:val="nil"/>
                    <w:tr2bl w:val="nil"/>
                  </w:tcBorders>
                  <w:noWrap w:val="0"/>
                  <w:vAlign w:val="center"/>
                </w:tcPr>
                <w:p>
                  <w:pPr>
                    <w:pStyle w:val="53"/>
                    <w:ind w:firstLine="0" w:firstLineChars="0"/>
                    <w:rPr>
                      <w:rFonts w:hint="default" w:ascii="Times New Roman" w:hAnsi="Times New Roman" w:eastAsia="宋体" w:cs="Times New Roman"/>
                      <w:color w:val="auto"/>
                      <w:lang w:val="en-US" w:eastAsia="zh-CN"/>
                    </w:rPr>
                  </w:pPr>
                </w:p>
              </w:tc>
              <w:tc>
                <w:tcPr>
                  <w:tcW w:w="623" w:type="pct"/>
                  <w:tcBorders>
                    <w:tl2br w:val="nil"/>
                    <w:tr2bl w:val="nil"/>
                  </w:tcBorders>
                  <w:noWrap w:val="0"/>
                  <w:vAlign w:val="center"/>
                </w:tcPr>
                <w:p>
                  <w:pPr>
                    <w:pStyle w:val="53"/>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噪声治理</w:t>
                  </w:r>
                </w:p>
              </w:tc>
              <w:tc>
                <w:tcPr>
                  <w:tcW w:w="3991" w:type="pct"/>
                  <w:tcBorders>
                    <w:tl2br w:val="nil"/>
                    <w:tr2bl w:val="nil"/>
                  </w:tcBorders>
                  <w:noWrap w:val="0"/>
                  <w:vAlign w:val="center"/>
                </w:tcPr>
                <w:p>
                  <w:pPr>
                    <w:pStyle w:val="53"/>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锅炉房</w:t>
                  </w:r>
                  <w:r>
                    <w:rPr>
                      <w:rFonts w:hint="default" w:ascii="Times New Roman" w:hAnsi="Times New Roman" w:eastAsia="宋体" w:cs="Times New Roman"/>
                      <w:color w:val="auto"/>
                      <w:sz w:val="21"/>
                      <w:szCs w:val="21"/>
                    </w:rPr>
                    <w:t>封闭、设备基础减振</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合理布局</w:t>
                  </w:r>
                  <w:r>
                    <w:rPr>
                      <w:rFonts w:hint="default" w:ascii="Times New Roman" w:hAnsi="Times New Roman" w:eastAsia="宋体" w:cs="Times New Roman"/>
                      <w:color w:val="auto"/>
                      <w:sz w:val="21"/>
                      <w:szCs w:val="21"/>
                    </w:rPr>
                    <w:t>等措施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385" w:type="pct"/>
                  <w:vMerge w:val="continue"/>
                  <w:tcBorders>
                    <w:tl2br w:val="nil"/>
                    <w:tr2bl w:val="nil"/>
                  </w:tcBorders>
                  <w:noWrap w:val="0"/>
                  <w:vAlign w:val="center"/>
                </w:tcPr>
                <w:p>
                  <w:pPr>
                    <w:pStyle w:val="53"/>
                    <w:ind w:firstLine="0" w:firstLineChars="0"/>
                    <w:rPr>
                      <w:rFonts w:hint="default" w:ascii="Times New Roman" w:hAnsi="Times New Roman" w:eastAsia="宋体" w:cs="Times New Roman"/>
                      <w:color w:val="auto"/>
                      <w:lang w:val="en-US" w:eastAsia="zh-CN"/>
                    </w:rPr>
                  </w:pPr>
                </w:p>
              </w:tc>
              <w:tc>
                <w:tcPr>
                  <w:tcW w:w="623" w:type="pct"/>
                  <w:tcBorders>
                    <w:tl2br w:val="nil"/>
                    <w:tr2bl w:val="nil"/>
                  </w:tcBorders>
                  <w:noWrap w:val="0"/>
                  <w:vAlign w:val="center"/>
                </w:tcPr>
                <w:p>
                  <w:pPr>
                    <w:pStyle w:val="53"/>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固废治理</w:t>
                  </w:r>
                </w:p>
              </w:tc>
              <w:tc>
                <w:tcPr>
                  <w:tcW w:w="3991" w:type="pct"/>
                  <w:tcBorders>
                    <w:tl2br w:val="nil"/>
                    <w:tr2bl w:val="nil"/>
                  </w:tcBorders>
                  <w:noWrap w:val="0"/>
                  <w:vAlign w:val="center"/>
                </w:tcPr>
                <w:p>
                  <w:pPr>
                    <w:pStyle w:val="53"/>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炉渣、除尘灰、</w:t>
                  </w:r>
                  <w:r>
                    <w:rPr>
                      <w:rFonts w:hint="default" w:ascii="Times New Roman" w:hAnsi="Times New Roman" w:eastAsia="宋体" w:cs="Times New Roman"/>
                      <w:color w:val="auto"/>
                      <w:sz w:val="21"/>
                      <w:szCs w:val="21"/>
                      <w:lang w:val="en-US" w:eastAsia="zh-CN"/>
                    </w:rPr>
                    <w:t>水浴除尘池底固形物</w:t>
                  </w:r>
                  <w:r>
                    <w:rPr>
                      <w:rFonts w:hint="default" w:ascii="Times New Roman" w:hAnsi="Times New Roman" w:eastAsia="宋体" w:cs="Times New Roman"/>
                      <w:sz w:val="21"/>
                      <w:szCs w:val="21"/>
                      <w:highlight w:val="none"/>
                      <w:lang w:val="en-US" w:eastAsia="zh-CN"/>
                    </w:rPr>
                    <w:t>定期外运至围场县环境卫生管理服务处；</w:t>
                  </w:r>
                  <w:r>
                    <w:rPr>
                      <w:rFonts w:hint="default" w:ascii="Times New Roman" w:hAnsi="Times New Roman" w:eastAsia="宋体" w:cs="Times New Roman"/>
                      <w:color w:val="auto"/>
                      <w:sz w:val="21"/>
                      <w:szCs w:val="21"/>
                      <w:lang w:val="en-US" w:eastAsia="zh-CN"/>
                    </w:rPr>
                    <w:t>生物质燃料</w:t>
                  </w:r>
                  <w:r>
                    <w:rPr>
                      <w:rFonts w:hint="default" w:ascii="Times New Roman" w:hAnsi="Times New Roman" w:eastAsia="宋体" w:cs="Times New Roman"/>
                      <w:color w:val="auto"/>
                      <w:sz w:val="21"/>
                      <w:szCs w:val="21"/>
                      <w:lang w:eastAsia="zh-CN"/>
                    </w:rPr>
                    <w:t>废包装袋集中收集后</w:t>
                  </w:r>
                  <w:r>
                    <w:rPr>
                      <w:rFonts w:hint="default" w:ascii="Times New Roman" w:hAnsi="Times New Roman" w:eastAsia="宋体" w:cs="Times New Roman"/>
                      <w:color w:val="auto"/>
                      <w:sz w:val="21"/>
                      <w:szCs w:val="21"/>
                      <w:lang w:val="en-US" w:eastAsia="zh-CN"/>
                    </w:rPr>
                    <w:t>由供货厂家回收</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eastAsia" w:eastAsia="宋体" w:cs="Times New Roman"/>
                      <w:color w:val="000000" w:themeColor="text1"/>
                      <w:sz w:val="21"/>
                      <w:szCs w:val="21"/>
                      <w:lang w:eastAsia="zh-CN"/>
                      <w14:textFill>
                        <w14:solidFill>
                          <w14:schemeClr w14:val="tx1"/>
                        </w14:solidFill>
                      </w14:textFill>
                    </w:rPr>
                    <w:t>废弃</w:t>
                  </w:r>
                  <w:r>
                    <w:rPr>
                      <w:rFonts w:hint="default" w:ascii="Times New Roman" w:hAnsi="Times New Roman" w:eastAsia="宋体" w:cs="Times New Roman"/>
                      <w:color w:val="000000" w:themeColor="text1"/>
                      <w:sz w:val="21"/>
                      <w:szCs w:val="21"/>
                      <w:lang w:eastAsia="zh-CN"/>
                      <w14:textFill>
                        <w14:solidFill>
                          <w14:schemeClr w14:val="tx1"/>
                        </w14:solidFill>
                      </w14:textFill>
                    </w:rPr>
                    <w:t>离子交换树脂集中收集后</w:t>
                  </w:r>
                  <w:r>
                    <w:rPr>
                      <w:rFonts w:hint="eastAsia" w:eastAsia="宋体" w:cs="Times New Roman"/>
                      <w:color w:val="000000" w:themeColor="text1"/>
                      <w:sz w:val="21"/>
                      <w:szCs w:val="21"/>
                      <w:lang w:eastAsia="zh-CN"/>
                      <w14:textFill>
                        <w14:solidFill>
                          <w14:schemeClr w14:val="tx1"/>
                        </w14:solidFill>
                      </w14:textFill>
                    </w:rPr>
                    <w:t>由厂家回收</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leftChars="200"/>
              <w:textAlignment w:val="auto"/>
              <w:rPr>
                <w:rFonts w:hint="default"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3、</w:t>
            </w:r>
            <w:r>
              <w:rPr>
                <w:rFonts w:hint="default" w:ascii="Times New Roman" w:hAnsi="Times New Roman" w:eastAsia="宋体" w:cs="Times New Roman"/>
                <w:b/>
                <w:bCs/>
                <w:color w:val="auto"/>
                <w:kern w:val="0"/>
                <w:sz w:val="24"/>
                <w:szCs w:val="24"/>
                <w:lang w:val="en-US" w:eastAsia="zh-CN"/>
              </w:rPr>
              <w:t>主要原材料及能源消耗</w:t>
            </w:r>
          </w:p>
          <w:p>
            <w:pPr>
              <w:spacing w:line="360" w:lineRule="auto"/>
              <w:ind w:firstLine="480" w:firstLineChars="200"/>
              <w:rPr>
                <w:rFonts w:hint="eastAsia" w:ascii="Times New Roman" w:hAnsi="Times New Roman" w:eastAsia="宋体" w:cs="Times New Roman"/>
                <w:color w:val="auto"/>
                <w:kern w:val="44"/>
                <w:sz w:val="24"/>
                <w:szCs w:val="24"/>
                <w:lang w:val="en-US" w:eastAsia="zh-CN"/>
              </w:rPr>
            </w:pPr>
            <w:r>
              <w:rPr>
                <w:rFonts w:hint="default" w:ascii="Times New Roman" w:hAnsi="Times New Roman" w:eastAsia="宋体" w:cs="Times New Roman"/>
                <w:color w:val="auto"/>
                <w:kern w:val="44"/>
                <w:sz w:val="24"/>
                <w:szCs w:val="24"/>
                <w:lang w:val="en-US" w:eastAsia="zh-CN"/>
              </w:rPr>
              <w:t>主要原辅材料及能源消耗详见下表</w:t>
            </w:r>
            <w:r>
              <w:rPr>
                <w:rFonts w:hint="eastAsia" w:ascii="Times New Roman" w:hAnsi="Times New Roman" w:eastAsia="宋体" w:cs="Times New Roman"/>
                <w:color w:val="auto"/>
                <w:kern w:val="44"/>
                <w:sz w:val="24"/>
                <w:szCs w:val="24"/>
                <w:lang w:val="en-US" w:eastAsia="zh-CN"/>
              </w:rPr>
              <w:t>：</w:t>
            </w:r>
          </w:p>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default" w:ascii="Times New Roman" w:hAnsi="Times New Roman" w:eastAsia="宋体" w:cs="Times New Roman"/>
                <w:b/>
                <w:color w:val="auto"/>
                <w:szCs w:val="21"/>
              </w:rPr>
            </w:pPr>
            <w:r>
              <w:rPr>
                <w:rFonts w:hint="default" w:ascii="Times New Roman" w:hAnsi="Times New Roman" w:eastAsia="宋体" w:cs="Times New Roman"/>
                <w:b/>
                <w:iCs/>
                <w:color w:val="auto"/>
                <w:szCs w:val="21"/>
                <w:lang w:bidi="ar"/>
              </w:rPr>
              <w:t>表</w:t>
            </w:r>
            <w:r>
              <w:rPr>
                <w:rFonts w:hint="default" w:ascii="Times New Roman" w:hAnsi="Times New Roman" w:eastAsia="宋体" w:cs="Times New Roman"/>
                <w:b/>
                <w:iCs/>
                <w:color w:val="auto"/>
                <w:szCs w:val="21"/>
                <w:lang w:val="en-US" w:eastAsia="zh-CN" w:bidi="ar"/>
              </w:rPr>
              <w:t>2-</w:t>
            </w:r>
            <w:r>
              <w:rPr>
                <w:rFonts w:hint="eastAsia" w:ascii="Times New Roman" w:hAnsi="Times New Roman" w:eastAsia="宋体" w:cs="Times New Roman"/>
                <w:b/>
                <w:iCs/>
                <w:color w:val="auto"/>
                <w:szCs w:val="21"/>
                <w:lang w:val="en-US" w:eastAsia="zh-CN" w:bidi="ar"/>
              </w:rPr>
              <w:t xml:space="preserve">9  </w:t>
            </w:r>
            <w:r>
              <w:rPr>
                <w:rFonts w:hint="default" w:ascii="Times New Roman" w:hAnsi="Times New Roman" w:eastAsia="宋体" w:cs="Times New Roman"/>
                <w:b/>
                <w:iCs/>
                <w:color w:val="auto"/>
                <w:szCs w:val="21"/>
                <w:lang w:bidi="ar"/>
              </w:rPr>
              <w:t>项目</w:t>
            </w:r>
            <w:r>
              <w:rPr>
                <w:rFonts w:hint="default" w:ascii="Times New Roman" w:hAnsi="Times New Roman" w:eastAsia="宋体" w:cs="Times New Roman"/>
                <w:b/>
                <w:iCs/>
                <w:color w:val="auto"/>
                <w:szCs w:val="21"/>
                <w:lang w:val="en-US" w:eastAsia="zh-CN" w:bidi="ar"/>
              </w:rPr>
              <w:t>现有工程原辅材料及</w:t>
            </w:r>
            <w:r>
              <w:rPr>
                <w:rFonts w:hint="default" w:ascii="Times New Roman" w:hAnsi="Times New Roman" w:eastAsia="宋体" w:cs="Times New Roman"/>
                <w:b/>
                <w:iCs/>
                <w:color w:val="auto"/>
                <w:szCs w:val="21"/>
                <w:lang w:bidi="ar"/>
              </w:rPr>
              <w:t>能源消耗汇总表</w:t>
            </w:r>
          </w:p>
          <w:tbl>
            <w:tblPr>
              <w:tblStyle w:val="24"/>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42"/>
              <w:gridCol w:w="1670"/>
              <w:gridCol w:w="1207"/>
              <w:gridCol w:w="1607"/>
              <w:gridCol w:w="333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86" w:type="pct"/>
                  <w:noWrap w:val="0"/>
                  <w:vAlign w:val="center"/>
                </w:tcPr>
                <w:p>
                  <w:pPr>
                    <w:pStyle w:val="19"/>
                    <w:spacing w:line="28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bidi="ar"/>
                    </w:rPr>
                    <w:t>序号</w:t>
                  </w:r>
                </w:p>
              </w:tc>
              <w:tc>
                <w:tcPr>
                  <w:tcW w:w="964" w:type="pct"/>
                  <w:noWrap w:val="0"/>
                  <w:vAlign w:val="center"/>
                </w:tcPr>
                <w:p>
                  <w:pPr>
                    <w:pStyle w:val="19"/>
                    <w:spacing w:line="28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bidi="ar"/>
                    </w:rPr>
                    <w:t>名称</w:t>
                  </w:r>
                </w:p>
              </w:tc>
              <w:tc>
                <w:tcPr>
                  <w:tcW w:w="697" w:type="pct"/>
                  <w:noWrap w:val="0"/>
                  <w:vAlign w:val="center"/>
                </w:tcPr>
                <w:p>
                  <w:pPr>
                    <w:pStyle w:val="19"/>
                    <w:spacing w:line="28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bidi="ar"/>
                    </w:rPr>
                    <w:t>单位</w:t>
                  </w:r>
                </w:p>
              </w:tc>
              <w:tc>
                <w:tcPr>
                  <w:tcW w:w="928" w:type="pct"/>
                  <w:noWrap w:val="0"/>
                  <w:vAlign w:val="center"/>
                </w:tcPr>
                <w:p>
                  <w:pPr>
                    <w:pStyle w:val="19"/>
                    <w:spacing w:line="28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bidi="ar"/>
                    </w:rPr>
                    <w:t>数量</w:t>
                  </w:r>
                </w:p>
              </w:tc>
              <w:tc>
                <w:tcPr>
                  <w:tcW w:w="1923" w:type="pct"/>
                  <w:noWrap w:val="0"/>
                  <w:vAlign w:val="center"/>
                </w:tcPr>
                <w:p>
                  <w:pPr>
                    <w:pStyle w:val="19"/>
                    <w:spacing w:line="28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bidi="ar"/>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86" w:type="pct"/>
                  <w:noWrap w:val="0"/>
                  <w:vAlign w:val="center"/>
                </w:tcPr>
                <w:p>
                  <w:pPr>
                    <w:pStyle w:val="19"/>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1</w:t>
                  </w:r>
                </w:p>
              </w:tc>
              <w:tc>
                <w:tcPr>
                  <w:tcW w:w="964" w:type="pct"/>
                  <w:noWrap w:val="0"/>
                  <w:vAlign w:val="center"/>
                </w:tcPr>
                <w:p>
                  <w:pPr>
                    <w:pStyle w:val="19"/>
                    <w:spacing w:line="28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生物质</w:t>
                  </w:r>
                </w:p>
              </w:tc>
              <w:tc>
                <w:tcPr>
                  <w:tcW w:w="697" w:type="pct"/>
                  <w:noWrap w:val="0"/>
                  <w:vAlign w:val="center"/>
                </w:tcPr>
                <w:p>
                  <w:pPr>
                    <w:pStyle w:val="19"/>
                    <w:spacing w:line="28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吨</w:t>
                  </w:r>
                </w:p>
              </w:tc>
              <w:tc>
                <w:tcPr>
                  <w:tcW w:w="928" w:type="pct"/>
                  <w:noWrap w:val="0"/>
                  <w:vAlign w:val="center"/>
                </w:tcPr>
                <w:p>
                  <w:pPr>
                    <w:pStyle w:val="19"/>
                    <w:spacing w:line="28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7000</w:t>
                  </w:r>
                </w:p>
              </w:tc>
              <w:tc>
                <w:tcPr>
                  <w:tcW w:w="1923" w:type="pct"/>
                  <w:noWrap w:val="0"/>
                  <w:vAlign w:val="center"/>
                </w:tcPr>
                <w:p>
                  <w:pPr>
                    <w:pStyle w:val="19"/>
                    <w:spacing w:line="28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sz w:val="21"/>
                      <w:szCs w:val="21"/>
                      <w:lang w:val="en-US" w:eastAsia="zh-CN"/>
                    </w:rPr>
                    <w:t>外购袋装成型生物质颗粒燃料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86" w:type="pct"/>
                  <w:noWrap w:val="0"/>
                  <w:vAlign w:val="center"/>
                </w:tcPr>
                <w:p>
                  <w:pPr>
                    <w:pStyle w:val="19"/>
                    <w:spacing w:line="280" w:lineRule="exact"/>
                    <w:jc w:val="center"/>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2</w:t>
                  </w:r>
                </w:p>
              </w:tc>
              <w:tc>
                <w:tcPr>
                  <w:tcW w:w="964" w:type="pct"/>
                  <w:noWrap w:val="0"/>
                  <w:vAlign w:val="center"/>
                </w:tcPr>
                <w:p>
                  <w:pPr>
                    <w:pStyle w:val="19"/>
                    <w:spacing w:line="28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新鲜水</w:t>
                  </w:r>
                </w:p>
              </w:tc>
              <w:tc>
                <w:tcPr>
                  <w:tcW w:w="697" w:type="pct"/>
                  <w:noWrap w:val="0"/>
                  <w:vAlign w:val="center"/>
                </w:tcPr>
                <w:p>
                  <w:pPr>
                    <w:pStyle w:val="19"/>
                    <w:spacing w:line="28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w:t>
                  </w:r>
                  <w:r>
                    <w:rPr>
                      <w:rFonts w:hint="default" w:ascii="Times New Roman" w:hAnsi="Times New Roman" w:eastAsia="宋体" w:cs="Times New Roman"/>
                      <w:color w:val="auto"/>
                      <w:sz w:val="21"/>
                      <w:szCs w:val="21"/>
                    </w:rPr>
                    <w:t>/a</w:t>
                  </w:r>
                </w:p>
              </w:tc>
              <w:tc>
                <w:tcPr>
                  <w:tcW w:w="928" w:type="pct"/>
                  <w:noWrap w:val="0"/>
                  <w:vAlign w:val="center"/>
                </w:tcPr>
                <w:p>
                  <w:pPr>
                    <w:pStyle w:val="19"/>
                    <w:spacing w:line="280" w:lineRule="exact"/>
                    <w:jc w:val="center"/>
                    <w:rPr>
                      <w:rFonts w:hint="default" w:ascii="Times New Roman" w:hAnsi="Times New Roman" w:eastAsia="宋体" w:cs="Times New Roman"/>
                      <w:color w:val="auto"/>
                      <w:sz w:val="21"/>
                      <w:szCs w:val="21"/>
                      <w:highlight w:val="cyan"/>
                      <w:lang w:val="en-US" w:eastAsia="zh-CN"/>
                    </w:rPr>
                  </w:pPr>
                  <w:r>
                    <w:rPr>
                      <w:rFonts w:hint="default" w:ascii="Times New Roman" w:hAnsi="Times New Roman" w:eastAsia="宋体" w:cs="Times New Roman"/>
                      <w:color w:val="auto"/>
                      <w:sz w:val="21"/>
                      <w:szCs w:val="21"/>
                      <w:lang w:val="en-US" w:eastAsia="zh-CN"/>
                    </w:rPr>
                    <w:t>508.5</w:t>
                  </w:r>
                </w:p>
              </w:tc>
              <w:tc>
                <w:tcPr>
                  <w:tcW w:w="1923" w:type="pct"/>
                  <w:noWrap w:val="0"/>
                  <w:vAlign w:val="center"/>
                </w:tcPr>
                <w:p>
                  <w:pPr>
                    <w:pStyle w:val="19"/>
                    <w:spacing w:line="28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kern w:val="44"/>
                      <w:sz w:val="21"/>
                      <w:szCs w:val="21"/>
                      <w:vertAlign w:val="baseline"/>
                      <w:lang w:val="en-US" w:eastAsia="zh-CN"/>
                    </w:rPr>
                    <w:t>依托</w:t>
                  </w:r>
                  <w:r>
                    <w:rPr>
                      <w:rFonts w:hint="default" w:ascii="Times New Roman" w:hAnsi="Times New Roman" w:eastAsia="宋体" w:cs="Times New Roman"/>
                      <w:color w:val="auto"/>
                      <w:sz w:val="21"/>
                      <w:szCs w:val="21"/>
                      <w:lang w:val="en-US" w:eastAsia="zh-CN"/>
                    </w:rPr>
                    <w:t>厂区现有供水工程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86" w:type="pct"/>
                  <w:noWrap w:val="0"/>
                  <w:vAlign w:val="center"/>
                </w:tcPr>
                <w:p>
                  <w:pPr>
                    <w:pStyle w:val="19"/>
                    <w:spacing w:line="280" w:lineRule="exact"/>
                    <w:jc w:val="center"/>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lang w:val="en-US" w:eastAsia="zh-CN" w:bidi="ar"/>
                    </w:rPr>
                    <w:t>3</w:t>
                  </w:r>
                </w:p>
              </w:tc>
              <w:tc>
                <w:tcPr>
                  <w:tcW w:w="964" w:type="pct"/>
                  <w:noWrap w:val="0"/>
                  <w:vAlign w:val="center"/>
                </w:tcPr>
                <w:p>
                  <w:pPr>
                    <w:pStyle w:val="19"/>
                    <w:spacing w:line="28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bidi="ar"/>
                    </w:rPr>
                    <w:t>电</w:t>
                  </w:r>
                </w:p>
              </w:tc>
              <w:tc>
                <w:tcPr>
                  <w:tcW w:w="697" w:type="pct"/>
                  <w:noWrap w:val="0"/>
                  <w:vAlign w:val="center"/>
                </w:tcPr>
                <w:p>
                  <w:pPr>
                    <w:pStyle w:val="19"/>
                    <w:spacing w:line="28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bidi="ar"/>
                    </w:rPr>
                    <w:t>kW·h/a</w:t>
                  </w:r>
                </w:p>
              </w:tc>
              <w:tc>
                <w:tcPr>
                  <w:tcW w:w="928" w:type="pct"/>
                  <w:noWrap w:val="0"/>
                  <w:vAlign w:val="center"/>
                </w:tcPr>
                <w:p>
                  <w:pPr>
                    <w:pStyle w:val="19"/>
                    <w:spacing w:line="280" w:lineRule="exact"/>
                    <w:jc w:val="center"/>
                    <w:rPr>
                      <w:rFonts w:hint="default" w:ascii="Times New Roman" w:hAnsi="Times New Roman" w:eastAsia="宋体" w:cs="Times New Roman"/>
                      <w:color w:val="auto"/>
                      <w:sz w:val="21"/>
                      <w:szCs w:val="21"/>
                      <w:highlight w:val="cyan"/>
                      <w:lang w:val="en-US" w:eastAsia="zh-CN"/>
                    </w:rPr>
                  </w:pPr>
                  <w:r>
                    <w:rPr>
                      <w:rFonts w:hint="default" w:ascii="Times New Roman" w:hAnsi="Times New Roman" w:eastAsia="宋体" w:cs="Times New Roman"/>
                      <w:color w:val="auto"/>
                      <w:sz w:val="21"/>
                      <w:szCs w:val="21"/>
                      <w:highlight w:val="none"/>
                      <w:lang w:val="en-US" w:eastAsia="zh-CN"/>
                    </w:rPr>
                    <w:t>5万</w:t>
                  </w:r>
                </w:p>
              </w:tc>
              <w:tc>
                <w:tcPr>
                  <w:tcW w:w="1923" w:type="pct"/>
                  <w:noWrap w:val="0"/>
                  <w:vAlign w:val="center"/>
                </w:tcPr>
                <w:p>
                  <w:pPr>
                    <w:pStyle w:val="19"/>
                    <w:spacing w:line="28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kern w:val="44"/>
                      <w:sz w:val="21"/>
                      <w:szCs w:val="21"/>
                      <w:vertAlign w:val="baseline"/>
                      <w:lang w:val="en-US" w:eastAsia="zh-CN"/>
                    </w:rPr>
                    <w:t>依托</w:t>
                  </w:r>
                  <w:r>
                    <w:rPr>
                      <w:rFonts w:hint="default" w:ascii="Times New Roman" w:hAnsi="Times New Roman" w:eastAsia="宋体" w:cs="Times New Roman"/>
                      <w:sz w:val="21"/>
                      <w:szCs w:val="21"/>
                      <w:lang w:val="en-US" w:eastAsia="zh-CN"/>
                    </w:rPr>
                    <w:t>厂区现有</w:t>
                  </w:r>
                  <w:r>
                    <w:rPr>
                      <w:rFonts w:hint="default" w:ascii="Times New Roman" w:hAnsi="Times New Roman" w:eastAsia="宋体" w:cs="Times New Roman"/>
                      <w:b w:val="0"/>
                      <w:bCs/>
                      <w:color w:val="auto"/>
                      <w:kern w:val="44"/>
                      <w:sz w:val="21"/>
                      <w:szCs w:val="21"/>
                      <w:vertAlign w:val="baseline"/>
                      <w:lang w:val="en-US" w:eastAsia="zh-CN"/>
                    </w:rPr>
                    <w:t>供电系统</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default"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4</w:t>
            </w:r>
            <w:r>
              <w:rPr>
                <w:rFonts w:hint="default" w:ascii="Times New Roman" w:hAnsi="Times New Roman" w:eastAsia="宋体" w:cs="Times New Roman"/>
                <w:b/>
                <w:bCs/>
                <w:color w:val="auto"/>
                <w:kern w:val="0"/>
                <w:sz w:val="24"/>
                <w:szCs w:val="24"/>
                <w:lang w:val="en-US" w:eastAsia="zh-CN"/>
              </w:rPr>
              <w:t>、主要设备</w:t>
            </w:r>
          </w:p>
          <w:p>
            <w:pPr>
              <w:spacing w:line="360" w:lineRule="auto"/>
              <w:ind w:firstLine="480" w:firstLineChars="200"/>
              <w:rPr>
                <w:rFonts w:hint="eastAsia"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主要生产设备详见下表</w:t>
            </w:r>
            <w:r>
              <w:rPr>
                <w:rFonts w:hint="eastAsia" w:ascii="Times New Roman" w:hAnsi="Times New Roman" w:eastAsia="宋体" w:cs="Times New Roman"/>
                <w:color w:val="auto"/>
                <w:kern w:val="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cs="Times New Roman"/>
                <w:b/>
                <w:bCs/>
                <w:color w:val="auto"/>
                <w:kern w:val="24"/>
                <w:sz w:val="24"/>
                <w:szCs w:val="24"/>
                <w:lang w:eastAsia="zh-CN"/>
              </w:rPr>
            </w:pPr>
            <w:r>
              <w:rPr>
                <w:rFonts w:hint="default" w:ascii="Times New Roman" w:hAnsi="Times New Roman" w:eastAsia="宋体" w:cs="Times New Roman"/>
                <w:b/>
                <w:iCs/>
                <w:color w:val="auto"/>
                <w:szCs w:val="21"/>
                <w:lang w:bidi="ar"/>
              </w:rPr>
              <w:t>表</w:t>
            </w:r>
            <w:r>
              <w:rPr>
                <w:rFonts w:hint="default" w:ascii="Times New Roman" w:hAnsi="Times New Roman" w:eastAsia="宋体" w:cs="Times New Roman"/>
                <w:b/>
                <w:iCs/>
                <w:color w:val="auto"/>
                <w:szCs w:val="21"/>
                <w:lang w:val="en-US" w:eastAsia="zh-CN" w:bidi="ar"/>
              </w:rPr>
              <w:t>2-</w:t>
            </w:r>
            <w:r>
              <w:rPr>
                <w:rFonts w:hint="eastAsia" w:ascii="Times New Roman" w:hAnsi="Times New Roman" w:eastAsia="宋体" w:cs="Times New Roman"/>
                <w:b/>
                <w:iCs/>
                <w:color w:val="auto"/>
                <w:szCs w:val="21"/>
                <w:lang w:val="en-US" w:eastAsia="zh-CN" w:bidi="ar"/>
              </w:rPr>
              <w:t xml:space="preserve">10  </w:t>
            </w:r>
            <w:r>
              <w:rPr>
                <w:rFonts w:hint="default" w:ascii="Times New Roman" w:hAnsi="Times New Roman" w:eastAsia="宋体" w:cs="Times New Roman"/>
                <w:b/>
                <w:iCs/>
                <w:color w:val="auto"/>
                <w:szCs w:val="21"/>
                <w:lang w:bidi="ar"/>
              </w:rPr>
              <w:t>项目</w:t>
            </w:r>
            <w:r>
              <w:rPr>
                <w:rFonts w:hint="default" w:ascii="Times New Roman" w:hAnsi="Times New Roman" w:eastAsia="宋体" w:cs="Times New Roman"/>
                <w:b/>
                <w:iCs/>
                <w:color w:val="auto"/>
                <w:szCs w:val="21"/>
                <w:lang w:val="en-US" w:eastAsia="zh-CN" w:bidi="ar"/>
              </w:rPr>
              <w:t>现有工程</w:t>
            </w:r>
            <w:r>
              <w:rPr>
                <w:rFonts w:hint="default" w:ascii="Times New Roman" w:hAnsi="Times New Roman" w:eastAsia="宋体" w:cs="Times New Roman"/>
                <w:b/>
                <w:color w:val="auto"/>
                <w:szCs w:val="21"/>
                <w:lang w:val="en-US" w:eastAsia="zh-CN"/>
              </w:rPr>
              <w:t>生产</w:t>
            </w:r>
            <w:r>
              <w:rPr>
                <w:rFonts w:hint="default" w:ascii="Times New Roman" w:hAnsi="Times New Roman" w:eastAsia="宋体" w:cs="Times New Roman"/>
                <w:b/>
                <w:color w:val="auto"/>
              </w:rPr>
              <w:t>设备一览表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0"/>
              <w:gridCol w:w="2257"/>
              <w:gridCol w:w="2593"/>
              <w:gridCol w:w="1219"/>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7" w:type="pct"/>
                  <w:noWrap w:val="0"/>
                  <w:vAlign w:val="center"/>
                </w:tcPr>
                <w:p>
                  <w:pPr>
                    <w:spacing w:line="300" w:lineRule="exac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序号</w:t>
                  </w:r>
                </w:p>
              </w:tc>
              <w:tc>
                <w:tcPr>
                  <w:tcW w:w="1302" w:type="pct"/>
                  <w:noWrap w:val="0"/>
                  <w:vAlign w:val="center"/>
                </w:tcPr>
                <w:p>
                  <w:pPr>
                    <w:spacing w:line="300" w:lineRule="exac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设备</w:t>
                  </w:r>
                </w:p>
              </w:tc>
              <w:tc>
                <w:tcPr>
                  <w:tcW w:w="1495" w:type="pct"/>
                  <w:noWrap w:val="0"/>
                  <w:vAlign w:val="center"/>
                </w:tcPr>
                <w:p>
                  <w:pPr>
                    <w:spacing w:line="300" w:lineRule="exac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型号</w:t>
                  </w:r>
                </w:p>
              </w:tc>
              <w:tc>
                <w:tcPr>
                  <w:tcW w:w="703" w:type="pct"/>
                  <w:noWrap w:val="0"/>
                  <w:vAlign w:val="center"/>
                </w:tcPr>
                <w:p>
                  <w:pPr>
                    <w:spacing w:line="300" w:lineRule="exac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数量</w:t>
                  </w:r>
                </w:p>
              </w:tc>
              <w:tc>
                <w:tcPr>
                  <w:tcW w:w="880" w:type="pct"/>
                  <w:noWrap w:val="0"/>
                  <w:vAlign w:val="center"/>
                </w:tcPr>
                <w:p>
                  <w:pPr>
                    <w:spacing w:line="300" w:lineRule="exac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7" w:type="pct"/>
                  <w:noWrap w:val="0"/>
                  <w:vAlign w:val="center"/>
                </w:tcPr>
                <w:p>
                  <w:pPr>
                    <w:spacing w:line="300" w:lineRule="exact"/>
                    <w:jc w:val="center"/>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1</w:t>
                  </w:r>
                </w:p>
              </w:tc>
              <w:tc>
                <w:tcPr>
                  <w:tcW w:w="1302" w:type="pct"/>
                  <w:noWrap w:val="0"/>
                  <w:vAlign w:val="center"/>
                </w:tcPr>
                <w:p>
                  <w:pPr>
                    <w:spacing w:line="300" w:lineRule="exact"/>
                    <w:jc w:val="center"/>
                    <w:rPr>
                      <w:rFonts w:hint="default" w:ascii="Times New Roman" w:hAnsi="Times New Roman" w:eastAsia="宋体" w:cs="Times New Roman"/>
                      <w:color w:val="FF0000"/>
                      <w:szCs w:val="21"/>
                      <w:lang w:val="en-US" w:eastAsia="zh-CN"/>
                    </w:rPr>
                  </w:pPr>
                  <w:r>
                    <w:rPr>
                      <w:rFonts w:hint="default" w:ascii="Times New Roman" w:hAnsi="Times New Roman" w:eastAsia="宋体" w:cs="Times New Roman"/>
                      <w:color w:val="auto"/>
                      <w:szCs w:val="21"/>
                      <w:lang w:val="en-US" w:eastAsia="zh-CN"/>
                    </w:rPr>
                    <w:t>锅炉</w:t>
                  </w:r>
                </w:p>
              </w:tc>
              <w:tc>
                <w:tcPr>
                  <w:tcW w:w="1495" w:type="pct"/>
                  <w:noWrap w:val="0"/>
                  <w:vAlign w:val="center"/>
                </w:tcPr>
                <w:p>
                  <w:pPr>
                    <w:widowControl/>
                    <w:jc w:val="center"/>
                    <w:rPr>
                      <w:rFonts w:hint="default" w:ascii="Times New Roman" w:hAnsi="Times New Roman" w:eastAsia="宋体" w:cs="Times New Roman"/>
                      <w:color w:val="FF0000"/>
                      <w:szCs w:val="21"/>
                      <w:lang w:val="en-US" w:eastAsia="zh-CN"/>
                    </w:rPr>
                  </w:pPr>
                  <w:r>
                    <w:rPr>
                      <w:rFonts w:hint="default" w:ascii="Times New Roman" w:hAnsi="Times New Roman" w:eastAsia="宋体" w:cs="Times New Roman"/>
                      <w:kern w:val="0"/>
                      <w:szCs w:val="21"/>
                      <w:lang w:val="en-US" w:eastAsia="zh-CN"/>
                    </w:rPr>
                    <w:t>SHX</w:t>
                  </w:r>
                  <w:r>
                    <w:rPr>
                      <w:rFonts w:hint="default" w:ascii="Times New Roman" w:hAnsi="Times New Roman" w:eastAsia="宋体" w:cs="Times New Roman"/>
                      <w:kern w:val="0"/>
                      <w:szCs w:val="21"/>
                    </w:rPr>
                    <w:t>20-</w:t>
                  </w:r>
                  <w:r>
                    <w:rPr>
                      <w:rFonts w:hint="default" w:ascii="Times New Roman" w:hAnsi="Times New Roman" w:eastAsia="宋体" w:cs="Times New Roman"/>
                      <w:kern w:val="0"/>
                      <w:szCs w:val="21"/>
                      <w:lang w:val="en-US" w:eastAsia="zh-CN"/>
                    </w:rPr>
                    <w:t>2.5</w:t>
                  </w:r>
                  <w:r>
                    <w:rPr>
                      <w:rFonts w:hint="default" w:ascii="Times New Roman" w:hAnsi="Times New Roman" w:eastAsia="宋体" w:cs="Times New Roman"/>
                      <w:kern w:val="0"/>
                      <w:szCs w:val="21"/>
                    </w:rPr>
                    <w:t>-</w:t>
                  </w:r>
                  <w:r>
                    <w:rPr>
                      <w:rFonts w:hint="default" w:ascii="Times New Roman" w:hAnsi="Times New Roman" w:eastAsia="宋体" w:cs="Times New Roman"/>
                      <w:kern w:val="0"/>
                      <w:szCs w:val="21"/>
                      <w:lang w:val="en-US" w:eastAsia="zh-CN"/>
                    </w:rPr>
                    <w:t>H</w:t>
                  </w:r>
                </w:p>
              </w:tc>
              <w:tc>
                <w:tcPr>
                  <w:tcW w:w="703" w:type="pct"/>
                  <w:noWrap w:val="0"/>
                  <w:vAlign w:val="center"/>
                </w:tcPr>
                <w:p>
                  <w:pPr>
                    <w:spacing w:line="300" w:lineRule="exact"/>
                    <w:jc w:val="center"/>
                    <w:rPr>
                      <w:rFonts w:hint="default" w:ascii="Times New Roman" w:hAnsi="Times New Roman" w:eastAsia="宋体" w:cs="Times New Roman"/>
                      <w:color w:val="FF0000"/>
                      <w:szCs w:val="21"/>
                      <w:lang w:val="en-US" w:eastAsia="zh-CN"/>
                    </w:rPr>
                  </w:pPr>
                  <w:r>
                    <w:rPr>
                      <w:rFonts w:hint="default" w:ascii="Times New Roman" w:hAnsi="Times New Roman" w:eastAsia="宋体" w:cs="Times New Roman"/>
                      <w:color w:val="auto"/>
                      <w:szCs w:val="21"/>
                      <w:lang w:val="en-US" w:eastAsia="zh-CN"/>
                    </w:rPr>
                    <w:t>1</w:t>
                  </w:r>
                </w:p>
              </w:tc>
              <w:tc>
                <w:tcPr>
                  <w:tcW w:w="880" w:type="pct"/>
                  <w:noWrap w:val="0"/>
                  <w:vAlign w:val="center"/>
                </w:tcPr>
                <w:p>
                  <w:pPr>
                    <w:spacing w:line="300" w:lineRule="exact"/>
                    <w:jc w:val="center"/>
                    <w:rPr>
                      <w:rFonts w:hint="default" w:ascii="Times New Roman" w:hAnsi="Times New Roman" w:eastAsia="宋体" w:cs="Times New Roman"/>
                      <w:color w:val="FF0000"/>
                      <w:szCs w:val="21"/>
                    </w:rPr>
                  </w:pPr>
                  <w:r>
                    <w:rPr>
                      <w:rFonts w:hint="default" w:ascii="Times New Roman" w:hAnsi="Times New Roman" w:eastAsia="宋体" w:cs="Times New Roman"/>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7" w:type="pct"/>
                  <w:noWrap w:val="0"/>
                  <w:vAlign w:val="center"/>
                </w:tcPr>
                <w:p>
                  <w:pPr>
                    <w:spacing w:line="30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2</w:t>
                  </w:r>
                </w:p>
              </w:tc>
              <w:tc>
                <w:tcPr>
                  <w:tcW w:w="1302" w:type="pct"/>
                  <w:noWrap w:val="0"/>
                  <w:vAlign w:val="center"/>
                </w:tcPr>
                <w:p>
                  <w:pPr>
                    <w:spacing w:line="3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软化水制备设备</w:t>
                  </w:r>
                </w:p>
              </w:tc>
              <w:tc>
                <w:tcPr>
                  <w:tcW w:w="1495" w:type="pct"/>
                  <w:noWrap w:val="0"/>
                  <w:vAlign w:val="center"/>
                </w:tcPr>
                <w:p>
                  <w:pPr>
                    <w:spacing w:line="3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703" w:type="pct"/>
                  <w:noWrap w:val="0"/>
                  <w:vAlign w:val="center"/>
                </w:tcPr>
                <w:p>
                  <w:pPr>
                    <w:spacing w:line="3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880" w:type="pct"/>
                  <w:noWrap w:val="0"/>
                  <w:vAlign w:val="center"/>
                </w:tcPr>
                <w:p>
                  <w:pPr>
                    <w:spacing w:line="300" w:lineRule="exact"/>
                    <w:jc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17" w:type="pct"/>
                  <w:noWrap w:val="0"/>
                  <w:vAlign w:val="center"/>
                </w:tcPr>
                <w:p>
                  <w:pPr>
                    <w:spacing w:line="30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lang w:val="en-US" w:eastAsia="zh-CN"/>
                    </w:rPr>
                    <w:t>3</w:t>
                  </w:r>
                </w:p>
              </w:tc>
              <w:tc>
                <w:tcPr>
                  <w:tcW w:w="1302" w:type="pct"/>
                  <w:noWrap w:val="0"/>
                  <w:vAlign w:val="center"/>
                </w:tcPr>
                <w:p>
                  <w:pPr>
                    <w:spacing w:line="300" w:lineRule="exact"/>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水泵</w:t>
                  </w:r>
                </w:p>
              </w:tc>
              <w:tc>
                <w:tcPr>
                  <w:tcW w:w="1495" w:type="pct"/>
                  <w:noWrap w:val="0"/>
                  <w:vAlign w:val="center"/>
                </w:tcPr>
                <w:p>
                  <w:pPr>
                    <w:spacing w:line="300" w:lineRule="exac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703" w:type="pct"/>
                  <w:noWrap w:val="0"/>
                  <w:vAlign w:val="center"/>
                </w:tcPr>
                <w:p>
                  <w:pPr>
                    <w:spacing w:line="300" w:lineRule="exact"/>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color w:val="auto"/>
                      <w:szCs w:val="21"/>
                      <w:lang w:val="en-US" w:eastAsia="zh-CN"/>
                    </w:rPr>
                    <w:t>1</w:t>
                  </w:r>
                </w:p>
              </w:tc>
              <w:tc>
                <w:tcPr>
                  <w:tcW w:w="880" w:type="pct"/>
                  <w:noWrap w:val="0"/>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台</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default"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5</w:t>
            </w:r>
            <w:r>
              <w:rPr>
                <w:rFonts w:hint="default" w:ascii="Times New Roman" w:hAnsi="Times New Roman" w:eastAsia="宋体" w:cs="Times New Roman"/>
                <w:b/>
                <w:bCs/>
                <w:color w:val="auto"/>
                <w:kern w:val="0"/>
                <w:sz w:val="24"/>
                <w:szCs w:val="24"/>
                <w:lang w:val="en-US" w:eastAsia="zh-CN"/>
              </w:rPr>
              <w:t>、</w:t>
            </w:r>
            <w:r>
              <w:rPr>
                <w:rFonts w:hint="eastAsia" w:ascii="Times New Roman" w:hAnsi="Times New Roman" w:eastAsia="宋体" w:cs="Times New Roman"/>
                <w:b/>
                <w:bCs/>
                <w:color w:val="auto"/>
                <w:kern w:val="0"/>
                <w:sz w:val="24"/>
                <w:szCs w:val="24"/>
                <w:lang w:val="en-US" w:eastAsia="zh-CN"/>
              </w:rPr>
              <w:t>现有工程生产工艺</w:t>
            </w:r>
          </w:p>
          <w:p>
            <w:pPr>
              <w:tabs>
                <w:tab w:val="left" w:pos="4111"/>
              </w:tabs>
              <w:spacing w:line="360" w:lineRule="auto"/>
              <w:jc w:val="center"/>
              <w:rPr>
                <w:rFonts w:hint="default" w:ascii="Times New Roman" w:hAnsi="Times New Roman" w:eastAsia="宋体" w:cs="Times New Roman"/>
              </w:rPr>
            </w:pPr>
            <w:r>
              <w:rPr>
                <w:rFonts w:hint="default" w:ascii="Times New Roman" w:hAnsi="Times New Roman" w:eastAsia="宋体" w:cs="Times New Roman"/>
              </w:rPr>
              <w:drawing>
                <wp:inline distT="0" distB="0" distL="114300" distR="114300">
                  <wp:extent cx="5130165" cy="1968500"/>
                  <wp:effectExtent l="0" t="0" r="13335" b="1270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5"/>
                          <a:stretch>
                            <a:fillRect/>
                          </a:stretch>
                        </pic:blipFill>
                        <pic:spPr>
                          <a:xfrm>
                            <a:off x="0" y="0"/>
                            <a:ext cx="5130165" cy="1968500"/>
                          </a:xfrm>
                          <a:prstGeom prst="rect">
                            <a:avLst/>
                          </a:prstGeom>
                          <a:noFill/>
                          <a:ln>
                            <a:noFill/>
                          </a:ln>
                        </pic:spPr>
                      </pic:pic>
                    </a:graphicData>
                  </a:graphic>
                </wp:inline>
              </w:drawing>
            </w:r>
          </w:p>
          <w:p>
            <w:pPr>
              <w:tabs>
                <w:tab w:val="left" w:pos="4111"/>
              </w:tabs>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（注：绿色线为汽水系统，黄色线为</w:t>
            </w:r>
            <w:r>
              <w:rPr>
                <w:rFonts w:hint="default" w:ascii="Times New Roman" w:hAnsi="Times New Roman" w:eastAsia="宋体" w:cs="Times New Roman"/>
                <w:b/>
                <w:bCs/>
                <w:color w:val="auto"/>
                <w:sz w:val="21"/>
                <w:szCs w:val="21"/>
                <w:lang w:val="en-US" w:eastAsia="zh-CN"/>
              </w:rPr>
              <w:t>燃料系统</w:t>
            </w:r>
            <w:r>
              <w:rPr>
                <w:rFonts w:hint="default" w:ascii="Times New Roman" w:hAnsi="Times New Roman" w:eastAsia="宋体" w:cs="Times New Roman"/>
                <w:b/>
                <w:bCs/>
                <w:color w:val="auto"/>
                <w:sz w:val="21"/>
                <w:szCs w:val="21"/>
              </w:rPr>
              <w:t>、红色线为烟气）</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rPr>
            </w:pPr>
            <w:r>
              <w:rPr>
                <w:rFonts w:hint="default" w:ascii="Times New Roman" w:hAnsi="Times New Roman" w:eastAsia="宋体" w:cs="Times New Roman"/>
                <w:b/>
                <w:bCs/>
                <w:color w:val="auto"/>
                <w:sz w:val="21"/>
                <w:szCs w:val="21"/>
              </w:rPr>
              <w:t>图</w:t>
            </w:r>
            <w:r>
              <w:rPr>
                <w:rFonts w:hint="eastAsia" w:ascii="Times New Roman" w:hAnsi="Times New Roman" w:eastAsia="宋体" w:cs="Times New Roman"/>
                <w:b/>
                <w:bCs/>
                <w:color w:val="auto"/>
                <w:sz w:val="21"/>
                <w:szCs w:val="21"/>
                <w:lang w:val="en-US" w:eastAsia="zh-CN"/>
              </w:rPr>
              <w:t>2-4</w:t>
            </w:r>
            <w:r>
              <w:rPr>
                <w:rFonts w:hint="default" w:ascii="Times New Roman" w:hAnsi="Times New Roman" w:eastAsia="宋体" w:cs="Times New Roman"/>
                <w:b/>
                <w:bCs/>
                <w:color w:val="auto"/>
                <w:sz w:val="21"/>
                <w:szCs w:val="21"/>
              </w:rPr>
              <w:t xml:space="preserve">  项目工艺流程</w:t>
            </w:r>
            <w:r>
              <w:rPr>
                <w:rFonts w:hint="default" w:ascii="Times New Roman" w:hAnsi="Times New Roman" w:eastAsia="宋体" w:cs="Times New Roman"/>
                <w:b/>
                <w:bCs/>
                <w:color w:val="auto"/>
                <w:sz w:val="21"/>
                <w:szCs w:val="21"/>
                <w:lang w:eastAsia="zh-CN"/>
              </w:rPr>
              <w:t>及产排污节点</w:t>
            </w:r>
            <w:r>
              <w:rPr>
                <w:rFonts w:hint="default" w:ascii="Times New Roman" w:hAnsi="Times New Roman" w:eastAsia="宋体" w:cs="Times New Roman"/>
                <w:b/>
                <w:bCs/>
                <w:color w:val="auto"/>
                <w:sz w:val="21"/>
                <w:szCs w:val="21"/>
              </w:rPr>
              <w:t>图</w:t>
            </w:r>
          </w:p>
          <w:p>
            <w:pPr>
              <w:spacing w:line="36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工艺流程简述:</w:t>
            </w:r>
          </w:p>
          <w:p>
            <w:pPr>
              <w:spacing w:line="360" w:lineRule="auto"/>
              <w:ind w:firstLine="480" w:firstLineChars="200"/>
              <w:rPr>
                <w:rFonts w:hint="default" w:ascii="Times New Roman" w:hAnsi="Times New Roman" w:eastAsia="宋体" w:cs="Times New Roman"/>
                <w:sz w:val="24"/>
                <w:szCs w:val="28"/>
              </w:rPr>
            </w:pPr>
            <w:r>
              <w:rPr>
                <w:rFonts w:hint="default" w:ascii="Times New Roman" w:hAnsi="Times New Roman" w:eastAsia="宋体" w:cs="Times New Roman"/>
                <w:sz w:val="24"/>
                <w:szCs w:val="28"/>
              </w:rPr>
              <w:t>（1）燃料输送系统流程：</w:t>
            </w:r>
          </w:p>
          <w:p>
            <w:pPr>
              <w:spacing w:line="360" w:lineRule="auto"/>
              <w:ind w:firstLine="480" w:firstLineChars="200"/>
              <w:rPr>
                <w:rFonts w:hint="default" w:ascii="Times New Roman" w:hAnsi="Times New Roman" w:eastAsia="宋体" w:cs="Times New Roman"/>
                <w:sz w:val="24"/>
                <w:szCs w:val="28"/>
              </w:rPr>
            </w:pPr>
            <w:r>
              <w:rPr>
                <w:rFonts w:hint="default" w:ascii="Times New Roman" w:hAnsi="Times New Roman" w:eastAsia="宋体" w:cs="Times New Roman"/>
                <w:sz w:val="24"/>
                <w:szCs w:val="28"/>
              </w:rPr>
              <w:t>燃料生物质储存在锅炉前端燃烧室上方的料斗内，通过料斗出口送入锅炉燃烧系统。</w:t>
            </w:r>
          </w:p>
          <w:p>
            <w:pPr>
              <w:spacing w:line="360" w:lineRule="auto"/>
              <w:ind w:firstLine="480" w:firstLineChars="200"/>
              <w:rPr>
                <w:rFonts w:hint="default" w:ascii="Times New Roman" w:hAnsi="Times New Roman" w:eastAsia="宋体" w:cs="Times New Roman"/>
                <w:sz w:val="24"/>
                <w:szCs w:val="28"/>
              </w:rPr>
            </w:pPr>
            <w:r>
              <w:rPr>
                <w:rFonts w:hint="default" w:ascii="Times New Roman" w:hAnsi="Times New Roman" w:eastAsia="宋体" w:cs="Times New Roman"/>
                <w:sz w:val="24"/>
                <w:szCs w:val="28"/>
              </w:rPr>
              <w:t>（2）蒸汽生产</w:t>
            </w:r>
          </w:p>
          <w:p>
            <w:pPr>
              <w:spacing w:line="360" w:lineRule="auto"/>
              <w:ind w:firstLine="480" w:firstLineChars="200"/>
              <w:rPr>
                <w:rFonts w:hint="eastAsia" w:ascii="Times New Roman" w:hAnsi="Times New Roman" w:eastAsia="宋体" w:cs="Times New Roman"/>
                <w:sz w:val="24"/>
                <w:szCs w:val="28"/>
                <w:lang w:eastAsia="zh-CN"/>
              </w:rPr>
            </w:pPr>
            <w:r>
              <w:rPr>
                <w:rFonts w:hint="default" w:ascii="Times New Roman" w:hAnsi="Times New Roman" w:eastAsia="宋体" w:cs="Times New Roman"/>
                <w:sz w:val="24"/>
                <w:szCs w:val="28"/>
              </w:rPr>
              <w:t>锅炉给水经过水处理后，达到国家有关标准通过给水泵送进省煤器加热后，由管路进入上锅筒，经多个回路进行水循环，各回路中汽水混合物进入上锅筒，经汽水分离装置，汽水分离后的饱和蒸汽通过引出管进入过热器加热，在过热器出口集箱汇集经喷水减温器调温后，输出过热蒸汽</w:t>
            </w:r>
            <w:r>
              <w:rPr>
                <w:rFonts w:hint="eastAsia" w:ascii="Times New Roman" w:hAnsi="Times New Roman" w:eastAsia="宋体" w:cs="Times New Roman"/>
                <w:sz w:val="24"/>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cs="Times New Roman"/>
                <w:b/>
                <w:bCs/>
                <w:color w:val="auto"/>
                <w:kern w:val="24"/>
                <w:sz w:val="24"/>
                <w:szCs w:val="24"/>
                <w:lang w:eastAsia="zh-CN"/>
              </w:rPr>
            </w:pPr>
            <w:r>
              <w:rPr>
                <w:rFonts w:hint="default" w:ascii="Times New Roman" w:hAnsi="Times New Roman" w:eastAsia="宋体" w:cs="Times New Roman"/>
                <w:b/>
                <w:iCs/>
                <w:color w:val="auto"/>
                <w:szCs w:val="21"/>
                <w:lang w:bidi="ar"/>
              </w:rPr>
              <w:t>表</w:t>
            </w:r>
            <w:r>
              <w:rPr>
                <w:rFonts w:hint="default" w:ascii="Times New Roman" w:hAnsi="Times New Roman" w:eastAsia="宋体" w:cs="Times New Roman"/>
                <w:b/>
                <w:iCs/>
                <w:color w:val="auto"/>
                <w:szCs w:val="21"/>
                <w:lang w:val="en-US" w:eastAsia="zh-CN" w:bidi="ar"/>
              </w:rPr>
              <w:t>2-</w:t>
            </w:r>
            <w:r>
              <w:rPr>
                <w:rFonts w:hint="eastAsia" w:ascii="Times New Roman" w:hAnsi="Times New Roman" w:eastAsia="宋体" w:cs="Times New Roman"/>
                <w:b/>
                <w:iCs/>
                <w:color w:val="auto"/>
                <w:szCs w:val="21"/>
                <w:lang w:val="en-US" w:eastAsia="zh-CN" w:bidi="ar"/>
              </w:rPr>
              <w:t xml:space="preserve">11  </w:t>
            </w:r>
            <w:r>
              <w:rPr>
                <w:rFonts w:hint="default" w:ascii="Times New Roman" w:hAnsi="Times New Roman" w:cs="Times New Roman"/>
                <w:b/>
                <w:bCs/>
                <w:color w:val="auto"/>
                <w:kern w:val="0"/>
                <w:sz w:val="21"/>
                <w:szCs w:val="21"/>
                <w:lang w:val="en-US" w:eastAsia="zh-CN"/>
              </w:rPr>
              <w:t>现有工程产排污节点</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5"/>
              <w:gridCol w:w="608"/>
              <w:gridCol w:w="905"/>
              <w:gridCol w:w="1056"/>
              <w:gridCol w:w="1136"/>
              <w:gridCol w:w="938"/>
              <w:gridCol w:w="858"/>
              <w:gridCol w:w="2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9"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类别</w:t>
                  </w:r>
                </w:p>
              </w:tc>
              <w:tc>
                <w:tcPr>
                  <w:tcW w:w="351"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序号</w:t>
                  </w:r>
                </w:p>
              </w:tc>
              <w:tc>
                <w:tcPr>
                  <w:tcW w:w="522"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排污节点</w:t>
                  </w:r>
                </w:p>
              </w:tc>
              <w:tc>
                <w:tcPr>
                  <w:tcW w:w="609"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污染物名称</w:t>
                  </w:r>
                </w:p>
              </w:tc>
              <w:tc>
                <w:tcPr>
                  <w:tcW w:w="655"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污染因子</w:t>
                  </w:r>
                </w:p>
              </w:tc>
              <w:tc>
                <w:tcPr>
                  <w:tcW w:w="541"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所在生产单元</w:t>
                  </w:r>
                </w:p>
              </w:tc>
              <w:tc>
                <w:tcPr>
                  <w:tcW w:w="495"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产生特征</w:t>
                  </w:r>
                </w:p>
              </w:tc>
              <w:tc>
                <w:tcPr>
                  <w:tcW w:w="1586"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拟采取措施及去向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9"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废气</w:t>
                  </w:r>
                </w:p>
              </w:tc>
              <w:tc>
                <w:tcPr>
                  <w:tcW w:w="351"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G1</w:t>
                  </w:r>
                </w:p>
              </w:tc>
              <w:tc>
                <w:tcPr>
                  <w:tcW w:w="522"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生物质锅炉</w:t>
                  </w:r>
                </w:p>
              </w:tc>
              <w:tc>
                <w:tcPr>
                  <w:tcW w:w="609"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锅炉烟气</w:t>
                  </w:r>
                </w:p>
              </w:tc>
              <w:tc>
                <w:tcPr>
                  <w:tcW w:w="655"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sz w:val="21"/>
                      <w:szCs w:val="21"/>
                      <w:lang w:val="en-US" w:eastAsia="zh-CN"/>
                    </w:rPr>
                    <w:t>颗粒物</w:t>
                  </w:r>
                  <w:r>
                    <w:rPr>
                      <w:rFonts w:hint="default" w:ascii="Times New Roman" w:hAnsi="Times New Roman" w:eastAsia="宋体" w:cs="Times New Roman"/>
                      <w:sz w:val="21"/>
                      <w:szCs w:val="21"/>
                    </w:rPr>
                    <w:t>、SO</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、NO</w:t>
                  </w:r>
                  <w:r>
                    <w:rPr>
                      <w:rFonts w:hint="default" w:ascii="Times New Roman" w:hAnsi="Times New Roman" w:eastAsia="宋体" w:cs="Times New Roman"/>
                      <w:sz w:val="21"/>
                      <w:szCs w:val="21"/>
                      <w:vertAlign w:val="subscript"/>
                    </w:rPr>
                    <w:t>x</w:t>
                  </w:r>
                </w:p>
              </w:tc>
              <w:tc>
                <w:tcPr>
                  <w:tcW w:w="541"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lang w:eastAsia="zh-CN"/>
                    </w:rPr>
                    <w:t>锅炉房</w:t>
                  </w:r>
                </w:p>
              </w:tc>
              <w:tc>
                <w:tcPr>
                  <w:tcW w:w="495"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连续</w:t>
                  </w:r>
                </w:p>
              </w:tc>
              <w:tc>
                <w:tcPr>
                  <w:tcW w:w="1586"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color w:val="auto"/>
                      <w:sz w:val="21"/>
                      <w:szCs w:val="21"/>
                      <w:lang w:val="en-US" w:eastAsia="zh-CN"/>
                    </w:rPr>
                    <w:t>生物质</w:t>
                  </w:r>
                  <w:r>
                    <w:rPr>
                      <w:rFonts w:hint="default" w:ascii="Times New Roman" w:hAnsi="Times New Roman" w:eastAsia="宋体" w:cs="Times New Roman"/>
                      <w:color w:val="auto"/>
                      <w:sz w:val="21"/>
                      <w:szCs w:val="21"/>
                      <w:lang w:val="en-US" w:eastAsia="zh-CN"/>
                    </w:rPr>
                    <w:t>锅炉废气经布袋除尘+水浴除尘后经1根45m高排气筒排放。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废水</w:t>
                  </w:r>
                </w:p>
              </w:tc>
              <w:tc>
                <w:tcPr>
                  <w:tcW w:w="351"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W1</w:t>
                  </w:r>
                </w:p>
              </w:tc>
              <w:tc>
                <w:tcPr>
                  <w:tcW w:w="522"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position w:val="2"/>
                      <w:sz w:val="21"/>
                      <w:szCs w:val="21"/>
                      <w:lang w:val="en-US" w:eastAsia="zh-CN"/>
                    </w:rPr>
                    <w:t>软化水制备</w:t>
                  </w:r>
                </w:p>
              </w:tc>
              <w:tc>
                <w:tcPr>
                  <w:tcW w:w="609"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软化水制备废水</w:t>
                  </w:r>
                </w:p>
              </w:tc>
              <w:tc>
                <w:tcPr>
                  <w:tcW w:w="65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钙镁离子、磷酸根离子等</w:t>
                  </w:r>
                </w:p>
              </w:tc>
              <w:tc>
                <w:tcPr>
                  <w:tcW w:w="54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eastAsia="zh-CN"/>
                    </w:rPr>
                    <w:t>锅炉房</w:t>
                  </w:r>
                </w:p>
              </w:tc>
              <w:tc>
                <w:tcPr>
                  <w:tcW w:w="49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间断</w:t>
                  </w:r>
                </w:p>
              </w:tc>
              <w:tc>
                <w:tcPr>
                  <w:tcW w:w="1586"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锅炉排污水和软化水制备废水通过厂区管网进入厂区污水处理站，依托厂区原有污水处理站进行处理。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351"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W2</w:t>
                  </w:r>
                </w:p>
              </w:tc>
              <w:tc>
                <w:tcPr>
                  <w:tcW w:w="522"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生物质锅炉</w:t>
                  </w:r>
                </w:p>
              </w:tc>
              <w:tc>
                <w:tcPr>
                  <w:tcW w:w="609"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锅炉排污水</w:t>
                  </w:r>
                </w:p>
              </w:tc>
              <w:tc>
                <w:tcPr>
                  <w:tcW w:w="65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color w:val="auto"/>
                      <w:sz w:val="21"/>
                      <w:szCs w:val="21"/>
                      <w:lang w:val="en-US" w:eastAsia="zh-CN"/>
                    </w:rPr>
                  </w:pPr>
                </w:p>
              </w:tc>
              <w:tc>
                <w:tcPr>
                  <w:tcW w:w="54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color w:val="auto"/>
                      <w:sz w:val="21"/>
                      <w:szCs w:val="21"/>
                      <w:lang w:eastAsia="zh-CN"/>
                    </w:rPr>
                  </w:pPr>
                </w:p>
              </w:tc>
              <w:tc>
                <w:tcPr>
                  <w:tcW w:w="49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color w:val="auto"/>
                      <w:sz w:val="21"/>
                      <w:szCs w:val="21"/>
                      <w:vertAlign w:val="baseline"/>
                      <w:lang w:val="en-US" w:eastAsia="zh-CN"/>
                    </w:rPr>
                  </w:pPr>
                </w:p>
              </w:tc>
              <w:tc>
                <w:tcPr>
                  <w:tcW w:w="158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9"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噪声</w:t>
                  </w:r>
                </w:p>
              </w:tc>
              <w:tc>
                <w:tcPr>
                  <w:tcW w:w="351"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N1</w:t>
                  </w:r>
                </w:p>
              </w:tc>
              <w:tc>
                <w:tcPr>
                  <w:tcW w:w="522"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position w:val="2"/>
                      <w:sz w:val="21"/>
                      <w:szCs w:val="21"/>
                    </w:rPr>
                    <w:t>水泵</w:t>
                  </w:r>
                </w:p>
              </w:tc>
              <w:tc>
                <w:tcPr>
                  <w:tcW w:w="609"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噪声</w:t>
                  </w:r>
                </w:p>
              </w:tc>
              <w:tc>
                <w:tcPr>
                  <w:tcW w:w="655"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等效连续A声级</w:t>
                  </w:r>
                </w:p>
              </w:tc>
              <w:tc>
                <w:tcPr>
                  <w:tcW w:w="541"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lang w:eastAsia="zh-CN"/>
                    </w:rPr>
                    <w:t>锅炉房</w:t>
                  </w:r>
                </w:p>
              </w:tc>
              <w:tc>
                <w:tcPr>
                  <w:tcW w:w="495"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color w:val="auto"/>
                      <w:sz w:val="21"/>
                      <w:szCs w:val="21"/>
                      <w:vertAlign w:val="baseline"/>
                      <w:lang w:val="en-US"/>
                    </w:rPr>
                  </w:pPr>
                  <w:r>
                    <w:rPr>
                      <w:rFonts w:hint="default" w:ascii="Times New Roman" w:hAnsi="Times New Roman" w:eastAsia="宋体" w:cs="Times New Roman"/>
                      <w:color w:val="auto"/>
                      <w:sz w:val="21"/>
                      <w:szCs w:val="21"/>
                      <w:vertAlign w:val="baseline"/>
                      <w:lang w:val="en-US" w:eastAsia="zh-CN"/>
                    </w:rPr>
                    <w:t>连续</w:t>
                  </w:r>
                </w:p>
              </w:tc>
              <w:tc>
                <w:tcPr>
                  <w:tcW w:w="1586"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snapToGrid w:val="0"/>
                      <w:color w:val="auto"/>
                      <w:kern w:val="0"/>
                      <w:sz w:val="21"/>
                      <w:szCs w:val="21"/>
                      <w:lang w:val="en-US" w:eastAsia="zh-CN"/>
                    </w:rPr>
                    <w:t>锅炉房封闭、设备基础减振、合理布局等措施。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9"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固废</w:t>
                  </w:r>
                </w:p>
              </w:tc>
              <w:tc>
                <w:tcPr>
                  <w:tcW w:w="351"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S1</w:t>
                  </w:r>
                </w:p>
              </w:tc>
              <w:tc>
                <w:tcPr>
                  <w:tcW w:w="522"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position w:val="2"/>
                      <w:sz w:val="21"/>
                      <w:szCs w:val="21"/>
                      <w:highlight w:val="none"/>
                      <w:lang w:val="en-US" w:eastAsia="zh-CN"/>
                    </w:rPr>
                    <w:t>软化水制备</w:t>
                  </w:r>
                </w:p>
              </w:tc>
              <w:tc>
                <w:tcPr>
                  <w:tcW w:w="609"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废弃离子交换树脂</w:t>
                  </w:r>
                </w:p>
              </w:tc>
              <w:tc>
                <w:tcPr>
                  <w:tcW w:w="655"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废弃离子交换树脂</w:t>
                  </w:r>
                </w:p>
              </w:tc>
              <w:tc>
                <w:tcPr>
                  <w:tcW w:w="541"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eastAsia="zh-CN"/>
                    </w:rPr>
                    <w:t>锅炉房</w:t>
                  </w:r>
                </w:p>
              </w:tc>
              <w:tc>
                <w:tcPr>
                  <w:tcW w:w="495"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间断</w:t>
                  </w:r>
                </w:p>
              </w:tc>
              <w:tc>
                <w:tcPr>
                  <w:tcW w:w="1586" w:type="pct"/>
                  <w:noWrap w:val="0"/>
                  <w:vAlign w:val="center"/>
                </w:tcPr>
                <w:p>
                  <w:pPr>
                    <w:keepNext w:val="0"/>
                    <w:keepLines w:val="0"/>
                    <w:pageBreakBefore w:val="0"/>
                    <w:widowControl w:val="0"/>
                    <w:kinsoku/>
                    <w:wordWrap/>
                    <w:overflowPunct/>
                    <w:topLinePunct w:val="0"/>
                    <w:autoSpaceDE/>
                    <w:autoSpaceDN/>
                    <w:bidi w:val="0"/>
                    <w:adjustRightInd/>
                    <w:snapToGrid/>
                    <w:spacing w:line="220" w:lineRule="atLeast"/>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集中收集后</w:t>
                  </w:r>
                  <w:r>
                    <w:rPr>
                      <w:rFonts w:hint="eastAsia" w:ascii="Times New Roman" w:hAnsi="Times New Roman" w:eastAsia="宋体" w:cs="Times New Roman"/>
                      <w:color w:val="auto"/>
                      <w:sz w:val="21"/>
                      <w:szCs w:val="21"/>
                      <w:highlight w:val="none"/>
                      <w:vertAlign w:val="baseline"/>
                      <w:lang w:val="en-US" w:eastAsia="zh-CN"/>
                    </w:rPr>
                    <w:t>由厂家回收</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eastAsia" w:ascii="Times New Roman" w:hAnsi="Times New Roman" w:cs="Times New Roman"/>
                <w:color w:val="auto"/>
                <w:kern w:val="24"/>
                <w:sz w:val="24"/>
                <w:szCs w:val="24"/>
                <w:lang w:eastAsia="zh-CN"/>
              </w:rPr>
            </w:pPr>
            <w:r>
              <w:rPr>
                <w:rFonts w:hint="eastAsia" w:ascii="Times New Roman" w:hAnsi="Times New Roman" w:eastAsia="宋体" w:cs="Times New Roman"/>
                <w:b/>
                <w:bCs/>
                <w:color w:val="auto"/>
                <w:kern w:val="0"/>
                <w:sz w:val="24"/>
                <w:szCs w:val="24"/>
                <w:lang w:val="en-US" w:eastAsia="zh-CN"/>
              </w:rPr>
              <w:t>6</w:t>
            </w:r>
            <w:r>
              <w:rPr>
                <w:rFonts w:hint="default" w:ascii="Times New Roman" w:hAnsi="Times New Roman" w:eastAsia="宋体" w:cs="Times New Roman"/>
                <w:b/>
                <w:bCs/>
                <w:color w:val="auto"/>
                <w:kern w:val="0"/>
                <w:sz w:val="24"/>
                <w:szCs w:val="24"/>
                <w:lang w:val="en-US" w:eastAsia="zh-CN"/>
              </w:rPr>
              <w:t>、现有工程污染物产生与排放情况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A大气污染物</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auto"/>
                <w:sz w:val="24"/>
                <w:szCs w:val="24"/>
                <w:lang w:val="en-US" w:eastAsia="zh-CN"/>
              </w:rPr>
              <w:t>现有工程运营期产生的废气为锅炉烟气，主要污染物为颗粒物</w:t>
            </w:r>
            <w:r>
              <w:rPr>
                <w:rFonts w:hint="default" w:ascii="Times New Roman" w:hAnsi="Times New Roman" w:eastAsia="宋体" w:cs="Times New Roman"/>
                <w:color w:val="auto"/>
                <w:sz w:val="24"/>
                <w:szCs w:val="24"/>
              </w:rPr>
              <w:t>、SO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、NO</w:t>
            </w:r>
            <w:r>
              <w:rPr>
                <w:rFonts w:hint="default" w:ascii="Times New Roman" w:hAnsi="Times New Roman" w:eastAsia="宋体" w:cs="Times New Roman"/>
                <w:color w:val="auto"/>
                <w:sz w:val="24"/>
                <w:szCs w:val="24"/>
                <w:vertAlign w:val="subscript"/>
              </w:rPr>
              <w:t>x</w:t>
            </w:r>
            <w:r>
              <w:rPr>
                <w:rFonts w:hint="default" w:ascii="Times New Roman" w:hAnsi="Times New Roman" w:eastAsia="宋体" w:cs="Times New Roman"/>
                <w:color w:val="auto"/>
                <w:sz w:val="24"/>
                <w:szCs w:val="24"/>
                <w:vertAlign w:val="baseline"/>
                <w:lang w:eastAsia="zh-CN"/>
              </w:rPr>
              <w:t>。根据《</w:t>
            </w:r>
            <w:r>
              <w:rPr>
                <w:rFonts w:hint="default" w:ascii="Times New Roman" w:hAnsi="Times New Roman" w:eastAsia="宋体" w:cs="Times New Roman"/>
                <w:bCs/>
                <w:color w:val="auto"/>
                <w:sz w:val="24"/>
                <w:lang w:eastAsia="zh-CN"/>
              </w:rPr>
              <w:t>木兰皇家农业综合示范园区集中供热承德富龙现代农业发展有限公司锅炉升级改造项</w:t>
            </w:r>
            <w:r>
              <w:rPr>
                <w:rFonts w:hint="default" w:ascii="Times New Roman" w:hAnsi="Times New Roman" w:eastAsia="宋体" w:cs="Times New Roman"/>
                <w:bCs/>
                <w:sz w:val="24"/>
                <w:lang w:eastAsia="zh-CN"/>
              </w:rPr>
              <w:t>目</w:t>
            </w:r>
            <w:r>
              <w:rPr>
                <w:rFonts w:hint="eastAsia" w:ascii="Times New Roman" w:hAnsi="Times New Roman" w:eastAsia="宋体" w:cs="Times New Roman"/>
                <w:bCs/>
                <w:sz w:val="24"/>
                <w:lang w:val="en-US" w:eastAsia="zh-CN"/>
              </w:rPr>
              <w:t>环境影响报告表</w:t>
            </w:r>
            <w:r>
              <w:rPr>
                <w:rFonts w:hint="default" w:ascii="Times New Roman" w:hAnsi="Times New Roman" w:eastAsia="宋体" w:cs="Times New Roman"/>
                <w:bCs/>
                <w:sz w:val="24"/>
                <w:lang w:val="en-US" w:eastAsia="zh-CN"/>
              </w:rPr>
              <w:t>》</w:t>
            </w:r>
            <w:r>
              <w:rPr>
                <w:rFonts w:hint="eastAsia" w:ascii="Times New Roman" w:hAnsi="Times New Roman" w:eastAsia="宋体" w:cs="Times New Roman"/>
                <w:bCs/>
                <w:sz w:val="24"/>
                <w:lang w:val="en-US" w:eastAsia="zh-CN"/>
              </w:rPr>
              <w:t>及《</w:t>
            </w:r>
            <w:r>
              <w:rPr>
                <w:rFonts w:hint="default" w:ascii="Times New Roman" w:hAnsi="Times New Roman" w:eastAsia="宋体" w:cs="Times New Roman"/>
                <w:bCs/>
                <w:color w:val="auto"/>
                <w:sz w:val="24"/>
                <w:lang w:eastAsia="zh-CN"/>
              </w:rPr>
              <w:t>木兰皇家农业综合示范园区集中供热承德富龙现代农业发展有限公司锅炉升级改造项</w:t>
            </w:r>
            <w:r>
              <w:rPr>
                <w:rFonts w:hint="default" w:ascii="Times New Roman" w:hAnsi="Times New Roman" w:eastAsia="宋体" w:cs="Times New Roman"/>
                <w:bCs/>
                <w:sz w:val="24"/>
                <w:lang w:eastAsia="zh-CN"/>
              </w:rPr>
              <w:t>目</w:t>
            </w:r>
            <w:r>
              <w:rPr>
                <w:rFonts w:hint="eastAsia" w:ascii="Times New Roman" w:hAnsi="Times New Roman" w:eastAsia="宋体" w:cs="Times New Roman"/>
                <w:bCs/>
                <w:sz w:val="24"/>
                <w:lang w:eastAsia="zh-CN"/>
              </w:rPr>
              <w:t>竣工环境保护验收报告</w:t>
            </w:r>
            <w:r>
              <w:rPr>
                <w:rFonts w:hint="eastAsia" w:ascii="Times New Roman" w:hAnsi="Times New Roman" w:eastAsia="宋体" w:cs="Times New Roman"/>
                <w:bCs/>
                <w:sz w:val="24"/>
                <w:lang w:val="en-US" w:eastAsia="zh-CN"/>
              </w:rPr>
              <w:t>》可知。</w:t>
            </w:r>
            <w:r>
              <w:rPr>
                <w:rFonts w:hint="default" w:ascii="Times New Roman" w:hAnsi="Times New Roman" w:eastAsia="宋体" w:cs="Times New Roman"/>
                <w:bCs/>
                <w:sz w:val="24"/>
                <w:vertAlign w:val="baseline"/>
                <w:lang w:val="en-US" w:eastAsia="zh-CN"/>
              </w:rPr>
              <w:t>本项目污染物排放量为颗粒物0.</w:t>
            </w:r>
            <w:r>
              <w:rPr>
                <w:rFonts w:hint="eastAsia" w:ascii="Times New Roman" w:hAnsi="Times New Roman" w:eastAsia="宋体" w:cs="Times New Roman"/>
                <w:bCs/>
                <w:sz w:val="24"/>
                <w:vertAlign w:val="baseline"/>
                <w:lang w:val="en-US" w:eastAsia="zh-CN"/>
              </w:rPr>
              <w:t>54</w:t>
            </w:r>
            <w:r>
              <w:rPr>
                <w:rFonts w:hint="default" w:ascii="Times New Roman" w:hAnsi="Times New Roman" w:eastAsia="宋体" w:cs="Times New Roman"/>
                <w:bCs/>
                <w:sz w:val="24"/>
                <w:vertAlign w:val="baseline"/>
                <w:lang w:val="en-US" w:eastAsia="zh-CN"/>
              </w:rPr>
              <w:t>t/a、二氧化硫1.</w:t>
            </w:r>
            <w:r>
              <w:rPr>
                <w:rFonts w:hint="eastAsia" w:ascii="Times New Roman" w:hAnsi="Times New Roman" w:eastAsia="宋体" w:cs="Times New Roman"/>
                <w:bCs/>
                <w:sz w:val="24"/>
                <w:vertAlign w:val="baseline"/>
                <w:lang w:val="en-US" w:eastAsia="zh-CN"/>
              </w:rPr>
              <w:t>618</w:t>
            </w:r>
            <w:r>
              <w:rPr>
                <w:rFonts w:hint="default" w:ascii="Times New Roman" w:hAnsi="Times New Roman" w:eastAsia="宋体" w:cs="Times New Roman"/>
                <w:bCs/>
                <w:sz w:val="24"/>
                <w:vertAlign w:val="baseline"/>
                <w:lang w:val="en-US" w:eastAsia="zh-CN"/>
              </w:rPr>
              <w:t>t/a、氮氧化物</w:t>
            </w:r>
            <w:r>
              <w:rPr>
                <w:rFonts w:hint="eastAsia" w:ascii="Times New Roman" w:hAnsi="Times New Roman" w:eastAsia="宋体" w:cs="Times New Roman"/>
                <w:bCs/>
                <w:sz w:val="24"/>
                <w:vertAlign w:val="baseline"/>
                <w:lang w:val="en-US" w:eastAsia="zh-CN"/>
              </w:rPr>
              <w:t>4.300</w:t>
            </w:r>
            <w:r>
              <w:rPr>
                <w:rFonts w:hint="default" w:ascii="Times New Roman" w:hAnsi="Times New Roman" w:eastAsia="宋体" w:cs="Times New Roman"/>
                <w:bCs/>
                <w:sz w:val="24"/>
                <w:vertAlign w:val="baseline"/>
                <w:lang w:val="en-US" w:eastAsia="zh-CN"/>
              </w:rPr>
              <w:t>t/a</w:t>
            </w:r>
            <w:r>
              <w:rPr>
                <w:rFonts w:hint="eastAsia" w:ascii="Times New Roman" w:hAnsi="Times New Roman" w:eastAsia="宋体" w:cs="Times New Roman"/>
                <w:bCs/>
                <w:sz w:val="24"/>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B水</w:t>
            </w:r>
            <w:r>
              <w:rPr>
                <w:rFonts w:hint="default" w:ascii="Times New Roman" w:hAnsi="Times New Roman" w:eastAsia="宋体" w:cs="Times New Roman"/>
                <w:color w:val="auto"/>
                <w:sz w:val="24"/>
                <w:szCs w:val="24"/>
                <w:lang w:val="en-US" w:eastAsia="zh-CN"/>
              </w:rPr>
              <w:t>污染物</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现有工程原生产阶段</w:t>
            </w:r>
            <w:r>
              <w:rPr>
                <w:rFonts w:hint="default" w:ascii="Times New Roman" w:hAnsi="Times New Roman" w:cs="Times New Roman"/>
                <w:color w:val="auto"/>
                <w:sz w:val="24"/>
                <w:szCs w:val="24"/>
              </w:rPr>
              <w:t>产生的废水</w:t>
            </w:r>
            <w:r>
              <w:rPr>
                <w:rFonts w:hint="eastAsia" w:ascii="Times New Roman" w:hAnsi="Times New Roman" w:cs="Times New Roman"/>
                <w:color w:val="auto"/>
                <w:sz w:val="24"/>
                <w:szCs w:val="24"/>
                <w:lang w:val="en-US" w:eastAsia="zh-CN"/>
              </w:rPr>
              <w:t>为</w:t>
            </w:r>
            <w:r>
              <w:rPr>
                <w:rFonts w:hint="default" w:ascii="Times New Roman" w:hAnsi="Times New Roman" w:eastAsia="宋体" w:cs="Times New Roman"/>
                <w:color w:val="auto"/>
                <w:sz w:val="24"/>
                <w:szCs w:val="24"/>
                <w:lang w:eastAsia="zh-CN"/>
              </w:rPr>
              <w:t>锅炉排污水和软化水制备废水</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废水量为</w:t>
            </w:r>
            <w:r>
              <w:rPr>
                <w:rFonts w:hint="eastAsia" w:ascii="Times New Roman" w:hAnsi="Times New Roman" w:eastAsia="宋体" w:cs="Times New Roman"/>
                <w:color w:val="auto"/>
                <w:sz w:val="24"/>
                <w:szCs w:val="24"/>
                <w:lang w:val="en-US" w:eastAsia="zh-CN"/>
              </w:rPr>
              <w:t>10.515</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lang w:val="en-US" w:eastAsia="zh-CN"/>
              </w:rPr>
              <w:t>/d（</w:t>
            </w:r>
            <w:r>
              <w:rPr>
                <w:rFonts w:hint="eastAsia" w:ascii="Times New Roman" w:hAnsi="Times New Roman" w:eastAsia="宋体" w:cs="Times New Roman"/>
                <w:color w:val="auto"/>
                <w:sz w:val="24"/>
                <w:szCs w:val="24"/>
                <w:lang w:val="en-US" w:eastAsia="zh-CN"/>
              </w:rPr>
              <w:t>525.75</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lang w:val="en-US" w:eastAsia="zh-CN"/>
              </w:rPr>
              <w:t>/a），锅炉排污水和软化水制备废水通过厂区管网进入厂区污水处理站，依托厂区原有污水处理站进行处理</w:t>
            </w:r>
            <w:r>
              <w:rPr>
                <w:rFonts w:hint="eastAsia" w:ascii="Times New Roman" w:hAnsi="Times New Roman" w:eastAsia="宋体"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kern w:val="24"/>
                <w:sz w:val="24"/>
                <w:szCs w:val="24"/>
                <w:lang w:eastAsia="zh-CN"/>
              </w:rPr>
            </w:pPr>
            <w:r>
              <w:rPr>
                <w:rFonts w:hint="default" w:ascii="Times New Roman" w:hAnsi="Times New Roman" w:cs="Times New Roman"/>
                <w:bCs/>
                <w:color w:val="auto"/>
                <w:sz w:val="24"/>
                <w:szCs w:val="24"/>
                <w:lang w:val="en-US" w:eastAsia="zh-CN"/>
              </w:rPr>
              <w:t>C噪声</w:t>
            </w:r>
          </w:p>
          <w:p>
            <w:pPr>
              <w:spacing w:line="360" w:lineRule="auto"/>
              <w:ind w:firstLine="472"/>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sz w:val="24"/>
                <w:szCs w:val="24"/>
                <w:lang w:val="en-US" w:eastAsia="zh-CN"/>
              </w:rPr>
              <w:t>运营期产生的噪声主要为锅炉、水泵、风机等设备工作时产生的噪声；车辆运输过程产生的交通噪声。通过将生产设备均置于封闭的生产车间内，使用低噪声设备，设备基础减振等隔声降噪措施减少厂区的噪声排放；针对车辆运输时的交通噪声，运输车辆经过村庄时禁止鸣笛</w:t>
            </w:r>
            <w:r>
              <w:rPr>
                <w:rFonts w:hint="eastAsia" w:ascii="Times New Roman" w:hAnsi="Times New Roman" w:eastAsia="宋体" w:cs="Times New Roman"/>
                <w:sz w:val="24"/>
                <w:szCs w:val="24"/>
                <w:lang w:val="en-US" w:eastAsia="zh-CN"/>
              </w:rPr>
              <w:t>。并</w:t>
            </w:r>
            <w:r>
              <w:rPr>
                <w:rFonts w:hint="default" w:ascii="Times New Roman" w:hAnsi="Times New Roman" w:eastAsia="宋体" w:cs="Times New Roman"/>
                <w:color w:val="auto"/>
                <w:sz w:val="24"/>
                <w:szCs w:val="24"/>
                <w:lang w:val="en-US" w:eastAsia="zh-CN"/>
              </w:rPr>
              <w:t>于20</w:t>
            </w:r>
            <w:r>
              <w:rPr>
                <w:rFonts w:hint="eastAsia" w:ascii="Times New Roman" w:hAnsi="Times New Roman" w:eastAsia="宋体" w:cs="Times New Roman"/>
                <w:color w:val="auto"/>
                <w:sz w:val="24"/>
                <w:szCs w:val="24"/>
                <w:lang w:val="en-US" w:eastAsia="zh-CN"/>
              </w:rPr>
              <w:t>21</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12</w:t>
            </w:r>
            <w:r>
              <w:rPr>
                <w:rFonts w:hint="default" w:ascii="Times New Roman" w:hAnsi="Times New Roman" w:eastAsia="宋体" w:cs="Times New Roman"/>
                <w:color w:val="auto"/>
                <w:sz w:val="24"/>
                <w:szCs w:val="24"/>
                <w:lang w:val="en-US" w:eastAsia="zh-CN"/>
              </w:rPr>
              <w:t>月</w:t>
            </w:r>
            <w:r>
              <w:rPr>
                <w:rFonts w:hint="eastAsia" w:ascii="Times New Roman" w:hAnsi="Times New Roman" w:eastAsia="宋体" w:cs="Times New Roman"/>
                <w:color w:val="auto"/>
                <w:sz w:val="24"/>
                <w:szCs w:val="24"/>
                <w:lang w:val="en-US" w:eastAsia="zh-CN"/>
              </w:rPr>
              <w:t>30</w:t>
            </w:r>
            <w:r>
              <w:rPr>
                <w:rFonts w:hint="default" w:ascii="Times New Roman" w:hAnsi="Times New Roman" w:eastAsia="宋体" w:cs="Times New Roman"/>
                <w:color w:val="auto"/>
                <w:sz w:val="24"/>
                <w:szCs w:val="24"/>
                <w:lang w:val="en-US" w:eastAsia="zh-CN"/>
              </w:rPr>
              <w:t>日对运营期</w:t>
            </w:r>
            <w:r>
              <w:rPr>
                <w:rFonts w:hint="eastAsia" w:ascii="Times New Roman" w:hAnsi="Times New Roman" w:eastAsia="宋体" w:cs="Times New Roman"/>
                <w:color w:val="auto"/>
                <w:sz w:val="24"/>
                <w:szCs w:val="24"/>
                <w:lang w:val="en-US" w:eastAsia="zh-CN"/>
              </w:rPr>
              <w:t>厂界</w:t>
            </w:r>
            <w:r>
              <w:rPr>
                <w:rFonts w:hint="default" w:ascii="Times New Roman" w:hAnsi="Times New Roman" w:eastAsia="宋体" w:cs="Times New Roman"/>
                <w:color w:val="auto"/>
                <w:sz w:val="24"/>
                <w:szCs w:val="24"/>
                <w:lang w:val="en-US" w:eastAsia="zh-CN"/>
              </w:rPr>
              <w:t>噪声进行监测，昼间噪声最高为</w:t>
            </w:r>
            <w:r>
              <w:rPr>
                <w:rFonts w:hint="eastAsia" w:ascii="Times New Roman" w:hAnsi="Times New Roman" w:eastAsia="宋体" w:cs="Times New Roman"/>
                <w:color w:val="auto"/>
                <w:sz w:val="24"/>
                <w:szCs w:val="24"/>
                <w:lang w:val="en-US" w:eastAsia="zh-CN"/>
              </w:rPr>
              <w:t>57.3</w:t>
            </w:r>
            <w:r>
              <w:rPr>
                <w:rFonts w:hint="default" w:ascii="Times New Roman" w:hAnsi="Times New Roman" w:eastAsia="宋体" w:cs="Times New Roman"/>
                <w:color w:val="auto"/>
                <w:sz w:val="24"/>
                <w:szCs w:val="24"/>
                <w:lang w:val="en-US" w:eastAsia="zh-CN"/>
              </w:rPr>
              <w:t>dB，最低为</w:t>
            </w:r>
            <w:r>
              <w:rPr>
                <w:rFonts w:hint="eastAsia" w:ascii="Times New Roman" w:hAnsi="Times New Roman" w:eastAsia="宋体" w:cs="Times New Roman"/>
                <w:color w:val="auto"/>
                <w:sz w:val="24"/>
                <w:szCs w:val="24"/>
                <w:lang w:val="en-US" w:eastAsia="zh-CN"/>
              </w:rPr>
              <w:t>54.0</w:t>
            </w:r>
            <w:r>
              <w:rPr>
                <w:rFonts w:hint="default" w:ascii="Times New Roman" w:hAnsi="Times New Roman" w:eastAsia="宋体" w:cs="Times New Roman"/>
                <w:color w:val="auto"/>
                <w:sz w:val="24"/>
                <w:szCs w:val="24"/>
                <w:lang w:val="en-US" w:eastAsia="zh-CN"/>
              </w:rPr>
              <w:t>dB，夜间噪声最高为</w:t>
            </w:r>
            <w:r>
              <w:rPr>
                <w:rFonts w:hint="eastAsia" w:ascii="Times New Roman" w:hAnsi="Times New Roman" w:eastAsia="宋体" w:cs="Times New Roman"/>
                <w:color w:val="auto"/>
                <w:sz w:val="24"/>
                <w:szCs w:val="24"/>
                <w:lang w:val="en-US" w:eastAsia="zh-CN"/>
              </w:rPr>
              <w:t>47.8</w:t>
            </w:r>
            <w:r>
              <w:rPr>
                <w:rFonts w:hint="default" w:ascii="Times New Roman" w:hAnsi="Times New Roman" w:eastAsia="宋体" w:cs="Times New Roman"/>
                <w:color w:val="auto"/>
                <w:sz w:val="24"/>
                <w:szCs w:val="24"/>
                <w:lang w:val="en-US" w:eastAsia="zh-CN"/>
              </w:rPr>
              <w:t>dB，最低为</w:t>
            </w:r>
            <w:r>
              <w:rPr>
                <w:rFonts w:hint="eastAsia" w:ascii="Times New Roman" w:hAnsi="Times New Roman" w:eastAsia="宋体" w:cs="Times New Roman"/>
                <w:color w:val="auto"/>
                <w:sz w:val="24"/>
                <w:szCs w:val="24"/>
                <w:lang w:val="en-US" w:eastAsia="zh-CN"/>
              </w:rPr>
              <w:t>44.2</w:t>
            </w:r>
            <w:r>
              <w:rPr>
                <w:rFonts w:hint="default" w:ascii="Times New Roman" w:hAnsi="Times New Roman" w:eastAsia="宋体" w:cs="Times New Roman"/>
                <w:color w:val="auto"/>
                <w:sz w:val="24"/>
                <w:szCs w:val="24"/>
                <w:lang w:val="en-US" w:eastAsia="zh-CN"/>
              </w:rPr>
              <w:t>dB，符合《工业企业厂界环境噪声排放标准》(GB12348-2008)中的2类标准。</w:t>
            </w:r>
          </w:p>
          <w:p>
            <w:pPr>
              <w:spacing w:line="360" w:lineRule="auto"/>
              <w:ind w:firstLine="480" w:firstLineChars="200"/>
              <w:rPr>
                <w:rFonts w:hint="eastAsia" w:ascii="Times New Roman" w:hAnsi="Times New Roman" w:cs="Times New Roman"/>
                <w:color w:val="auto"/>
                <w:kern w:val="24"/>
                <w:sz w:val="24"/>
                <w:szCs w:val="24"/>
                <w:lang w:eastAsia="zh-CN"/>
              </w:rPr>
            </w:pPr>
            <w:r>
              <w:rPr>
                <w:rFonts w:hint="default" w:ascii="Times New Roman" w:hAnsi="Times New Roman" w:cs="Times New Roman"/>
                <w:bCs/>
                <w:color w:val="auto"/>
                <w:sz w:val="24"/>
                <w:szCs w:val="24"/>
                <w:lang w:val="en-US" w:eastAsia="zh-CN"/>
              </w:rPr>
              <w:t>D固体废物</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项目不新增劳动定员，无新增生活垃圾。生产过程中产生的固体废物包括炉渣、除尘灰、水浴除尘池底固形物、生物质燃料废包装袋及</w:t>
            </w:r>
            <w:r>
              <w:rPr>
                <w:rFonts w:hint="eastAsia" w:ascii="Times New Roman" w:hAnsi="Times New Roman" w:eastAsia="宋体" w:cs="Times New Roman"/>
                <w:color w:val="auto"/>
                <w:sz w:val="24"/>
                <w:szCs w:val="24"/>
                <w:lang w:val="en-US" w:eastAsia="zh-CN"/>
              </w:rPr>
              <w:t>废弃</w:t>
            </w:r>
            <w:r>
              <w:rPr>
                <w:rFonts w:hint="default" w:ascii="Times New Roman" w:hAnsi="Times New Roman" w:eastAsia="宋体" w:cs="Times New Roman"/>
                <w:color w:val="auto"/>
                <w:sz w:val="24"/>
                <w:szCs w:val="24"/>
                <w:lang w:val="en-US" w:eastAsia="zh-CN"/>
              </w:rPr>
              <w:t>离子交换树脂。</w:t>
            </w:r>
          </w:p>
          <w:p>
            <w:pPr>
              <w:keepNext w:val="0"/>
              <w:keepLines w:val="0"/>
              <w:pageBreakBefore w:val="0"/>
              <w:widowControl w:val="0"/>
              <w:kinsoku/>
              <w:wordWrap/>
              <w:overflowPunct/>
              <w:topLinePunct w:val="0"/>
              <w:autoSpaceDE w:val="0"/>
              <w:autoSpaceDN w:val="0"/>
              <w:bidi w:val="0"/>
              <w:adjustRightInd w:val="0"/>
              <w:spacing w:line="360" w:lineRule="auto"/>
              <w:ind w:left="0" w:leftChars="0" w:right="0" w:rightChars="0" w:firstLine="480" w:firstLineChars="200"/>
              <w:jc w:val="both"/>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lang w:val="en-US" w:eastAsia="zh-CN"/>
              </w:rPr>
              <w:t>生物质年用量为7000</w:t>
            </w:r>
            <w:r>
              <w:rPr>
                <w:rFonts w:hint="default" w:ascii="Times New Roman" w:hAnsi="Times New Roman" w:eastAsia="宋体" w:cs="Times New Roman"/>
                <w:sz w:val="24"/>
              </w:rPr>
              <w:t>t/a</w:t>
            </w:r>
            <w:r>
              <w:rPr>
                <w:rFonts w:hint="default" w:ascii="Times New Roman" w:hAnsi="Times New Roman" w:eastAsia="宋体" w:cs="Times New Roman"/>
                <w:sz w:val="24"/>
                <w:lang w:val="en-US" w:eastAsia="zh-CN"/>
              </w:rPr>
              <w:t>，</w:t>
            </w:r>
            <w:r>
              <w:rPr>
                <w:rFonts w:hint="default" w:ascii="Times New Roman" w:hAnsi="Times New Roman" w:eastAsia="宋体" w:cs="Times New Roman"/>
                <w:sz w:val="24"/>
              </w:rPr>
              <w:t>炉渣</w:t>
            </w:r>
            <w:r>
              <w:rPr>
                <w:rFonts w:hint="default" w:ascii="Times New Roman" w:hAnsi="Times New Roman" w:eastAsia="宋体" w:cs="Times New Roman"/>
                <w:sz w:val="24"/>
                <w:lang w:val="en-US" w:eastAsia="zh-CN"/>
              </w:rPr>
              <w:t>产生</w:t>
            </w:r>
            <w:r>
              <w:rPr>
                <w:rFonts w:hint="default" w:ascii="Times New Roman" w:hAnsi="Times New Roman" w:eastAsia="宋体" w:cs="Times New Roman"/>
                <w:sz w:val="24"/>
              </w:rPr>
              <w:t>量</w:t>
            </w:r>
            <w:r>
              <w:rPr>
                <w:rFonts w:hint="default" w:ascii="Times New Roman" w:hAnsi="Times New Roman" w:eastAsia="宋体" w:cs="Times New Roman"/>
                <w:sz w:val="24"/>
                <w:lang w:val="en-US" w:eastAsia="zh-CN"/>
              </w:rPr>
              <w:t>按生物质年用量10%计算，约为70</w:t>
            </w:r>
            <w:r>
              <w:rPr>
                <w:rFonts w:hint="default" w:ascii="Times New Roman" w:hAnsi="Times New Roman" w:eastAsia="宋体" w:cs="Times New Roman"/>
                <w:sz w:val="24"/>
              </w:rPr>
              <w:t>t/a</w:t>
            </w:r>
            <w:r>
              <w:rPr>
                <w:rFonts w:hint="default" w:ascii="Times New Roman" w:hAnsi="Times New Roman" w:eastAsia="宋体" w:cs="Times New Roman"/>
                <w:sz w:val="24"/>
                <w:lang w:val="en-US" w:eastAsia="zh-CN"/>
              </w:rPr>
              <w:t>；除尘灰产生量约为3</w:t>
            </w:r>
            <w:r>
              <w:rPr>
                <w:rFonts w:hint="default" w:ascii="Times New Roman" w:hAnsi="Times New Roman" w:eastAsia="宋体" w:cs="Times New Roman"/>
                <w:sz w:val="24"/>
              </w:rPr>
              <w:t>t/a</w:t>
            </w:r>
            <w:r>
              <w:rPr>
                <w:rFonts w:hint="default" w:ascii="Times New Roman" w:hAnsi="Times New Roman" w:eastAsia="宋体" w:cs="Times New Roman"/>
                <w:sz w:val="24"/>
                <w:lang w:val="en-US" w:eastAsia="zh-CN"/>
              </w:rPr>
              <w:t>，</w:t>
            </w:r>
            <w:r>
              <w:rPr>
                <w:rFonts w:hint="default" w:ascii="Times New Roman" w:hAnsi="Times New Roman" w:eastAsia="宋体" w:cs="Times New Roman"/>
                <w:color w:val="auto"/>
                <w:sz w:val="24"/>
                <w:szCs w:val="24"/>
                <w:lang w:val="en-US" w:eastAsia="zh-CN"/>
              </w:rPr>
              <w:t>水浴除尘池底固形物产生量约为</w:t>
            </w:r>
            <w:r>
              <w:rPr>
                <w:rFonts w:hint="default" w:ascii="Times New Roman" w:hAnsi="Times New Roman" w:eastAsia="宋体" w:cs="Times New Roman"/>
                <w:sz w:val="24"/>
                <w:lang w:val="en-US" w:eastAsia="zh-CN"/>
              </w:rPr>
              <w:t>0.47</w:t>
            </w:r>
            <w:r>
              <w:rPr>
                <w:rFonts w:hint="default" w:ascii="Times New Roman" w:hAnsi="Times New Roman" w:eastAsia="宋体" w:cs="Times New Roman"/>
                <w:sz w:val="24"/>
              </w:rPr>
              <w:t>t/a</w:t>
            </w:r>
            <w:r>
              <w:rPr>
                <w:rFonts w:hint="default" w:ascii="Times New Roman" w:hAnsi="Times New Roman" w:eastAsia="宋体" w:cs="Times New Roman"/>
                <w:sz w:val="24"/>
                <w:lang w:eastAsia="zh-CN"/>
              </w:rPr>
              <w:t>，</w:t>
            </w:r>
            <w:r>
              <w:rPr>
                <w:rFonts w:hint="default" w:ascii="Times New Roman" w:hAnsi="Times New Roman" w:eastAsia="宋体" w:cs="Times New Roman"/>
                <w:sz w:val="24"/>
                <w:lang w:val="en-US" w:eastAsia="zh-CN"/>
              </w:rPr>
              <w:t>生物质废旧包装袋产生量约为0.5</w:t>
            </w:r>
            <w:r>
              <w:rPr>
                <w:rFonts w:hint="default" w:ascii="Times New Roman" w:hAnsi="Times New Roman" w:eastAsia="宋体" w:cs="Times New Roman"/>
                <w:sz w:val="24"/>
              </w:rPr>
              <w:t>t/a</w:t>
            </w:r>
            <w:r>
              <w:rPr>
                <w:rFonts w:hint="default" w:ascii="Times New Roman" w:hAnsi="Times New Roman" w:eastAsia="宋体" w:cs="Times New Roman"/>
                <w:sz w:val="24"/>
                <w:lang w:eastAsia="zh-CN"/>
              </w:rPr>
              <w:t>。</w:t>
            </w:r>
            <w:r>
              <w:rPr>
                <w:rFonts w:hint="default" w:ascii="Times New Roman" w:hAnsi="Times New Roman" w:eastAsia="宋体" w:cs="Times New Roman"/>
                <w:color w:val="auto"/>
                <w:sz w:val="24"/>
                <w:szCs w:val="24"/>
                <w:lang w:val="en-US" w:eastAsia="zh-CN"/>
              </w:rPr>
              <w:t>软水系统产生的废</w:t>
            </w:r>
            <w:r>
              <w:rPr>
                <w:rFonts w:hint="eastAsia" w:ascii="Times New Roman" w:hAnsi="Times New Roman" w:eastAsia="宋体" w:cs="Times New Roman"/>
                <w:color w:val="auto"/>
                <w:sz w:val="24"/>
                <w:szCs w:val="24"/>
                <w:lang w:val="en-US" w:eastAsia="zh-CN"/>
              </w:rPr>
              <w:t>弃</w:t>
            </w:r>
            <w:r>
              <w:rPr>
                <w:rFonts w:hint="default" w:ascii="Times New Roman" w:hAnsi="Times New Roman" w:eastAsia="宋体" w:cs="Times New Roman"/>
                <w:color w:val="auto"/>
                <w:sz w:val="24"/>
                <w:szCs w:val="24"/>
                <w:lang w:val="en-US" w:eastAsia="zh-CN"/>
              </w:rPr>
              <w:t>离子交换树脂</w:t>
            </w:r>
            <w:r>
              <w:rPr>
                <w:rFonts w:hint="default" w:ascii="Times New Roman" w:hAnsi="Times New Roman" w:eastAsia="宋体" w:cs="Times New Roman"/>
                <w:color w:val="auto"/>
                <w:sz w:val="24"/>
                <w:szCs w:val="24"/>
                <w:highlight w:val="none"/>
                <w:lang w:val="en-US" w:eastAsia="zh-CN"/>
              </w:rPr>
              <w:t>产生量为0.1t/a</w:t>
            </w:r>
            <w:r>
              <w:rPr>
                <w:rFonts w:hint="eastAsia" w:ascii="Times New Roman" w:hAnsi="Times New Roman" w:cs="Times New Roman"/>
                <w:color w:val="auto"/>
                <w:kern w:val="24"/>
                <w:sz w:val="24"/>
                <w:szCs w:val="24"/>
                <w:lang w:eastAsia="zh-CN"/>
              </w:rPr>
              <w:t>。</w:t>
            </w:r>
            <w:r>
              <w:rPr>
                <w:rFonts w:hint="default" w:ascii="Times New Roman" w:hAnsi="Times New Roman" w:eastAsia="宋体" w:cs="Times New Roman"/>
                <w:sz w:val="24"/>
              </w:rPr>
              <w:t>炉渣、除尘灰</w:t>
            </w:r>
            <w:r>
              <w:rPr>
                <w:rFonts w:hint="default" w:ascii="Times New Roman" w:hAnsi="Times New Roman" w:eastAsia="宋体" w:cs="Times New Roman"/>
                <w:sz w:val="24"/>
                <w:lang w:eastAsia="zh-CN"/>
              </w:rPr>
              <w:t>、</w:t>
            </w:r>
            <w:r>
              <w:rPr>
                <w:rFonts w:hint="default" w:ascii="Times New Roman" w:hAnsi="Times New Roman" w:eastAsia="宋体" w:cs="Times New Roman"/>
                <w:color w:val="auto"/>
                <w:sz w:val="24"/>
                <w:szCs w:val="24"/>
                <w:lang w:val="en-US" w:eastAsia="zh-CN"/>
              </w:rPr>
              <w:t>水浴除尘池底固形物</w:t>
            </w:r>
            <w:r>
              <w:rPr>
                <w:rFonts w:hint="default" w:ascii="Times New Roman" w:hAnsi="Times New Roman" w:eastAsia="宋体" w:cs="Times New Roman"/>
                <w:sz w:val="24"/>
              </w:rPr>
              <w:t>均为生物质成型颗粒燃料中未燃尽部分与燃料在高温下气化的杂质，主要成分为农林废弃物灰烬，属于一般工业固废，</w:t>
            </w:r>
            <w:r>
              <w:rPr>
                <w:rFonts w:hint="default" w:ascii="Times New Roman" w:hAnsi="Times New Roman" w:eastAsia="宋体" w:cs="Times New Roman"/>
                <w:sz w:val="24"/>
                <w:highlight w:val="none"/>
                <w:lang w:val="en-US" w:eastAsia="zh-CN"/>
              </w:rPr>
              <w:t>定期外运至围场县环境卫生管理服务处</w:t>
            </w:r>
            <w:r>
              <w:rPr>
                <w:rFonts w:hint="default" w:ascii="Times New Roman" w:hAnsi="Times New Roman" w:eastAsia="宋体" w:cs="Times New Roman"/>
                <w:sz w:val="24"/>
                <w:lang w:eastAsia="zh-CN"/>
              </w:rPr>
              <w:t>；</w:t>
            </w:r>
            <w:r>
              <w:rPr>
                <w:rFonts w:hint="default" w:ascii="Times New Roman" w:hAnsi="Times New Roman" w:eastAsia="宋体" w:cs="Times New Roman"/>
                <w:color w:val="auto"/>
                <w:sz w:val="24"/>
                <w:szCs w:val="24"/>
                <w:lang w:val="en-US" w:eastAsia="zh-CN"/>
              </w:rPr>
              <w:t>生物质燃料</w:t>
            </w:r>
            <w:r>
              <w:rPr>
                <w:rFonts w:hint="default" w:ascii="Times New Roman" w:hAnsi="Times New Roman" w:eastAsia="宋体" w:cs="Times New Roman"/>
                <w:sz w:val="24"/>
              </w:rPr>
              <w:t>废包装袋集中收集后</w:t>
            </w:r>
            <w:r>
              <w:rPr>
                <w:rFonts w:hint="default" w:ascii="Times New Roman" w:hAnsi="Times New Roman" w:eastAsia="宋体" w:cs="Times New Roman"/>
                <w:sz w:val="24"/>
                <w:lang w:val="en-US" w:eastAsia="zh-CN"/>
              </w:rPr>
              <w:t>由供货厂家回收</w:t>
            </w:r>
            <w:r>
              <w:rPr>
                <w:rFonts w:hint="eastAsia" w:ascii="Times New Roman" w:hAnsi="Times New Roman" w:eastAsia="宋体" w:cs="Times New Roman"/>
                <w:sz w:val="24"/>
                <w:lang w:val="en-US" w:eastAsia="zh-CN"/>
              </w:rPr>
              <w:t>，</w:t>
            </w:r>
            <w:r>
              <w:rPr>
                <w:rFonts w:hint="eastAsia" w:ascii="Times New Roman" w:hAnsi="Times New Roman" w:eastAsia="宋体" w:cs="Times New Roman"/>
                <w:color w:val="auto"/>
                <w:sz w:val="24"/>
                <w:szCs w:val="24"/>
                <w:lang w:val="en-US" w:eastAsia="zh-CN"/>
              </w:rPr>
              <w:t>废弃</w:t>
            </w:r>
            <w:r>
              <w:rPr>
                <w:rFonts w:hint="default" w:ascii="Times New Roman" w:hAnsi="Times New Roman" w:eastAsia="宋体" w:cs="Times New Roman"/>
                <w:color w:val="auto"/>
                <w:sz w:val="24"/>
                <w:szCs w:val="24"/>
                <w:lang w:val="en-US" w:eastAsia="zh-CN"/>
              </w:rPr>
              <w:t>离子交换树脂集中收集后外售综合利用</w:t>
            </w:r>
            <w:r>
              <w:rPr>
                <w:rFonts w:hint="default" w:ascii="Times New Roman" w:hAnsi="Times New Roman" w:eastAsia="宋体" w:cs="Times New Roman"/>
                <w:sz w:val="24"/>
              </w:rPr>
              <w:t>。</w:t>
            </w:r>
          </w:p>
          <w:p>
            <w:pPr>
              <w:spacing w:line="360" w:lineRule="auto"/>
              <w:ind w:firstLine="480" w:firstLineChars="200"/>
              <w:rPr>
                <w:rFonts w:hint="eastAsia" w:ascii="Times New Roman" w:hAnsi="Times New Roman" w:cs="Times New Roman"/>
                <w:bCs/>
                <w:color w:val="auto"/>
                <w:sz w:val="24"/>
                <w:szCs w:val="24"/>
                <w:lang w:val="en-US" w:eastAsia="zh-CN"/>
              </w:rPr>
            </w:pPr>
            <w:r>
              <w:rPr>
                <w:rFonts w:hint="default" w:ascii="Times New Roman" w:hAnsi="Times New Roman" w:cs="Times New Roman"/>
                <w:bCs/>
                <w:color w:val="auto"/>
                <w:sz w:val="24"/>
                <w:szCs w:val="24"/>
                <w:lang w:val="en-US" w:eastAsia="zh-CN"/>
              </w:rPr>
              <w:t>综上，</w:t>
            </w:r>
            <w:r>
              <w:rPr>
                <w:rFonts w:hint="eastAsia" w:ascii="Times New Roman" w:hAnsi="Times New Roman" w:cs="Times New Roman"/>
                <w:bCs/>
                <w:color w:val="auto"/>
                <w:sz w:val="24"/>
                <w:szCs w:val="24"/>
                <w:lang w:val="en-US" w:eastAsia="zh-CN"/>
              </w:rPr>
              <w:t>本项目</w:t>
            </w:r>
            <w:r>
              <w:rPr>
                <w:rFonts w:hint="default" w:ascii="Times New Roman" w:hAnsi="Times New Roman" w:cs="Times New Roman"/>
                <w:bCs/>
                <w:color w:val="auto"/>
                <w:sz w:val="24"/>
                <w:szCs w:val="24"/>
                <w:lang w:val="en-US" w:eastAsia="zh-CN"/>
              </w:rPr>
              <w:t>运营期产生的固体废物均得到妥善处置，对区域环境影响不大</w:t>
            </w:r>
            <w:r>
              <w:rPr>
                <w:rFonts w:hint="eastAsia" w:ascii="Times New Roman" w:hAnsi="Times New Roman" w:cs="Times New Roman"/>
                <w:bCs/>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textAlignment w:val="auto"/>
              <w:rPr>
                <w:rFonts w:hint="default" w:ascii="Times New Roman" w:hAnsi="Times New Roman" w:cs="Times New Roman"/>
                <w:b/>
                <w:bCs/>
                <w:color w:val="auto"/>
                <w:lang w:val="en-US" w:eastAsia="zh-CN"/>
              </w:rPr>
            </w:pPr>
            <w:r>
              <w:rPr>
                <w:rFonts w:hint="eastAsia" w:ascii="Times New Roman" w:hAnsi="Times New Roman" w:cs="Times New Roman"/>
                <w:b/>
                <w:bCs w:val="0"/>
                <w:color w:val="auto"/>
                <w:sz w:val="24"/>
                <w:szCs w:val="24"/>
                <w:lang w:val="en-US" w:eastAsia="zh-CN"/>
              </w:rPr>
              <w:t>7</w:t>
            </w:r>
            <w:r>
              <w:rPr>
                <w:rFonts w:hint="default" w:ascii="Times New Roman" w:hAnsi="Times New Roman" w:cs="Times New Roman"/>
                <w:b/>
                <w:bCs w:val="0"/>
                <w:color w:val="auto"/>
                <w:sz w:val="24"/>
                <w:szCs w:val="24"/>
                <w:lang w:val="en-US" w:eastAsia="zh-CN"/>
              </w:rPr>
              <w:t>、现有</w:t>
            </w:r>
            <w:r>
              <w:rPr>
                <w:rFonts w:hint="default" w:ascii="Times New Roman" w:hAnsi="Times New Roman" w:eastAsia="宋体" w:cs="Times New Roman"/>
                <w:b/>
                <w:bCs w:val="0"/>
                <w:color w:val="auto"/>
                <w:sz w:val="24"/>
                <w:szCs w:val="24"/>
                <w:lang w:val="en-US" w:eastAsia="zh-CN"/>
              </w:rPr>
              <w:t>主要环境问题</w:t>
            </w:r>
          </w:p>
          <w:p>
            <w:pPr>
              <w:spacing w:line="360" w:lineRule="auto"/>
              <w:ind w:firstLine="480" w:firstLineChars="200"/>
              <w:rPr>
                <w:rFonts w:hint="default" w:ascii="Times New Roman" w:hAnsi="Times New Roman" w:cs="Times New Roman" w:eastAsiaTheme="minorEastAsia"/>
                <w:bCs/>
                <w:szCs w:val="21"/>
                <w:lang w:val="en-US" w:eastAsia="zh-CN"/>
              </w:rPr>
            </w:pPr>
            <w:r>
              <w:rPr>
                <w:rFonts w:hint="eastAsia" w:ascii="Times New Roman" w:hAnsi="Times New Roman"/>
                <w:sz w:val="24"/>
              </w:rPr>
              <w:t>根据现场勘查</w:t>
            </w:r>
            <w:r>
              <w:rPr>
                <w:rFonts w:hint="eastAsia" w:ascii="Times New Roman" w:hAnsi="Times New Roman" w:eastAsia="宋体" w:cs="Times New Roman"/>
                <w:bCs/>
                <w:sz w:val="24"/>
              </w:rPr>
              <w:t>，</w:t>
            </w:r>
            <w:r>
              <w:rPr>
                <w:rFonts w:hint="eastAsia" w:ascii="Times New Roman" w:hAnsi="Times New Roman" w:eastAsia="宋体" w:cs="Times New Roman"/>
                <w:bCs/>
                <w:sz w:val="24"/>
                <w:lang w:eastAsia="zh-CN"/>
              </w:rPr>
              <w:t>现场</w:t>
            </w:r>
            <w:r>
              <w:rPr>
                <w:rFonts w:hint="eastAsia" w:ascii="Times New Roman" w:hAnsi="Times New Roman" w:cs="Times New Roman"/>
                <w:sz w:val="24"/>
                <w:szCs w:val="24"/>
                <w:lang w:val="en-US" w:eastAsia="zh-CN"/>
              </w:rPr>
              <w:t>改造了1台20t/h生物质锅炉，同时将原有的废气治理设施改造为布袋除尘+低氮燃烧技术，作为应急备用锅炉，并对原有锅炉房进行了改造，将原有生物质库改造成煤棚，改造原有渣库，并新建破碎楼、灰仓及配套设施</w:t>
            </w:r>
            <w:r>
              <w:rPr>
                <w:rFonts w:hint="eastAsia" w:ascii="Times New Roman" w:hAnsi="Times New Roman" w:cs="Times New Roman"/>
                <w:bCs/>
                <w:color w:val="auto"/>
                <w:sz w:val="24"/>
                <w:szCs w:val="24"/>
                <w:lang w:val="en-US" w:eastAsia="zh-CN"/>
              </w:rPr>
              <w:t>。</w:t>
            </w:r>
          </w:p>
        </w:tc>
      </w:tr>
    </w:tbl>
    <w:p>
      <w:pPr>
        <w:rPr>
          <w:rFonts w:ascii="黑体" w:hAnsi="宋体" w:eastAsia="黑体" w:cs="Times New Roman"/>
          <w:snapToGrid w:val="0"/>
          <w:sz w:val="36"/>
          <w:szCs w:val="36"/>
          <w:lang w:bidi="ar"/>
        </w:rPr>
        <w:sectPr>
          <w:pgSz w:w="11906" w:h="16838"/>
          <w:pgMar w:top="1702" w:right="1531" w:bottom="1702" w:left="1531" w:header="851" w:footer="851" w:gutter="0"/>
          <w:cols w:space="425" w:num="1"/>
          <w:docGrid w:type="lines" w:linePitch="312" w:charSpace="0"/>
        </w:sectPr>
      </w:pPr>
    </w:p>
    <w:p>
      <w:pPr>
        <w:pStyle w:val="19"/>
        <w:keepNext w:val="0"/>
        <w:keepLines w:val="0"/>
        <w:pageBreakBefore w:val="0"/>
        <w:widowControl/>
        <w:kinsoku/>
        <w:wordWrap/>
        <w:overflowPunct/>
        <w:topLinePunct w:val="0"/>
        <w:autoSpaceDE/>
        <w:autoSpaceDN/>
        <w:bidi w:val="0"/>
        <w:adjustRightInd/>
        <w:snapToGrid/>
        <w:spacing w:beforeAutospacing="0" w:afterAutospacing="0" w:line="360" w:lineRule="auto"/>
        <w:jc w:val="center"/>
        <w:textAlignment w:val="auto"/>
        <w:outlineLvl w:val="0"/>
        <w:rPr>
          <w:rFonts w:hint="default" w:ascii="黑体" w:eastAsia="黑体" w:cs="黑体"/>
          <w:snapToGrid w:val="0"/>
          <w:sz w:val="30"/>
          <w:szCs w:val="30"/>
        </w:rPr>
      </w:pPr>
      <w:r>
        <w:rPr>
          <w:rFonts w:ascii="黑体" w:eastAsia="黑体" w:cs="黑体"/>
          <w:snapToGrid w:val="0"/>
          <w:sz w:val="30"/>
          <w:szCs w:val="30"/>
        </w:rPr>
        <w:t>三、区域环境质量现状、环境保护目标及评价标准</w:t>
      </w:r>
    </w:p>
    <w:tbl>
      <w:tblPr>
        <w:tblStyle w:val="2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86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0" w:type="pct"/>
            <w:tcBorders>
              <w:top w:val="single" w:color="auto" w:sz="8" w:space="0"/>
              <w:left w:val="single" w:color="auto" w:sz="8"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lang w:bidi="ar"/>
              </w:rPr>
              <w:t>区域</w:t>
            </w:r>
          </w:p>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lang w:bidi="ar"/>
              </w:rPr>
              <w:t>环境</w:t>
            </w:r>
          </w:p>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lang w:bidi="ar"/>
              </w:rPr>
              <w:t>质量</w:t>
            </w:r>
          </w:p>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lang w:bidi="ar"/>
              </w:rPr>
              <w:t>现状</w:t>
            </w:r>
          </w:p>
        </w:tc>
        <w:tc>
          <w:tcPr>
            <w:tcW w:w="4719" w:type="pct"/>
            <w:tcBorders>
              <w:top w:val="single" w:color="auto" w:sz="8" w:space="0"/>
              <w:left w:val="single" w:color="auto" w:sz="4" w:space="0"/>
              <w:bottom w:val="single" w:color="auto" w:sz="4" w:space="0"/>
              <w:right w:val="single" w:color="auto" w:sz="8"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1、大气环境</w:t>
            </w:r>
          </w:p>
          <w:p>
            <w:pPr>
              <w:adjustRightInd w:val="0"/>
              <w:snapToGri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（1）项目所在区域环境质量达标情况</w:t>
            </w:r>
          </w:p>
          <w:p>
            <w:pPr>
              <w:adjustRightInd w:val="0"/>
              <w:snapToGrid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本评价通过引用《2022年承德市生态环境状况公报》中围场县大气常规污染物现状监测统计资料中监测数据，来说明拟建地区的环境空气质量。</w:t>
            </w:r>
          </w:p>
          <w:p>
            <w:pPr>
              <w:adjustRightInd w:val="0"/>
              <w:snapToGrid w:val="0"/>
              <w:spacing w:line="360" w:lineRule="auto"/>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项目所在区域环境空气质量执行《环境空气质量标准》（GB3095-2012）及其修改单的二级标准。根据《2022年承德市生态环境状况公报》中围场县大气常规污染物中的PM</w:t>
            </w:r>
            <w:r>
              <w:rPr>
                <w:rFonts w:hint="default" w:ascii="Times New Roman" w:hAnsi="Times New Roman" w:eastAsia="宋体" w:cs="Times New Roman"/>
                <w:sz w:val="24"/>
                <w:szCs w:val="24"/>
                <w:vertAlign w:val="subscript"/>
                <w:lang w:val="en-US" w:eastAsia="zh-CN"/>
              </w:rPr>
              <w:t>2.5</w:t>
            </w:r>
            <w:r>
              <w:rPr>
                <w:rFonts w:hint="default" w:ascii="Times New Roman" w:hAnsi="Times New Roman" w:eastAsia="宋体" w:cs="Times New Roman"/>
                <w:sz w:val="24"/>
                <w:szCs w:val="24"/>
                <w:lang w:val="en-US" w:eastAsia="zh-CN"/>
              </w:rPr>
              <w:t>、PM</w:t>
            </w:r>
            <w:r>
              <w:rPr>
                <w:rFonts w:hint="default" w:ascii="Times New Roman" w:hAnsi="Times New Roman" w:eastAsia="宋体" w:cs="Times New Roman"/>
                <w:sz w:val="24"/>
                <w:szCs w:val="24"/>
                <w:vertAlign w:val="subscript"/>
                <w:lang w:val="en-US" w:eastAsia="zh-CN"/>
              </w:rPr>
              <w:t>10</w:t>
            </w:r>
            <w:r>
              <w:rPr>
                <w:rFonts w:hint="default" w:ascii="Times New Roman" w:hAnsi="Times New Roman" w:eastAsia="宋体" w:cs="Times New Roman"/>
                <w:sz w:val="24"/>
                <w:szCs w:val="24"/>
                <w:lang w:val="en-US" w:eastAsia="zh-CN"/>
              </w:rPr>
              <w:t>、SO</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sz w:val="24"/>
                <w:szCs w:val="24"/>
                <w:lang w:val="en-US" w:eastAsia="zh-CN"/>
              </w:rPr>
              <w:t>、CO、O</w:t>
            </w:r>
            <w:r>
              <w:rPr>
                <w:rFonts w:hint="default" w:ascii="Times New Roman" w:hAnsi="Times New Roman" w:eastAsia="宋体" w:cs="Times New Roman"/>
                <w:sz w:val="24"/>
                <w:szCs w:val="24"/>
                <w:vertAlign w:val="subscript"/>
                <w:lang w:val="en-US" w:eastAsia="zh-CN"/>
              </w:rPr>
              <w:t>3</w:t>
            </w:r>
            <w:r>
              <w:rPr>
                <w:rFonts w:hint="default" w:ascii="Times New Roman" w:hAnsi="Times New Roman" w:eastAsia="宋体" w:cs="Times New Roman"/>
                <w:sz w:val="24"/>
                <w:szCs w:val="24"/>
                <w:lang w:val="en-US" w:eastAsia="zh-CN"/>
              </w:rPr>
              <w:t>和NO</w:t>
            </w:r>
            <w:r>
              <w:rPr>
                <w:rFonts w:hint="default" w:ascii="Times New Roman" w:hAnsi="Times New Roman" w:eastAsia="宋体" w:cs="Times New Roman"/>
                <w:sz w:val="24"/>
                <w:szCs w:val="24"/>
                <w:vertAlign w:val="subscript"/>
                <w:lang w:val="en-US" w:eastAsia="zh-CN"/>
              </w:rPr>
              <w:t>2</w:t>
            </w:r>
            <w:r>
              <w:rPr>
                <w:rFonts w:hint="default" w:ascii="Times New Roman" w:hAnsi="Times New Roman" w:eastAsia="宋体" w:cs="Times New Roman"/>
                <w:sz w:val="24"/>
                <w:szCs w:val="24"/>
                <w:lang w:val="en-US" w:eastAsia="zh-CN"/>
              </w:rPr>
              <w:t>现状监测统计资料，监测结果见下表</w:t>
            </w:r>
            <w:r>
              <w:rPr>
                <w:rFonts w:hint="default" w:ascii="Times New Roman" w:hAnsi="Times New Roman" w:eastAsia="宋体" w:cs="Times New Roman"/>
                <w:sz w:val="24"/>
                <w:szCs w:val="24"/>
                <w:lang w:eastAsia="zh-CN"/>
              </w:rPr>
              <w:t>：</w:t>
            </w:r>
          </w:p>
          <w:p>
            <w:pPr>
              <w:autoSpaceDE w:val="0"/>
              <w:autoSpaceDN w:val="0"/>
              <w:adjustRightInd w:val="0"/>
              <w:snapToGrid w:val="0"/>
              <w:spacing w:line="360" w:lineRule="auto"/>
              <w:jc w:val="center"/>
              <w:rPr>
                <w:rFonts w:hint="default" w:ascii="Times New Roman" w:hAnsi="Times New Roman" w:cs="Times New Roman"/>
                <w:b/>
                <w:bCs/>
                <w:szCs w:val="21"/>
              </w:rPr>
            </w:pPr>
            <w:r>
              <w:rPr>
                <w:rFonts w:hint="default" w:ascii="Times New Roman" w:hAnsi="Times New Roman" w:cs="Times New Roman"/>
                <w:b/>
                <w:bCs/>
                <w:szCs w:val="21"/>
              </w:rPr>
              <w:t xml:space="preserve">表3-1  </w:t>
            </w:r>
            <w:r>
              <w:rPr>
                <w:rStyle w:val="27"/>
                <w:rFonts w:hint="default" w:ascii="Times New Roman" w:hAnsi="Times New Roman" w:cs="Times New Roman"/>
              </w:rPr>
              <w:t>202</w:t>
            </w:r>
            <w:r>
              <w:rPr>
                <w:rStyle w:val="27"/>
                <w:rFonts w:hint="default" w:ascii="Times New Roman" w:hAnsi="Times New Roman" w:cs="Times New Roman"/>
                <w:lang w:val="en-US" w:eastAsia="zh-CN"/>
              </w:rPr>
              <w:t>2</w:t>
            </w:r>
            <w:r>
              <w:rPr>
                <w:rStyle w:val="27"/>
                <w:rFonts w:hint="default" w:ascii="Times New Roman" w:hAnsi="Times New Roman" w:cs="Times New Roman"/>
              </w:rPr>
              <w:t>年围场满族蒙古族自治县环境空气质量监测结果</w:t>
            </w:r>
            <w:r>
              <w:rPr>
                <w:rFonts w:hint="default" w:ascii="Times New Roman" w:hAnsi="Times New Roman" w:cs="Times New Roman"/>
                <w:b/>
                <w:bCs/>
                <w:szCs w:val="21"/>
              </w:rPr>
              <w:t>表</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8"/>
              <w:gridCol w:w="1995"/>
              <w:gridCol w:w="868"/>
              <w:gridCol w:w="886"/>
              <w:gridCol w:w="646"/>
              <w:gridCol w:w="913"/>
              <w:gridCol w:w="624"/>
              <w:gridCol w:w="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exact"/>
                <w:jc w:val="center"/>
              </w:trPr>
              <w:tc>
                <w:tcPr>
                  <w:tcW w:w="941"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污染物名称</w:t>
                  </w:r>
                </w:p>
              </w:tc>
              <w:tc>
                <w:tcPr>
                  <w:tcW w:w="1189"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环境空气质量综合指数</w:t>
                  </w:r>
                </w:p>
              </w:tc>
              <w:tc>
                <w:tcPr>
                  <w:tcW w:w="517"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PM</w:t>
                  </w:r>
                  <w:r>
                    <w:rPr>
                      <w:rFonts w:hint="default" w:ascii="Times New Roman" w:hAnsi="Times New Roman" w:eastAsia="宋体" w:cs="Times New Roman"/>
                      <w:sz w:val="21"/>
                      <w:szCs w:val="21"/>
                      <w:vertAlign w:val="subscript"/>
                    </w:rPr>
                    <w:t>2.5</w:t>
                  </w:r>
                </w:p>
              </w:tc>
              <w:tc>
                <w:tcPr>
                  <w:tcW w:w="528"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PM</w:t>
                  </w:r>
                  <w:r>
                    <w:rPr>
                      <w:rFonts w:hint="default" w:ascii="Times New Roman" w:hAnsi="Times New Roman" w:eastAsia="宋体" w:cs="Times New Roman"/>
                      <w:sz w:val="21"/>
                      <w:szCs w:val="21"/>
                      <w:vertAlign w:val="subscript"/>
                    </w:rPr>
                    <w:t>10</w:t>
                  </w:r>
                </w:p>
              </w:tc>
              <w:tc>
                <w:tcPr>
                  <w:tcW w:w="385"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SO</w:t>
                  </w:r>
                  <w:r>
                    <w:rPr>
                      <w:rFonts w:hint="default" w:ascii="Times New Roman" w:hAnsi="Times New Roman" w:eastAsia="宋体" w:cs="Times New Roman"/>
                      <w:sz w:val="21"/>
                      <w:szCs w:val="21"/>
                      <w:vertAlign w:val="subscript"/>
                    </w:rPr>
                    <w:t>2</w:t>
                  </w:r>
                </w:p>
              </w:tc>
              <w:tc>
                <w:tcPr>
                  <w:tcW w:w="544"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CO</w:t>
                  </w:r>
                </w:p>
              </w:tc>
              <w:tc>
                <w:tcPr>
                  <w:tcW w:w="372"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O</w:t>
                  </w:r>
                  <w:r>
                    <w:rPr>
                      <w:rFonts w:hint="default" w:ascii="Times New Roman" w:hAnsi="Times New Roman" w:eastAsia="宋体" w:cs="Times New Roman"/>
                      <w:sz w:val="21"/>
                      <w:szCs w:val="21"/>
                      <w:vertAlign w:val="subscript"/>
                    </w:rPr>
                    <w:t>3</w:t>
                  </w:r>
                </w:p>
              </w:tc>
              <w:tc>
                <w:tcPr>
                  <w:tcW w:w="520"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NO</w:t>
                  </w:r>
                  <w:r>
                    <w:rPr>
                      <w:rFonts w:hint="default" w:ascii="Times New Roman" w:hAnsi="Times New Roman" w:eastAsia="宋体" w:cs="Times New Roman"/>
                      <w:sz w:val="21"/>
                      <w:szCs w:val="21"/>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exact"/>
                <w:jc w:val="center"/>
              </w:trPr>
              <w:tc>
                <w:tcPr>
                  <w:tcW w:w="941"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年均值</w:t>
                  </w:r>
                </w:p>
              </w:tc>
              <w:tc>
                <w:tcPr>
                  <w:tcW w:w="1189"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sz w:val="21"/>
                      <w:szCs w:val="21"/>
                      <w:highlight w:val="none"/>
                      <w:lang w:val="en-US" w:eastAsia="zh-CN"/>
                    </w:rPr>
                    <w:t>2.7</w:t>
                  </w:r>
                </w:p>
              </w:tc>
              <w:tc>
                <w:tcPr>
                  <w:tcW w:w="868" w:type="dxa"/>
                  <w:vAlign w:val="center"/>
                </w:tcPr>
                <w:p>
                  <w:pPr>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2"/>
                      <w:sz w:val="21"/>
                      <w:szCs w:val="21"/>
                      <w:highlight w:val="none"/>
                      <w:lang w:val="en-US" w:eastAsia="zh-CN" w:bidi="ar-SA"/>
                    </w:rPr>
                    <w:t>18</w:t>
                  </w:r>
                </w:p>
              </w:tc>
              <w:tc>
                <w:tcPr>
                  <w:tcW w:w="886" w:type="dxa"/>
                  <w:vAlign w:val="center"/>
                </w:tcPr>
                <w:p>
                  <w:pPr>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sz w:val="21"/>
                      <w:szCs w:val="21"/>
                      <w:highlight w:val="none"/>
                      <w:lang w:val="en-US" w:eastAsia="zh-CN"/>
                    </w:rPr>
                    <w:t>42</w:t>
                  </w:r>
                </w:p>
              </w:tc>
              <w:tc>
                <w:tcPr>
                  <w:tcW w:w="646" w:type="dxa"/>
                  <w:vAlign w:val="center"/>
                </w:tcPr>
                <w:p>
                  <w:pPr>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sz w:val="21"/>
                      <w:szCs w:val="21"/>
                      <w:highlight w:val="none"/>
                      <w:lang w:val="en-US" w:eastAsia="zh-CN"/>
                    </w:rPr>
                    <w:t>9</w:t>
                  </w:r>
                </w:p>
              </w:tc>
              <w:tc>
                <w:tcPr>
                  <w:tcW w:w="913" w:type="dxa"/>
                  <w:vAlign w:val="center"/>
                </w:tcPr>
                <w:p>
                  <w:pPr>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sz w:val="21"/>
                      <w:szCs w:val="21"/>
                      <w:highlight w:val="none"/>
                      <w:lang w:val="en-US" w:eastAsia="zh-CN"/>
                    </w:rPr>
                    <w:t>0.8</w:t>
                  </w:r>
                </w:p>
              </w:tc>
              <w:tc>
                <w:tcPr>
                  <w:tcW w:w="624" w:type="dxa"/>
                  <w:vAlign w:val="center"/>
                </w:tcPr>
                <w:p>
                  <w:pPr>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2"/>
                      <w:sz w:val="21"/>
                      <w:szCs w:val="21"/>
                      <w:highlight w:val="none"/>
                      <w:lang w:val="en-US" w:eastAsia="zh-CN" w:bidi="ar-SA"/>
                    </w:rPr>
                    <w:t>131</w:t>
                  </w:r>
                </w:p>
              </w:tc>
              <w:tc>
                <w:tcPr>
                  <w:tcW w:w="873" w:type="dxa"/>
                  <w:vAlign w:val="center"/>
                </w:tcPr>
                <w:p>
                  <w:pPr>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000000"/>
                      <w:kern w:val="2"/>
                      <w:sz w:val="21"/>
                      <w:szCs w:val="21"/>
                      <w:highlight w:val="none"/>
                      <w:lang w:val="en-US" w:eastAsia="zh-CN" w:bidi="ar-SA"/>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exact"/>
                <w:jc w:val="center"/>
              </w:trPr>
              <w:tc>
                <w:tcPr>
                  <w:tcW w:w="941"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标准（二级）</w:t>
                  </w:r>
                </w:p>
              </w:tc>
              <w:tc>
                <w:tcPr>
                  <w:tcW w:w="1189" w:type="pct"/>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68" w:type="dxa"/>
                  <w:vAlign w:val="center"/>
                </w:tcPr>
                <w:p>
                  <w:pPr>
                    <w:spacing w:line="240" w:lineRule="auto"/>
                    <w:ind w:firstLine="0" w:firstLineChars="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highlight w:val="none"/>
                    </w:rPr>
                    <w:t>35</w:t>
                  </w:r>
                </w:p>
              </w:tc>
              <w:tc>
                <w:tcPr>
                  <w:tcW w:w="886" w:type="dxa"/>
                  <w:vAlign w:val="center"/>
                </w:tcPr>
                <w:p>
                  <w:pPr>
                    <w:spacing w:line="240" w:lineRule="auto"/>
                    <w:ind w:firstLine="0" w:firstLineChars="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highlight w:val="none"/>
                    </w:rPr>
                    <w:t>70</w:t>
                  </w:r>
                </w:p>
              </w:tc>
              <w:tc>
                <w:tcPr>
                  <w:tcW w:w="646" w:type="dxa"/>
                  <w:vAlign w:val="center"/>
                </w:tcPr>
                <w:p>
                  <w:pPr>
                    <w:spacing w:line="240" w:lineRule="auto"/>
                    <w:ind w:firstLine="0" w:firstLineChars="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highlight w:val="none"/>
                    </w:rPr>
                    <w:t>60</w:t>
                  </w:r>
                </w:p>
              </w:tc>
              <w:tc>
                <w:tcPr>
                  <w:tcW w:w="913" w:type="dxa"/>
                  <w:vAlign w:val="center"/>
                </w:tcPr>
                <w:p>
                  <w:pPr>
                    <w:spacing w:line="240" w:lineRule="auto"/>
                    <w:ind w:firstLine="0" w:firstLineChars="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highlight w:val="none"/>
                    </w:rPr>
                    <w:t>4.0</w:t>
                  </w:r>
                </w:p>
              </w:tc>
              <w:tc>
                <w:tcPr>
                  <w:tcW w:w="624" w:type="dxa"/>
                  <w:vAlign w:val="center"/>
                </w:tcPr>
                <w:p>
                  <w:pPr>
                    <w:spacing w:line="240" w:lineRule="auto"/>
                    <w:ind w:firstLine="0" w:firstLineChars="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highlight w:val="none"/>
                    </w:rPr>
                    <w:t>160</w:t>
                  </w:r>
                </w:p>
              </w:tc>
              <w:tc>
                <w:tcPr>
                  <w:tcW w:w="873" w:type="dxa"/>
                  <w:vAlign w:val="center"/>
                </w:tcPr>
                <w:p>
                  <w:pPr>
                    <w:spacing w:line="240" w:lineRule="auto"/>
                    <w:ind w:firstLine="0" w:firstLineChars="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highlight w:val="none"/>
                    </w:rPr>
                    <w:t>40</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b/>
                <w:szCs w:val="21"/>
              </w:rPr>
            </w:pPr>
            <w:r>
              <w:rPr>
                <w:rFonts w:hint="default" w:ascii="Times New Roman" w:hAnsi="Times New Roman" w:cs="Times New Roman"/>
                <w:b/>
                <w:szCs w:val="21"/>
              </w:rPr>
              <w:t>注：1.CO的浓度单位是mg/m</w:t>
            </w:r>
            <w:r>
              <w:rPr>
                <w:rFonts w:hint="default" w:ascii="Times New Roman" w:hAnsi="Times New Roman" w:cs="Times New Roman"/>
                <w:b/>
                <w:szCs w:val="21"/>
                <w:vertAlign w:val="superscript"/>
              </w:rPr>
              <w:t>3</w:t>
            </w:r>
            <w:r>
              <w:rPr>
                <w:rFonts w:hint="default" w:ascii="Times New Roman" w:hAnsi="Times New Roman" w:cs="Times New Roman"/>
                <w:b/>
                <w:szCs w:val="21"/>
              </w:rPr>
              <w:t>，PM</w:t>
            </w:r>
            <w:r>
              <w:rPr>
                <w:rFonts w:hint="default" w:ascii="Times New Roman" w:hAnsi="Times New Roman" w:cs="Times New Roman"/>
                <w:b/>
                <w:szCs w:val="21"/>
                <w:vertAlign w:val="subscript"/>
              </w:rPr>
              <w:t>2.5</w:t>
            </w:r>
            <w:r>
              <w:rPr>
                <w:rFonts w:hint="default" w:ascii="Times New Roman" w:hAnsi="Times New Roman" w:cs="Times New Roman"/>
                <w:b/>
                <w:szCs w:val="21"/>
              </w:rPr>
              <w:t>、PM</w:t>
            </w:r>
            <w:r>
              <w:rPr>
                <w:rFonts w:hint="default" w:ascii="Times New Roman" w:hAnsi="Times New Roman" w:cs="Times New Roman"/>
                <w:b/>
                <w:szCs w:val="21"/>
                <w:vertAlign w:val="subscript"/>
              </w:rPr>
              <w:t>10</w:t>
            </w:r>
            <w:r>
              <w:rPr>
                <w:rFonts w:hint="default" w:ascii="Times New Roman" w:hAnsi="Times New Roman" w:cs="Times New Roman"/>
                <w:b/>
                <w:szCs w:val="21"/>
              </w:rPr>
              <w:t>、NO</w:t>
            </w:r>
            <w:r>
              <w:rPr>
                <w:rFonts w:hint="default" w:ascii="Times New Roman" w:hAnsi="Times New Roman" w:cs="Times New Roman"/>
                <w:b/>
                <w:szCs w:val="21"/>
                <w:vertAlign w:val="subscript"/>
              </w:rPr>
              <w:t>2</w:t>
            </w:r>
            <w:r>
              <w:rPr>
                <w:rFonts w:hint="default" w:ascii="Times New Roman" w:hAnsi="Times New Roman" w:cs="Times New Roman"/>
                <w:b/>
                <w:szCs w:val="21"/>
              </w:rPr>
              <w:t>、SO</w:t>
            </w:r>
            <w:r>
              <w:rPr>
                <w:rFonts w:hint="default" w:ascii="Times New Roman" w:hAnsi="Times New Roman" w:cs="Times New Roman"/>
                <w:b/>
                <w:szCs w:val="21"/>
                <w:vertAlign w:val="subscript"/>
              </w:rPr>
              <w:t>2</w:t>
            </w:r>
            <w:r>
              <w:rPr>
                <w:rFonts w:hint="default" w:ascii="Times New Roman" w:hAnsi="Times New Roman" w:cs="Times New Roman"/>
                <w:b/>
                <w:szCs w:val="21"/>
              </w:rPr>
              <w:t>、O</w:t>
            </w:r>
            <w:r>
              <w:rPr>
                <w:rFonts w:hint="default" w:ascii="Times New Roman" w:hAnsi="Times New Roman" w:cs="Times New Roman"/>
                <w:b/>
                <w:szCs w:val="21"/>
                <w:vertAlign w:val="subscript"/>
              </w:rPr>
              <w:t>3</w:t>
            </w:r>
            <w:r>
              <w:rPr>
                <w:rFonts w:hint="default" w:ascii="Times New Roman" w:hAnsi="Times New Roman" w:cs="Times New Roman"/>
                <w:b/>
                <w:szCs w:val="21"/>
              </w:rPr>
              <w:t>的浓度单位是μg/m</w:t>
            </w:r>
            <w:r>
              <w:rPr>
                <w:rFonts w:hint="default" w:ascii="Times New Roman" w:hAnsi="Times New Roman" w:cs="Times New Roman"/>
                <w:b/>
                <w:szCs w:val="21"/>
                <w:vertAlign w:val="superscript"/>
              </w:rPr>
              <w:t>3</w:t>
            </w:r>
            <w:r>
              <w:rPr>
                <w:rFonts w:hint="default" w:ascii="Times New Roman" w:hAnsi="Times New Roman" w:cs="Times New Roman"/>
                <w:b/>
                <w:szCs w:val="21"/>
              </w:rPr>
              <w:t>；2.CO为24小时平均第95百分位数，O</w:t>
            </w:r>
            <w:r>
              <w:rPr>
                <w:rFonts w:hint="default" w:ascii="Times New Roman" w:hAnsi="Times New Roman" w:cs="Times New Roman"/>
                <w:b/>
                <w:szCs w:val="21"/>
                <w:vertAlign w:val="subscript"/>
              </w:rPr>
              <w:t>3</w:t>
            </w:r>
            <w:r>
              <w:rPr>
                <w:rFonts w:hint="default" w:ascii="Times New Roman" w:hAnsi="Times New Roman" w:cs="Times New Roman"/>
                <w:b/>
                <w:szCs w:val="21"/>
              </w:rPr>
              <w:t>为日最大8小时平均第90百分位数。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区域环境空气质量现状评价表见下表：</w:t>
            </w:r>
          </w:p>
          <w:p>
            <w:pPr>
              <w:adjustRightInd w:val="0"/>
              <w:snapToGrid w:val="0"/>
              <w:spacing w:line="360" w:lineRule="auto"/>
              <w:ind w:firstLine="422" w:firstLineChars="200"/>
              <w:jc w:val="center"/>
              <w:rPr>
                <w:rFonts w:hint="default" w:ascii="Times New Roman" w:hAnsi="Times New Roman" w:cs="Times New Roman"/>
                <w:b/>
                <w:bCs/>
                <w:szCs w:val="21"/>
              </w:rPr>
            </w:pPr>
            <w:r>
              <w:rPr>
                <w:rFonts w:hint="default" w:ascii="Times New Roman" w:hAnsi="Times New Roman" w:cs="Times New Roman"/>
                <w:b/>
                <w:bCs/>
                <w:szCs w:val="21"/>
              </w:rPr>
              <w:t>表3-2  202</w:t>
            </w:r>
            <w:r>
              <w:rPr>
                <w:rFonts w:hint="default" w:ascii="Times New Roman" w:hAnsi="Times New Roman" w:cs="Times New Roman"/>
                <w:b/>
                <w:bCs/>
                <w:szCs w:val="21"/>
                <w:lang w:val="en-US" w:eastAsia="zh-CN"/>
              </w:rPr>
              <w:t>2</w:t>
            </w:r>
            <w:r>
              <w:rPr>
                <w:rFonts w:hint="default" w:ascii="Times New Roman" w:hAnsi="Times New Roman" w:cs="Times New Roman"/>
                <w:b/>
                <w:bCs/>
                <w:szCs w:val="21"/>
              </w:rPr>
              <w:t>年区域环境空气质量现状评价表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3"/>
              <w:gridCol w:w="1067"/>
              <w:gridCol w:w="1067"/>
              <w:gridCol w:w="1067"/>
              <w:gridCol w:w="1067"/>
              <w:gridCol w:w="1067"/>
              <w:gridCol w:w="1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182" w:type="pct"/>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环境空气质量综合指数</w:t>
                  </w:r>
                </w:p>
              </w:tc>
              <w:tc>
                <w:tcPr>
                  <w:tcW w:w="636"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szCs w:val="21"/>
                    </w:rPr>
                  </w:pPr>
                  <w:r>
                    <w:rPr>
                      <w:rFonts w:hint="default" w:ascii="Times New Roman" w:hAnsi="Times New Roman" w:eastAsia="宋体" w:cs="Times New Roman"/>
                      <w:b/>
                      <w:bCs/>
                      <w:sz w:val="21"/>
                      <w:szCs w:val="21"/>
                    </w:rPr>
                    <w:t>PM</w:t>
                  </w:r>
                  <w:r>
                    <w:rPr>
                      <w:rFonts w:hint="default" w:ascii="Times New Roman" w:hAnsi="Times New Roman" w:eastAsia="宋体" w:cs="Times New Roman"/>
                      <w:b/>
                      <w:bCs/>
                      <w:sz w:val="21"/>
                      <w:szCs w:val="21"/>
                      <w:vertAlign w:val="subscript"/>
                    </w:rPr>
                    <w:t>2.5</w:t>
                  </w:r>
                </w:p>
              </w:tc>
              <w:tc>
                <w:tcPr>
                  <w:tcW w:w="636"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szCs w:val="21"/>
                    </w:rPr>
                  </w:pPr>
                  <w:r>
                    <w:rPr>
                      <w:rFonts w:hint="default" w:ascii="Times New Roman" w:hAnsi="Times New Roman" w:eastAsia="宋体" w:cs="Times New Roman"/>
                      <w:b/>
                      <w:bCs/>
                      <w:sz w:val="21"/>
                      <w:szCs w:val="21"/>
                    </w:rPr>
                    <w:t>PM</w:t>
                  </w:r>
                  <w:r>
                    <w:rPr>
                      <w:rFonts w:hint="default" w:ascii="Times New Roman" w:hAnsi="Times New Roman" w:eastAsia="宋体" w:cs="Times New Roman"/>
                      <w:b/>
                      <w:bCs/>
                      <w:sz w:val="21"/>
                      <w:szCs w:val="21"/>
                      <w:vertAlign w:val="subscript"/>
                    </w:rPr>
                    <w:t>10</w:t>
                  </w:r>
                </w:p>
              </w:tc>
              <w:tc>
                <w:tcPr>
                  <w:tcW w:w="636"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szCs w:val="21"/>
                    </w:rPr>
                  </w:pPr>
                  <w:r>
                    <w:rPr>
                      <w:rFonts w:hint="default" w:ascii="Times New Roman" w:hAnsi="Times New Roman" w:eastAsia="宋体" w:cs="Times New Roman"/>
                      <w:b/>
                      <w:bCs/>
                      <w:sz w:val="21"/>
                      <w:szCs w:val="21"/>
                    </w:rPr>
                    <w:t>SO</w:t>
                  </w:r>
                  <w:r>
                    <w:rPr>
                      <w:rFonts w:hint="default" w:ascii="Times New Roman" w:hAnsi="Times New Roman" w:eastAsia="宋体" w:cs="Times New Roman"/>
                      <w:b/>
                      <w:bCs/>
                      <w:sz w:val="21"/>
                      <w:szCs w:val="21"/>
                      <w:vertAlign w:val="subscript"/>
                    </w:rPr>
                    <w:t>2</w:t>
                  </w:r>
                </w:p>
              </w:tc>
              <w:tc>
                <w:tcPr>
                  <w:tcW w:w="636"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szCs w:val="21"/>
                    </w:rPr>
                  </w:pPr>
                  <w:r>
                    <w:rPr>
                      <w:rFonts w:hint="default" w:ascii="Times New Roman" w:hAnsi="Times New Roman" w:eastAsia="宋体" w:cs="Times New Roman"/>
                      <w:b/>
                      <w:bCs/>
                      <w:sz w:val="21"/>
                      <w:szCs w:val="21"/>
                    </w:rPr>
                    <w:t>CO</w:t>
                  </w:r>
                </w:p>
              </w:tc>
              <w:tc>
                <w:tcPr>
                  <w:tcW w:w="636"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szCs w:val="21"/>
                    </w:rPr>
                  </w:pPr>
                  <w:r>
                    <w:rPr>
                      <w:rFonts w:hint="default" w:ascii="Times New Roman" w:hAnsi="Times New Roman" w:eastAsia="宋体" w:cs="Times New Roman"/>
                      <w:b/>
                      <w:bCs/>
                      <w:sz w:val="21"/>
                      <w:szCs w:val="21"/>
                    </w:rPr>
                    <w:t>O</w:t>
                  </w:r>
                  <w:r>
                    <w:rPr>
                      <w:rFonts w:hint="default" w:ascii="Times New Roman" w:hAnsi="Times New Roman" w:eastAsia="宋体" w:cs="Times New Roman"/>
                      <w:b/>
                      <w:bCs/>
                      <w:sz w:val="21"/>
                      <w:szCs w:val="21"/>
                      <w:vertAlign w:val="subscript"/>
                    </w:rPr>
                    <w:t>3</w:t>
                  </w:r>
                </w:p>
              </w:tc>
              <w:tc>
                <w:tcPr>
                  <w:tcW w:w="636"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szCs w:val="21"/>
                    </w:rPr>
                  </w:pPr>
                  <w:r>
                    <w:rPr>
                      <w:rFonts w:hint="default" w:ascii="Times New Roman" w:hAnsi="Times New Roman" w:eastAsia="宋体" w:cs="Times New Roman"/>
                      <w:b/>
                      <w:bCs/>
                      <w:sz w:val="21"/>
                      <w:szCs w:val="21"/>
                    </w:rPr>
                    <w:t>NO</w:t>
                  </w:r>
                  <w:r>
                    <w:rPr>
                      <w:rFonts w:hint="default" w:ascii="Times New Roman" w:hAnsi="Times New Roman" w:eastAsia="宋体" w:cs="Times New Roman"/>
                      <w:b/>
                      <w:bCs/>
                      <w:sz w:val="21"/>
                      <w:szCs w:val="21"/>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182" w:type="pct"/>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现状浓度（µg/m</w:t>
                  </w:r>
                  <w:r>
                    <w:rPr>
                      <w:rFonts w:hint="default" w:ascii="Times New Roman" w:hAnsi="Times New Roman" w:cs="Times New Roman"/>
                      <w:kern w:val="0"/>
                      <w:szCs w:val="21"/>
                      <w:vertAlign w:val="superscript"/>
                    </w:rPr>
                    <w:t>3</w:t>
                  </w:r>
                  <w:r>
                    <w:rPr>
                      <w:rFonts w:hint="default" w:ascii="Times New Roman" w:hAnsi="Times New Roman" w:cs="Times New Roman"/>
                      <w:kern w:val="0"/>
                      <w:szCs w:val="21"/>
                    </w:rPr>
                    <w:t>）</w:t>
                  </w:r>
                </w:p>
              </w:tc>
              <w:tc>
                <w:tcPr>
                  <w:tcW w:w="1067" w:type="dxa"/>
                  <w:vAlign w:val="center"/>
                </w:tcPr>
                <w:p>
                  <w:pPr>
                    <w:spacing w:line="240" w:lineRule="auto"/>
                    <w:ind w:firstLine="0" w:firstLineChars="0"/>
                    <w:jc w:val="center"/>
                    <w:textAlignment w:val="baseline"/>
                    <w:rPr>
                      <w:rFonts w:hint="default" w:ascii="Times New Roman" w:hAnsi="Times New Roman" w:eastAsia="宋体" w:cs="Times New Roman"/>
                      <w:szCs w:val="21"/>
                    </w:rPr>
                  </w:pPr>
                  <w:r>
                    <w:rPr>
                      <w:rFonts w:hint="default" w:ascii="Times New Roman" w:hAnsi="Times New Roman" w:eastAsia="宋体" w:cs="Times New Roman"/>
                      <w:color w:val="000000"/>
                      <w:kern w:val="2"/>
                      <w:sz w:val="21"/>
                      <w:szCs w:val="21"/>
                      <w:highlight w:val="none"/>
                      <w:lang w:val="en-US" w:eastAsia="zh-CN" w:bidi="ar-SA"/>
                    </w:rPr>
                    <w:t>18</w:t>
                  </w:r>
                </w:p>
              </w:tc>
              <w:tc>
                <w:tcPr>
                  <w:tcW w:w="1067" w:type="dxa"/>
                  <w:vAlign w:val="center"/>
                </w:tcPr>
                <w:p>
                  <w:pPr>
                    <w:spacing w:line="240" w:lineRule="auto"/>
                    <w:ind w:firstLine="0" w:firstLineChars="0"/>
                    <w:jc w:val="center"/>
                    <w:textAlignment w:val="baseline"/>
                    <w:rPr>
                      <w:rFonts w:hint="default" w:ascii="Times New Roman" w:hAnsi="Times New Roman" w:eastAsia="宋体" w:cs="Times New Roman"/>
                      <w:szCs w:val="21"/>
                    </w:rPr>
                  </w:pPr>
                  <w:r>
                    <w:rPr>
                      <w:rFonts w:hint="default" w:ascii="Times New Roman" w:hAnsi="Times New Roman" w:eastAsia="宋体" w:cs="Times New Roman"/>
                      <w:color w:val="000000"/>
                      <w:sz w:val="21"/>
                      <w:szCs w:val="21"/>
                      <w:highlight w:val="none"/>
                      <w:lang w:val="en-US" w:eastAsia="zh-CN"/>
                    </w:rPr>
                    <w:t>42</w:t>
                  </w:r>
                </w:p>
              </w:tc>
              <w:tc>
                <w:tcPr>
                  <w:tcW w:w="1067" w:type="dxa"/>
                  <w:vAlign w:val="center"/>
                </w:tcPr>
                <w:p>
                  <w:pPr>
                    <w:spacing w:line="240" w:lineRule="auto"/>
                    <w:ind w:firstLine="0" w:firstLineChars="0"/>
                    <w:jc w:val="center"/>
                    <w:textAlignment w:val="baseline"/>
                    <w:rPr>
                      <w:rFonts w:hint="default" w:ascii="Times New Roman" w:hAnsi="Times New Roman" w:eastAsia="宋体" w:cs="Times New Roman"/>
                      <w:szCs w:val="21"/>
                    </w:rPr>
                  </w:pPr>
                  <w:r>
                    <w:rPr>
                      <w:rFonts w:hint="default" w:ascii="Times New Roman" w:hAnsi="Times New Roman" w:eastAsia="宋体" w:cs="Times New Roman"/>
                      <w:color w:val="000000"/>
                      <w:sz w:val="21"/>
                      <w:szCs w:val="21"/>
                      <w:highlight w:val="none"/>
                      <w:lang w:val="en-US" w:eastAsia="zh-CN"/>
                    </w:rPr>
                    <w:t>9</w:t>
                  </w:r>
                </w:p>
              </w:tc>
              <w:tc>
                <w:tcPr>
                  <w:tcW w:w="1067" w:type="dxa"/>
                  <w:vAlign w:val="center"/>
                </w:tcPr>
                <w:p>
                  <w:pPr>
                    <w:spacing w:line="240" w:lineRule="auto"/>
                    <w:ind w:firstLine="0" w:firstLineChars="0"/>
                    <w:jc w:val="center"/>
                    <w:textAlignment w:val="baseline"/>
                    <w:rPr>
                      <w:rFonts w:hint="default" w:ascii="Times New Roman" w:hAnsi="Times New Roman" w:eastAsia="宋体" w:cs="Times New Roman"/>
                      <w:szCs w:val="21"/>
                    </w:rPr>
                  </w:pPr>
                  <w:r>
                    <w:rPr>
                      <w:rFonts w:hint="default" w:ascii="Times New Roman" w:hAnsi="Times New Roman" w:eastAsia="宋体" w:cs="Times New Roman"/>
                      <w:color w:val="000000"/>
                      <w:sz w:val="21"/>
                      <w:szCs w:val="21"/>
                      <w:highlight w:val="none"/>
                      <w:lang w:val="en-US" w:eastAsia="zh-CN"/>
                    </w:rPr>
                    <w:t>0.8</w:t>
                  </w:r>
                </w:p>
              </w:tc>
              <w:tc>
                <w:tcPr>
                  <w:tcW w:w="1067" w:type="dxa"/>
                  <w:vAlign w:val="center"/>
                </w:tcPr>
                <w:p>
                  <w:pPr>
                    <w:spacing w:line="240" w:lineRule="auto"/>
                    <w:ind w:firstLine="0" w:firstLineChars="0"/>
                    <w:jc w:val="center"/>
                    <w:textAlignment w:val="baseline"/>
                    <w:rPr>
                      <w:rFonts w:hint="default" w:ascii="Times New Roman" w:hAnsi="Times New Roman" w:eastAsia="宋体" w:cs="Times New Roman"/>
                      <w:szCs w:val="21"/>
                    </w:rPr>
                  </w:pPr>
                  <w:r>
                    <w:rPr>
                      <w:rFonts w:hint="default" w:ascii="Times New Roman" w:hAnsi="Times New Roman" w:eastAsia="宋体" w:cs="Times New Roman"/>
                      <w:color w:val="000000"/>
                      <w:kern w:val="2"/>
                      <w:sz w:val="21"/>
                      <w:szCs w:val="21"/>
                      <w:highlight w:val="none"/>
                      <w:lang w:val="en-US" w:eastAsia="zh-CN" w:bidi="ar-SA"/>
                    </w:rPr>
                    <w:t>131</w:t>
                  </w:r>
                </w:p>
              </w:tc>
              <w:tc>
                <w:tcPr>
                  <w:tcW w:w="1067" w:type="dxa"/>
                  <w:vAlign w:val="center"/>
                </w:tcPr>
                <w:p>
                  <w:pPr>
                    <w:spacing w:line="240" w:lineRule="auto"/>
                    <w:ind w:firstLine="0" w:firstLineChars="0"/>
                    <w:jc w:val="center"/>
                    <w:textAlignment w:val="baseline"/>
                    <w:rPr>
                      <w:rFonts w:hint="default" w:ascii="Times New Roman" w:hAnsi="Times New Roman" w:eastAsia="宋体" w:cs="Times New Roman"/>
                      <w:szCs w:val="21"/>
                    </w:rPr>
                  </w:pPr>
                  <w:r>
                    <w:rPr>
                      <w:rFonts w:hint="default" w:ascii="Times New Roman" w:hAnsi="Times New Roman" w:eastAsia="宋体" w:cs="Times New Roman"/>
                      <w:color w:val="000000"/>
                      <w:kern w:val="2"/>
                      <w:sz w:val="21"/>
                      <w:szCs w:val="21"/>
                      <w:highlight w:val="none"/>
                      <w:lang w:val="en-US" w:eastAsia="zh-CN" w:bidi="ar-SA"/>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182" w:type="pct"/>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标准值（µg/m</w:t>
                  </w:r>
                  <w:r>
                    <w:rPr>
                      <w:rFonts w:hint="default" w:ascii="Times New Roman" w:hAnsi="Times New Roman" w:cs="Times New Roman"/>
                      <w:kern w:val="0"/>
                      <w:szCs w:val="21"/>
                      <w:vertAlign w:val="superscript"/>
                    </w:rPr>
                    <w:t>3</w:t>
                  </w:r>
                  <w:r>
                    <w:rPr>
                      <w:rFonts w:hint="default" w:ascii="Times New Roman" w:hAnsi="Times New Roman" w:cs="Times New Roman"/>
                      <w:kern w:val="0"/>
                      <w:szCs w:val="21"/>
                    </w:rPr>
                    <w:t>）</w:t>
                  </w:r>
                </w:p>
              </w:tc>
              <w:tc>
                <w:tcPr>
                  <w:tcW w:w="1067" w:type="dxa"/>
                  <w:vAlign w:val="center"/>
                </w:tcPr>
                <w:p>
                  <w:pPr>
                    <w:spacing w:line="240" w:lineRule="auto"/>
                    <w:ind w:firstLine="0" w:firstLineChars="0"/>
                    <w:jc w:val="center"/>
                    <w:textAlignment w:val="baseline"/>
                    <w:rPr>
                      <w:rFonts w:hint="default" w:ascii="Times New Roman" w:hAnsi="Times New Roman" w:cs="Times New Roman"/>
                      <w:bCs/>
                      <w:kern w:val="0"/>
                      <w:szCs w:val="21"/>
                    </w:rPr>
                  </w:pPr>
                  <w:r>
                    <w:rPr>
                      <w:rFonts w:hint="default" w:ascii="Times New Roman" w:hAnsi="Times New Roman" w:eastAsia="宋体" w:cs="Times New Roman"/>
                      <w:color w:val="000000"/>
                      <w:sz w:val="21"/>
                      <w:szCs w:val="21"/>
                      <w:highlight w:val="none"/>
                    </w:rPr>
                    <w:t>35</w:t>
                  </w:r>
                </w:p>
              </w:tc>
              <w:tc>
                <w:tcPr>
                  <w:tcW w:w="1067" w:type="dxa"/>
                  <w:vAlign w:val="center"/>
                </w:tcPr>
                <w:p>
                  <w:pPr>
                    <w:spacing w:line="240" w:lineRule="auto"/>
                    <w:ind w:firstLine="0" w:firstLineChars="0"/>
                    <w:jc w:val="center"/>
                    <w:textAlignment w:val="baseline"/>
                    <w:rPr>
                      <w:rFonts w:hint="default" w:ascii="Times New Roman" w:hAnsi="Times New Roman" w:cs="Times New Roman"/>
                      <w:bCs/>
                      <w:kern w:val="0"/>
                      <w:szCs w:val="21"/>
                    </w:rPr>
                  </w:pPr>
                  <w:r>
                    <w:rPr>
                      <w:rFonts w:hint="default" w:ascii="Times New Roman" w:hAnsi="Times New Roman" w:eastAsia="宋体" w:cs="Times New Roman"/>
                      <w:color w:val="000000"/>
                      <w:sz w:val="21"/>
                      <w:szCs w:val="21"/>
                      <w:highlight w:val="none"/>
                    </w:rPr>
                    <w:t>70</w:t>
                  </w:r>
                </w:p>
              </w:tc>
              <w:tc>
                <w:tcPr>
                  <w:tcW w:w="1067" w:type="dxa"/>
                  <w:vAlign w:val="center"/>
                </w:tcPr>
                <w:p>
                  <w:pPr>
                    <w:spacing w:line="240" w:lineRule="auto"/>
                    <w:ind w:firstLine="0" w:firstLineChars="0"/>
                    <w:jc w:val="center"/>
                    <w:textAlignment w:val="baseline"/>
                    <w:rPr>
                      <w:rFonts w:hint="default" w:ascii="Times New Roman" w:hAnsi="Times New Roman" w:cs="Times New Roman"/>
                      <w:kern w:val="0"/>
                      <w:szCs w:val="21"/>
                    </w:rPr>
                  </w:pPr>
                  <w:r>
                    <w:rPr>
                      <w:rFonts w:hint="default" w:ascii="Times New Roman" w:hAnsi="Times New Roman" w:eastAsia="宋体" w:cs="Times New Roman"/>
                      <w:color w:val="000000"/>
                      <w:sz w:val="21"/>
                      <w:szCs w:val="21"/>
                      <w:highlight w:val="none"/>
                    </w:rPr>
                    <w:t>60</w:t>
                  </w:r>
                </w:p>
              </w:tc>
              <w:tc>
                <w:tcPr>
                  <w:tcW w:w="1067" w:type="dxa"/>
                  <w:vAlign w:val="center"/>
                </w:tcPr>
                <w:p>
                  <w:pPr>
                    <w:spacing w:line="240" w:lineRule="auto"/>
                    <w:ind w:firstLine="0" w:firstLineChars="0"/>
                    <w:jc w:val="center"/>
                    <w:textAlignment w:val="baseline"/>
                    <w:rPr>
                      <w:rFonts w:hint="default" w:ascii="Times New Roman" w:hAnsi="Times New Roman" w:cs="Times New Roman"/>
                      <w:szCs w:val="21"/>
                    </w:rPr>
                  </w:pPr>
                  <w:r>
                    <w:rPr>
                      <w:rFonts w:hint="default" w:ascii="Times New Roman" w:hAnsi="Times New Roman" w:eastAsia="宋体" w:cs="Times New Roman"/>
                      <w:color w:val="000000"/>
                      <w:sz w:val="21"/>
                      <w:szCs w:val="21"/>
                      <w:highlight w:val="none"/>
                    </w:rPr>
                    <w:t>4.0</w:t>
                  </w:r>
                </w:p>
              </w:tc>
              <w:tc>
                <w:tcPr>
                  <w:tcW w:w="1067" w:type="dxa"/>
                  <w:vAlign w:val="center"/>
                </w:tcPr>
                <w:p>
                  <w:pPr>
                    <w:spacing w:line="240" w:lineRule="auto"/>
                    <w:ind w:firstLine="0" w:firstLineChars="0"/>
                    <w:jc w:val="center"/>
                    <w:textAlignment w:val="baseline"/>
                    <w:rPr>
                      <w:rFonts w:hint="default" w:ascii="Times New Roman" w:hAnsi="Times New Roman" w:cs="Times New Roman"/>
                      <w:bCs/>
                      <w:kern w:val="0"/>
                      <w:szCs w:val="21"/>
                    </w:rPr>
                  </w:pPr>
                  <w:r>
                    <w:rPr>
                      <w:rFonts w:hint="default" w:ascii="Times New Roman" w:hAnsi="Times New Roman" w:eastAsia="宋体" w:cs="Times New Roman"/>
                      <w:color w:val="000000"/>
                      <w:sz w:val="21"/>
                      <w:szCs w:val="21"/>
                      <w:highlight w:val="none"/>
                    </w:rPr>
                    <w:t>160</w:t>
                  </w:r>
                </w:p>
              </w:tc>
              <w:tc>
                <w:tcPr>
                  <w:tcW w:w="1067" w:type="dxa"/>
                  <w:vAlign w:val="center"/>
                </w:tcPr>
                <w:p>
                  <w:pPr>
                    <w:spacing w:line="240" w:lineRule="auto"/>
                    <w:ind w:firstLine="0" w:firstLineChars="0"/>
                    <w:jc w:val="center"/>
                    <w:textAlignment w:val="baseline"/>
                    <w:rPr>
                      <w:rFonts w:hint="default" w:ascii="Times New Roman" w:hAnsi="Times New Roman" w:cs="Times New Roman"/>
                      <w:bCs/>
                      <w:kern w:val="0"/>
                      <w:szCs w:val="21"/>
                    </w:rPr>
                  </w:pPr>
                  <w:r>
                    <w:rPr>
                      <w:rFonts w:hint="default" w:ascii="Times New Roman" w:hAnsi="Times New Roman" w:eastAsia="宋体" w:cs="Times New Roman"/>
                      <w:color w:val="000000"/>
                      <w:sz w:val="21"/>
                      <w:szCs w:val="21"/>
                      <w:highlight w:val="none"/>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182" w:type="pct"/>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占标率</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eastAsiaTheme="minorEastAsia"/>
                      <w:bCs/>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51.43</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eastAsiaTheme="minorEastAsia"/>
                      <w:bCs/>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60.00</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eastAsiaTheme="minorEastAsia"/>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15.00</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20.00</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eastAsiaTheme="minorEastAsia"/>
                      <w:bCs/>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81.88</w:t>
                  </w:r>
                </w:p>
              </w:tc>
              <w:tc>
                <w:tcPr>
                  <w:tcW w:w="1067"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eastAsiaTheme="minorEastAsia"/>
                      <w:bCs/>
                      <w:kern w:val="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82" w:type="pct"/>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达标情况</w:t>
                  </w:r>
                </w:p>
              </w:tc>
              <w:tc>
                <w:tcPr>
                  <w:tcW w:w="636" w:type="pct"/>
                  <w:vAlign w:val="center"/>
                </w:tcPr>
                <w:p>
                  <w:pPr>
                    <w:widowControl/>
                    <w:jc w:val="center"/>
                    <w:rPr>
                      <w:rFonts w:hint="default" w:ascii="Times New Roman" w:hAnsi="Times New Roman" w:cs="Times New Roman"/>
                      <w:bCs/>
                      <w:kern w:val="0"/>
                      <w:szCs w:val="21"/>
                    </w:rPr>
                  </w:pPr>
                  <w:r>
                    <w:rPr>
                      <w:rFonts w:hint="default" w:ascii="Times New Roman" w:hAnsi="Times New Roman" w:cs="Times New Roman"/>
                      <w:kern w:val="0"/>
                      <w:szCs w:val="21"/>
                    </w:rPr>
                    <w:t>达标</w:t>
                  </w:r>
                </w:p>
              </w:tc>
              <w:tc>
                <w:tcPr>
                  <w:tcW w:w="636" w:type="pct"/>
                  <w:vAlign w:val="center"/>
                </w:tcPr>
                <w:p>
                  <w:pPr>
                    <w:widowControl/>
                    <w:jc w:val="center"/>
                    <w:rPr>
                      <w:rFonts w:hint="default" w:ascii="Times New Roman" w:hAnsi="Times New Roman" w:cs="Times New Roman"/>
                      <w:bCs/>
                      <w:kern w:val="0"/>
                      <w:szCs w:val="21"/>
                    </w:rPr>
                  </w:pPr>
                  <w:r>
                    <w:rPr>
                      <w:rFonts w:hint="default" w:ascii="Times New Roman" w:hAnsi="Times New Roman" w:cs="Times New Roman"/>
                      <w:kern w:val="0"/>
                      <w:szCs w:val="21"/>
                    </w:rPr>
                    <w:t>达标</w:t>
                  </w:r>
                </w:p>
              </w:tc>
              <w:tc>
                <w:tcPr>
                  <w:tcW w:w="636" w:type="pct"/>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达标</w:t>
                  </w:r>
                </w:p>
              </w:tc>
              <w:tc>
                <w:tcPr>
                  <w:tcW w:w="636" w:type="pct"/>
                  <w:vAlign w:val="center"/>
                </w:tcPr>
                <w:p>
                  <w:pPr>
                    <w:widowControl/>
                    <w:jc w:val="center"/>
                    <w:rPr>
                      <w:rFonts w:hint="default" w:ascii="Times New Roman" w:hAnsi="Times New Roman" w:cs="Times New Roman"/>
                      <w:szCs w:val="21"/>
                    </w:rPr>
                  </w:pPr>
                  <w:r>
                    <w:rPr>
                      <w:rFonts w:hint="default" w:ascii="Times New Roman" w:hAnsi="Times New Roman" w:cs="Times New Roman"/>
                      <w:kern w:val="0"/>
                      <w:szCs w:val="21"/>
                    </w:rPr>
                    <w:t>达标</w:t>
                  </w:r>
                </w:p>
              </w:tc>
              <w:tc>
                <w:tcPr>
                  <w:tcW w:w="636" w:type="pct"/>
                  <w:vAlign w:val="center"/>
                </w:tcPr>
                <w:p>
                  <w:pPr>
                    <w:widowControl/>
                    <w:jc w:val="center"/>
                    <w:rPr>
                      <w:rFonts w:hint="default" w:ascii="Times New Roman" w:hAnsi="Times New Roman" w:cs="Times New Roman"/>
                      <w:bCs/>
                      <w:kern w:val="0"/>
                      <w:szCs w:val="21"/>
                    </w:rPr>
                  </w:pPr>
                  <w:r>
                    <w:rPr>
                      <w:rFonts w:hint="default" w:ascii="Times New Roman" w:hAnsi="Times New Roman" w:cs="Times New Roman"/>
                      <w:kern w:val="0"/>
                      <w:szCs w:val="21"/>
                    </w:rPr>
                    <w:t>达标</w:t>
                  </w:r>
                </w:p>
              </w:tc>
              <w:tc>
                <w:tcPr>
                  <w:tcW w:w="636" w:type="pct"/>
                  <w:vAlign w:val="center"/>
                </w:tcPr>
                <w:p>
                  <w:pPr>
                    <w:widowControl/>
                    <w:jc w:val="center"/>
                    <w:rPr>
                      <w:rFonts w:hint="default" w:ascii="Times New Roman" w:hAnsi="Times New Roman" w:cs="Times New Roman"/>
                      <w:bCs/>
                      <w:kern w:val="0"/>
                      <w:szCs w:val="21"/>
                    </w:rPr>
                  </w:pPr>
                  <w:r>
                    <w:rPr>
                      <w:rFonts w:hint="default" w:ascii="Times New Roman" w:hAnsi="Times New Roman" w:cs="Times New Roman"/>
                      <w:kern w:val="0"/>
                      <w:szCs w:val="21"/>
                    </w:rPr>
                    <w:t>达标</w:t>
                  </w:r>
                </w:p>
              </w:tc>
            </w:tr>
          </w:tbl>
          <w:p>
            <w:pPr>
              <w:pStyle w:val="3"/>
              <w:keepNext/>
              <w:keepLines/>
              <w:pageBreakBefore w:val="0"/>
              <w:widowControl w:val="0"/>
              <w:kinsoku/>
              <w:wordWrap/>
              <w:overflowPunct/>
              <w:topLinePunct w:val="0"/>
              <w:autoSpaceDE/>
              <w:autoSpaceDN/>
              <w:bidi w:val="0"/>
              <w:adjustRightInd w:val="0"/>
              <w:snapToGrid w:val="0"/>
              <w:spacing w:before="157" w:beforeLines="50" w:after="0" w:line="360" w:lineRule="auto"/>
              <w:ind w:firstLine="480" w:firstLineChars="200"/>
              <w:textAlignment w:val="auto"/>
              <w:rPr>
                <w:rFonts w:hint="default" w:ascii="Times New Roman" w:hAnsi="Times New Roman" w:eastAsia="宋体" w:cs="Times New Roman"/>
                <w:b w:val="0"/>
                <w:bCs w:val="0"/>
                <w:sz w:val="24"/>
                <w:lang w:eastAsia="zh-CN"/>
              </w:rPr>
            </w:pPr>
            <w:r>
              <w:rPr>
                <w:rFonts w:hint="default" w:ascii="Times New Roman" w:hAnsi="Times New Roman" w:eastAsia="宋体" w:cs="Times New Roman"/>
                <w:b w:val="0"/>
                <w:bCs w:val="0"/>
                <w:sz w:val="24"/>
              </w:rPr>
              <w:t>由上表可知</w:t>
            </w:r>
            <w:r>
              <w:rPr>
                <w:rFonts w:hint="default" w:ascii="Times New Roman" w:hAnsi="Times New Roman" w:eastAsia="宋体" w:cs="Times New Roman"/>
                <w:b w:val="0"/>
                <w:bCs w:val="0"/>
                <w:sz w:val="24"/>
                <w:lang w:eastAsia="zh-CN"/>
              </w:rPr>
              <w:t>，</w:t>
            </w:r>
            <w:r>
              <w:rPr>
                <w:rFonts w:hint="default" w:ascii="Times New Roman" w:hAnsi="Times New Roman" w:eastAsia="宋体" w:cs="Times New Roman"/>
                <w:b w:val="0"/>
                <w:bCs w:val="0"/>
                <w:sz w:val="24"/>
                <w:szCs w:val="24"/>
                <w:lang w:val="en-US" w:eastAsia="zh-CN"/>
              </w:rPr>
              <w:t>2022年围场县</w:t>
            </w:r>
            <w:r>
              <w:rPr>
                <w:rFonts w:hint="default" w:ascii="Times New Roman" w:hAnsi="Times New Roman" w:eastAsia="宋体" w:cs="Times New Roman"/>
                <w:b w:val="0"/>
                <w:bCs w:val="0"/>
                <w:sz w:val="24"/>
                <w:szCs w:val="24"/>
              </w:rPr>
              <w:t>大气主要污染物PM</w:t>
            </w:r>
            <w:r>
              <w:rPr>
                <w:rFonts w:hint="default" w:ascii="Times New Roman" w:hAnsi="Times New Roman" w:eastAsia="宋体" w:cs="Times New Roman"/>
                <w:b w:val="0"/>
                <w:bCs w:val="0"/>
                <w:sz w:val="24"/>
                <w:szCs w:val="24"/>
                <w:vertAlign w:val="subscript"/>
              </w:rPr>
              <w:t>2.5</w:t>
            </w:r>
            <w:r>
              <w:rPr>
                <w:rFonts w:hint="default" w:ascii="Times New Roman" w:hAnsi="Times New Roman" w:eastAsia="宋体" w:cs="Times New Roman"/>
                <w:b w:val="0"/>
                <w:bCs w:val="0"/>
                <w:sz w:val="24"/>
                <w:szCs w:val="24"/>
              </w:rPr>
              <w:t>年平均值</w:t>
            </w:r>
            <w:r>
              <w:rPr>
                <w:rFonts w:hint="default"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PM</w:t>
            </w:r>
            <w:r>
              <w:rPr>
                <w:rFonts w:hint="default" w:ascii="Times New Roman" w:hAnsi="Times New Roman" w:eastAsia="宋体" w:cs="Times New Roman"/>
                <w:b w:val="0"/>
                <w:bCs w:val="0"/>
                <w:sz w:val="24"/>
                <w:szCs w:val="24"/>
                <w:vertAlign w:val="subscript"/>
              </w:rPr>
              <w:t>10</w:t>
            </w:r>
            <w:r>
              <w:rPr>
                <w:rFonts w:hint="default" w:ascii="Times New Roman" w:hAnsi="Times New Roman" w:eastAsia="宋体" w:cs="Times New Roman"/>
                <w:b w:val="0"/>
                <w:bCs w:val="0"/>
                <w:sz w:val="24"/>
                <w:szCs w:val="24"/>
              </w:rPr>
              <w:t>年平均值</w:t>
            </w:r>
            <w:r>
              <w:rPr>
                <w:rFonts w:hint="default"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SO</w:t>
            </w:r>
            <w:r>
              <w:rPr>
                <w:rFonts w:hint="default" w:ascii="Times New Roman" w:hAnsi="Times New Roman" w:eastAsia="宋体" w:cs="Times New Roman"/>
                <w:b w:val="0"/>
                <w:bCs w:val="0"/>
                <w:sz w:val="24"/>
                <w:szCs w:val="24"/>
                <w:vertAlign w:val="subscript"/>
              </w:rPr>
              <w:t>2</w:t>
            </w:r>
            <w:r>
              <w:rPr>
                <w:rFonts w:hint="default" w:ascii="Times New Roman" w:hAnsi="Times New Roman" w:eastAsia="宋体" w:cs="Times New Roman"/>
                <w:b w:val="0"/>
                <w:bCs w:val="0"/>
                <w:sz w:val="24"/>
                <w:szCs w:val="24"/>
              </w:rPr>
              <w:t>年平均值、CO24小时平均浓度第95百分位数、O</w:t>
            </w:r>
            <w:r>
              <w:rPr>
                <w:rFonts w:hint="default" w:ascii="Times New Roman" w:hAnsi="Times New Roman" w:eastAsia="宋体" w:cs="Times New Roman"/>
                <w:b w:val="0"/>
                <w:bCs w:val="0"/>
                <w:sz w:val="24"/>
                <w:szCs w:val="24"/>
                <w:vertAlign w:val="subscript"/>
              </w:rPr>
              <w:t>3</w:t>
            </w:r>
            <w:r>
              <w:rPr>
                <w:rFonts w:hint="default" w:ascii="Times New Roman" w:hAnsi="Times New Roman" w:eastAsia="宋体" w:cs="Times New Roman"/>
                <w:b w:val="0"/>
                <w:bCs w:val="0"/>
                <w:sz w:val="24"/>
                <w:szCs w:val="24"/>
              </w:rPr>
              <w:t>日最大8小时平均浓度第90百分位数、NO</w:t>
            </w:r>
            <w:r>
              <w:rPr>
                <w:rFonts w:hint="default" w:ascii="Times New Roman" w:hAnsi="Times New Roman" w:eastAsia="宋体" w:cs="Times New Roman"/>
                <w:b w:val="0"/>
                <w:bCs w:val="0"/>
                <w:sz w:val="24"/>
                <w:szCs w:val="24"/>
                <w:vertAlign w:val="subscript"/>
              </w:rPr>
              <w:t>2</w:t>
            </w:r>
            <w:r>
              <w:rPr>
                <w:rFonts w:hint="default" w:ascii="Times New Roman" w:hAnsi="Times New Roman" w:eastAsia="宋体" w:cs="Times New Roman"/>
                <w:b w:val="0"/>
                <w:bCs w:val="0"/>
                <w:sz w:val="24"/>
                <w:szCs w:val="24"/>
              </w:rPr>
              <w:t>年平均值均</w:t>
            </w:r>
            <w:r>
              <w:rPr>
                <w:rFonts w:hint="default" w:ascii="Times New Roman" w:hAnsi="Times New Roman" w:eastAsia="宋体" w:cs="Times New Roman"/>
                <w:b w:val="0"/>
                <w:bCs w:val="0"/>
                <w:sz w:val="24"/>
                <w:szCs w:val="24"/>
                <w:lang w:val="en-US" w:eastAsia="zh-CN"/>
              </w:rPr>
              <w:t>满足</w:t>
            </w:r>
            <w:r>
              <w:rPr>
                <w:rFonts w:hint="default" w:ascii="Times New Roman" w:hAnsi="Times New Roman" w:eastAsia="宋体" w:cs="Times New Roman"/>
                <w:b w:val="0"/>
                <w:bCs w:val="0"/>
                <w:sz w:val="24"/>
                <w:szCs w:val="24"/>
              </w:rPr>
              <w:t>《环境空气质量标准》（GB3095-2012）及其修改单</w:t>
            </w:r>
            <w:r>
              <w:rPr>
                <w:rFonts w:hint="default" w:ascii="Times New Roman" w:hAnsi="Times New Roman" w:eastAsia="宋体" w:cs="Times New Roman"/>
                <w:b w:val="0"/>
                <w:bCs w:val="0"/>
                <w:sz w:val="24"/>
                <w:szCs w:val="24"/>
                <w:lang w:val="en-US" w:eastAsia="zh-CN"/>
              </w:rPr>
              <w:t>的</w:t>
            </w:r>
            <w:r>
              <w:rPr>
                <w:rFonts w:hint="default" w:ascii="Times New Roman" w:hAnsi="Times New Roman" w:eastAsia="宋体" w:cs="Times New Roman"/>
                <w:b w:val="0"/>
                <w:bCs w:val="0"/>
                <w:sz w:val="24"/>
                <w:szCs w:val="24"/>
              </w:rPr>
              <w:t>二级标准要求</w:t>
            </w:r>
            <w:r>
              <w:rPr>
                <w:rFonts w:hint="default" w:ascii="Times New Roman" w:hAnsi="Times New Roman" w:eastAsia="宋体" w:cs="Times New Roman"/>
                <w:b w:val="0"/>
                <w:bCs w:val="0"/>
                <w:sz w:val="24"/>
                <w:szCs w:val="24"/>
                <w:lang w:eastAsia="zh-CN"/>
              </w:rPr>
              <w:t>，项目所在区域为达标区。</w:t>
            </w:r>
          </w:p>
          <w:p>
            <w:pPr>
              <w:pStyle w:val="3"/>
              <w:numPr>
                <w:ilvl w:val="0"/>
                <w:numId w:val="0"/>
              </w:numPr>
              <w:adjustRightInd w:val="0"/>
              <w:snapToGrid w:val="0"/>
              <w:spacing w:before="0" w:after="0" w:line="360" w:lineRule="auto"/>
              <w:ind w:leftChars="200"/>
              <w:rPr>
                <w:rFonts w:hint="default" w:ascii="Times New Roman" w:hAnsi="Times New Roman" w:eastAsia="宋体" w:cs="Times New Roman"/>
                <w:b w:val="0"/>
                <w:bCs w:val="0"/>
                <w:sz w:val="24"/>
                <w:lang w:eastAsia="zh-CN"/>
              </w:rPr>
            </w:pPr>
            <w:r>
              <w:rPr>
                <w:rFonts w:hint="default" w:ascii="Times New Roman" w:hAnsi="Times New Roman" w:eastAsia="宋体" w:cs="Times New Roman"/>
                <w:b w:val="0"/>
                <w:bCs w:val="0"/>
                <w:sz w:val="24"/>
                <w:lang w:eastAsia="zh-CN"/>
              </w:rPr>
              <w:t>（</w:t>
            </w:r>
            <w:r>
              <w:rPr>
                <w:rFonts w:hint="default" w:ascii="Times New Roman" w:hAnsi="Times New Roman" w:eastAsia="宋体" w:cs="Times New Roman"/>
                <w:b w:val="0"/>
                <w:bCs w:val="0"/>
                <w:sz w:val="24"/>
                <w:lang w:val="en-US" w:eastAsia="zh-CN"/>
              </w:rPr>
              <w:t>2</w:t>
            </w:r>
            <w:r>
              <w:rPr>
                <w:rFonts w:hint="default" w:ascii="Times New Roman" w:hAnsi="Times New Roman" w:eastAsia="宋体" w:cs="Times New Roman"/>
                <w:b w:val="0"/>
                <w:bCs w:val="0"/>
                <w:sz w:val="24"/>
                <w:lang w:eastAsia="zh-CN"/>
              </w:rPr>
              <w:t>）其他污染物环境质量现状</w:t>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360" w:lineRule="auto"/>
              <w:ind w:firstLine="480" w:firstLineChars="200"/>
              <w:textAlignment w:val="auto"/>
              <w:rPr>
                <w:rFonts w:hint="default"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lang w:eastAsia="zh-CN"/>
              </w:rPr>
              <w:t>为进一步了解项目区环境空气质量现状，根据《</w:t>
            </w:r>
            <w:r>
              <w:rPr>
                <w:rFonts w:hint="default" w:ascii="Times New Roman" w:hAnsi="Times New Roman" w:eastAsia="宋体" w:cs="Times New Roman"/>
                <w:b w:val="0"/>
                <w:bCs w:val="0"/>
                <w:sz w:val="24"/>
                <w:lang w:val="en-US" w:eastAsia="zh-CN"/>
              </w:rPr>
              <w:t>建设项目环境影响报告表编制技术指南（污染影响类）（试行）</w:t>
            </w:r>
            <w:r>
              <w:rPr>
                <w:rFonts w:hint="default" w:ascii="Times New Roman" w:hAnsi="Times New Roman" w:eastAsia="宋体" w:cs="Times New Roman"/>
                <w:b w:val="0"/>
                <w:bCs w:val="0"/>
                <w:sz w:val="24"/>
                <w:lang w:eastAsia="zh-CN"/>
              </w:rPr>
              <w:t>》中“</w:t>
            </w:r>
            <w:r>
              <w:rPr>
                <w:rFonts w:hint="default" w:ascii="Times New Roman" w:hAnsi="Times New Roman" w:eastAsia="宋体" w:cs="Times New Roman"/>
                <w:b w:val="0"/>
                <w:bCs w:val="0"/>
                <w:sz w:val="24"/>
                <w:lang w:val="en-US" w:eastAsia="zh-CN"/>
              </w:rPr>
              <w:t>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千米范围内近3年的现有监测数据</w:t>
            </w:r>
            <w:r>
              <w:rPr>
                <w:rFonts w:hint="default" w:ascii="Times New Roman" w:hAnsi="Times New Roman" w:eastAsia="宋体" w:cs="Times New Roman"/>
                <w:b w:val="0"/>
                <w:bCs w:val="0"/>
                <w:sz w:val="24"/>
                <w:lang w:eastAsia="zh-CN"/>
              </w:rPr>
              <w:t>”的相关要求，</w:t>
            </w:r>
            <w:r>
              <w:rPr>
                <w:rFonts w:hint="default" w:ascii="Times New Roman" w:hAnsi="Times New Roman" w:eastAsia="宋体" w:cs="Times New Roman"/>
                <w:b w:val="0"/>
                <w:bCs w:val="0"/>
                <w:sz w:val="24"/>
                <w:lang w:val="en-US" w:eastAsia="zh-CN"/>
              </w:rPr>
              <w:t>承德泓辉双合酒业有限公司大气监</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测点位距离本项目1135m，因此</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本项目引用</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《承德泓辉双合酒业有限公司粉条白酒、粉渣饲料和变性淀粉建设项目》检测报告（（辽鹏环测）字PY2211294-001号）总</w:t>
            </w:r>
            <w:r>
              <w:rPr>
                <w:rFonts w:hint="default" w:ascii="Times New Roman" w:hAnsi="Times New Roman" w:eastAsia="宋体" w:cs="Times New Roman"/>
                <w:b w:val="0"/>
                <w:bCs w:val="0"/>
                <w:sz w:val="24"/>
                <w:lang w:val="en-US" w:eastAsia="zh-CN"/>
              </w:rPr>
              <w:t>悬浮颗粒物、汞及其化合物的监测数据可行。</w:t>
            </w:r>
          </w:p>
          <w:p>
            <w:pPr>
              <w:pStyle w:val="3"/>
              <w:keepNext/>
              <w:keepLines/>
              <w:pageBreakBefore w:val="0"/>
              <w:widowControl w:val="0"/>
              <w:numPr>
                <w:ilvl w:val="0"/>
                <w:numId w:val="0"/>
              </w:numPr>
              <w:kinsoku/>
              <w:wordWrap/>
              <w:overflowPunct/>
              <w:topLinePunct w:val="0"/>
              <w:autoSpaceDE/>
              <w:autoSpaceDN/>
              <w:bidi w:val="0"/>
              <w:adjustRightInd w:val="0"/>
              <w:snapToGrid w:val="0"/>
              <w:spacing w:before="0" w:after="0" w:line="360" w:lineRule="auto"/>
              <w:ind w:firstLine="480" w:firstLineChars="200"/>
              <w:textAlignment w:val="auto"/>
              <w:rPr>
                <w:rFonts w:hint="default"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lang w:val="en-US" w:eastAsia="zh-CN"/>
              </w:rPr>
              <w:t>承德泓辉双合酒业有限公司与本项目位置关系如下图所示：</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FF0000"/>
                <w:lang w:eastAsia="zh-CN"/>
              </w:rPr>
            </w:pPr>
            <w:r>
              <w:rPr>
                <w:rFonts w:hint="default" w:ascii="Times New Roman" w:hAnsi="Times New Roman" w:cs="Times New Roman"/>
              </w:rPr>
              <w:drawing>
                <wp:inline distT="0" distB="0" distL="114300" distR="114300">
                  <wp:extent cx="5353050" cy="3782695"/>
                  <wp:effectExtent l="0" t="0" r="0" b="825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6"/>
                          <a:stretch>
                            <a:fillRect/>
                          </a:stretch>
                        </pic:blipFill>
                        <pic:spPr>
                          <a:xfrm>
                            <a:off x="0" y="0"/>
                            <a:ext cx="5353050" cy="3782695"/>
                          </a:xfrm>
                          <a:prstGeom prst="rect">
                            <a:avLst/>
                          </a:prstGeom>
                          <a:noFill/>
                          <a:ln>
                            <a:noFill/>
                          </a:ln>
                        </pic:spPr>
                      </pic:pic>
                    </a:graphicData>
                  </a:graphic>
                </wp:inline>
              </w:drawing>
            </w:r>
          </w:p>
          <w:p>
            <w:pPr>
              <w:numPr>
                <w:ilvl w:val="0"/>
                <w:numId w:val="0"/>
              </w:numPr>
              <w:autoSpaceDE w:val="0"/>
              <w:autoSpaceDN w:val="0"/>
              <w:ind w:leftChars="0"/>
              <w:jc w:val="center"/>
              <w:rPr>
                <w:rFonts w:hint="default" w:ascii="Times New Roman" w:hAnsi="Times New Roman" w:cs="Times New Roman"/>
                <w:color w:val="auto"/>
                <w:sz w:val="24"/>
                <w:szCs w:val="24"/>
                <w:lang w:val="en-US" w:eastAsia="zh-CN"/>
              </w:rPr>
            </w:pPr>
            <w:r>
              <w:rPr>
                <w:rFonts w:hint="default" w:ascii="Times New Roman" w:hAnsi="Times New Roman" w:cs="Times New Roman"/>
                <w:b/>
                <w:bCs/>
                <w:color w:val="auto"/>
                <w:sz w:val="21"/>
                <w:szCs w:val="21"/>
                <w:lang w:val="en-US" w:eastAsia="zh-CN"/>
              </w:rPr>
              <w:t>图3-1  本项目与承德泓辉双合酒业有限公司大气监测点位位置关系图</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监测结果如下所示：</w:t>
            </w:r>
          </w:p>
          <w:p>
            <w:pPr>
              <w:numPr>
                <w:ilvl w:val="0"/>
                <w:numId w:val="0"/>
              </w:numPr>
              <w:autoSpaceDE w:val="0"/>
              <w:autoSpaceDN w:val="0"/>
              <w:ind w:left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 xml:space="preserve">表3-3  </w:t>
            </w:r>
            <w:r>
              <w:rPr>
                <w:rFonts w:hint="default" w:ascii="Times New Roman" w:hAnsi="Times New Roman" w:cs="Times New Roman"/>
                <w:b/>
                <w:bCs/>
                <w:color w:val="auto"/>
                <w:sz w:val="21"/>
                <w:szCs w:val="21"/>
              </w:rPr>
              <w:t>环境空气质量现状监测与统计结果</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6"/>
              <w:gridCol w:w="1570"/>
              <w:gridCol w:w="1243"/>
              <w:gridCol w:w="871"/>
              <w:gridCol w:w="998"/>
              <w:gridCol w:w="1035"/>
              <w:gridCol w:w="1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blHeader/>
                <w:jc w:val="center"/>
              </w:trPr>
              <w:tc>
                <w:tcPr>
                  <w:tcW w:w="737"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监测项目</w:t>
                  </w:r>
                </w:p>
              </w:tc>
              <w:tc>
                <w:tcPr>
                  <w:tcW w:w="936"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监测日期</w:t>
                  </w:r>
                </w:p>
              </w:tc>
              <w:tc>
                <w:tcPr>
                  <w:tcW w:w="741"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浓度值</w:t>
                  </w:r>
                </w:p>
              </w:tc>
              <w:tc>
                <w:tcPr>
                  <w:tcW w:w="519"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标准值</w:t>
                  </w:r>
                </w:p>
              </w:tc>
              <w:tc>
                <w:tcPr>
                  <w:tcW w:w="595"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单位</w:t>
                  </w:r>
                </w:p>
              </w:tc>
              <w:tc>
                <w:tcPr>
                  <w:tcW w:w="617"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超标率</w:t>
                  </w:r>
                </w:p>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w:t>
                  </w:r>
                </w:p>
              </w:tc>
              <w:tc>
                <w:tcPr>
                  <w:tcW w:w="852"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单因子标准指数（%）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37"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总悬浮颗粒物</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μ</w:t>
                  </w:r>
                  <w:r>
                    <w:rPr>
                      <w:rFonts w:hint="default" w:ascii="Times New Roman" w:hAnsi="Times New Roman" w:eastAsia="宋体" w:cs="Times New Roman"/>
                      <w:b w:val="0"/>
                      <w:bCs w:val="0"/>
                      <w:color w:val="auto"/>
                      <w:sz w:val="21"/>
                      <w:szCs w:val="21"/>
                      <w:highlight w:val="none"/>
                    </w:rPr>
                    <w:t>g/m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24小时平均值</w:t>
                  </w:r>
                </w:p>
              </w:tc>
              <w:tc>
                <w:tcPr>
                  <w:tcW w:w="93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2022.11.07</w:t>
                  </w:r>
                </w:p>
              </w:tc>
              <w:tc>
                <w:tcPr>
                  <w:tcW w:w="74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85</w:t>
                  </w:r>
                </w:p>
              </w:tc>
              <w:tc>
                <w:tcPr>
                  <w:tcW w:w="519"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300</w:t>
                  </w:r>
                </w:p>
              </w:tc>
              <w:tc>
                <w:tcPr>
                  <w:tcW w:w="5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highlight w:val="none"/>
                      <w:lang w:val="en-US" w:eastAsia="zh-CN"/>
                    </w:rPr>
                    <w:t>μ</w:t>
                  </w:r>
                  <w:r>
                    <w:rPr>
                      <w:rFonts w:hint="default" w:ascii="Times New Roman" w:hAnsi="Times New Roman" w:eastAsia="宋体" w:cs="Times New Roman"/>
                      <w:b w:val="0"/>
                      <w:bCs w:val="0"/>
                      <w:color w:val="auto"/>
                      <w:sz w:val="21"/>
                      <w:szCs w:val="21"/>
                      <w:highlight w:val="none"/>
                    </w:rPr>
                    <w:t>g/m</w:t>
                  </w:r>
                  <w:r>
                    <w:rPr>
                      <w:rFonts w:hint="default" w:ascii="Times New Roman" w:hAnsi="Times New Roman" w:eastAsia="宋体" w:cs="Times New Roman"/>
                      <w:b w:val="0"/>
                      <w:bCs w:val="0"/>
                      <w:color w:val="auto"/>
                      <w:sz w:val="21"/>
                      <w:szCs w:val="21"/>
                      <w:highlight w:val="none"/>
                      <w:vertAlign w:val="superscript"/>
                    </w:rPr>
                    <w:t>3</w:t>
                  </w:r>
                </w:p>
              </w:tc>
              <w:tc>
                <w:tcPr>
                  <w:tcW w:w="617"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w:t>
                  </w:r>
                </w:p>
              </w:tc>
              <w:tc>
                <w:tcPr>
                  <w:tcW w:w="85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37" w:type="pct"/>
                  <w:vMerge w:val="continue"/>
                  <w:tcBorders>
                    <w:left w:val="single" w:color="auto" w:sz="4" w:space="0"/>
                    <w:right w:val="single" w:color="auto" w:sz="4" w:space="0"/>
                  </w:tcBorders>
                  <w:vAlign w:val="center"/>
                </w:tcPr>
                <w:p>
                  <w:pPr>
                    <w:keepNext w:val="0"/>
                    <w:keepLines w:val="0"/>
                    <w:pageBreakBefore w:val="0"/>
                    <w:widowControl/>
                    <w:tabs>
                      <w:tab w:val="center" w:pos="4252"/>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p>
              </w:tc>
              <w:tc>
                <w:tcPr>
                  <w:tcW w:w="93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rPr>
                  </w:pPr>
                  <w:r>
                    <w:rPr>
                      <w:rFonts w:hint="default" w:ascii="Times New Roman" w:hAnsi="Times New Roman" w:eastAsia="宋体" w:cs="Times New Roman"/>
                      <w:b w:val="0"/>
                      <w:bCs w:val="0"/>
                      <w:color w:val="auto"/>
                      <w:sz w:val="21"/>
                      <w:szCs w:val="21"/>
                      <w:highlight w:val="none"/>
                      <w:lang w:val="en-US" w:eastAsia="zh-CN"/>
                    </w:rPr>
                    <w:t>2022.11.08</w:t>
                  </w:r>
                </w:p>
              </w:tc>
              <w:tc>
                <w:tcPr>
                  <w:tcW w:w="74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81</w:t>
                  </w:r>
                </w:p>
              </w:tc>
              <w:tc>
                <w:tcPr>
                  <w:tcW w:w="519"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300</w:t>
                  </w:r>
                </w:p>
              </w:tc>
              <w:tc>
                <w:tcPr>
                  <w:tcW w:w="5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highlight w:val="none"/>
                      <w:lang w:val="en-US" w:eastAsia="zh-CN"/>
                    </w:rPr>
                    <w:t>μ</w:t>
                  </w:r>
                  <w:r>
                    <w:rPr>
                      <w:rFonts w:hint="default" w:ascii="Times New Roman" w:hAnsi="Times New Roman" w:eastAsia="宋体" w:cs="Times New Roman"/>
                      <w:b w:val="0"/>
                      <w:bCs w:val="0"/>
                      <w:color w:val="auto"/>
                      <w:sz w:val="21"/>
                      <w:szCs w:val="21"/>
                      <w:highlight w:val="none"/>
                    </w:rPr>
                    <w:t>g/m</w:t>
                  </w:r>
                  <w:r>
                    <w:rPr>
                      <w:rFonts w:hint="default" w:ascii="Times New Roman" w:hAnsi="Times New Roman" w:eastAsia="宋体" w:cs="Times New Roman"/>
                      <w:b w:val="0"/>
                      <w:bCs w:val="0"/>
                      <w:color w:val="auto"/>
                      <w:sz w:val="21"/>
                      <w:szCs w:val="21"/>
                      <w:highlight w:val="none"/>
                      <w:vertAlign w:val="superscript"/>
                    </w:rPr>
                    <w:t>3</w:t>
                  </w:r>
                </w:p>
              </w:tc>
              <w:tc>
                <w:tcPr>
                  <w:tcW w:w="617"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w:t>
                  </w:r>
                </w:p>
              </w:tc>
              <w:tc>
                <w:tcPr>
                  <w:tcW w:w="85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37" w:type="pct"/>
                  <w:vMerge w:val="continue"/>
                  <w:tcBorders>
                    <w:left w:val="single" w:color="auto" w:sz="4" w:space="0"/>
                    <w:right w:val="single" w:color="auto" w:sz="4" w:space="0"/>
                  </w:tcBorders>
                  <w:vAlign w:val="center"/>
                </w:tcPr>
                <w:p>
                  <w:pPr>
                    <w:keepNext w:val="0"/>
                    <w:keepLines w:val="0"/>
                    <w:pageBreakBefore w:val="0"/>
                    <w:widowControl/>
                    <w:tabs>
                      <w:tab w:val="center" w:pos="4252"/>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p>
              </w:tc>
              <w:tc>
                <w:tcPr>
                  <w:tcW w:w="93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rPr>
                  </w:pPr>
                  <w:r>
                    <w:rPr>
                      <w:rFonts w:hint="default" w:ascii="Times New Roman" w:hAnsi="Times New Roman" w:eastAsia="宋体" w:cs="Times New Roman"/>
                      <w:b w:val="0"/>
                      <w:bCs w:val="0"/>
                      <w:color w:val="auto"/>
                      <w:sz w:val="21"/>
                      <w:szCs w:val="21"/>
                      <w:highlight w:val="none"/>
                      <w:lang w:val="en-US" w:eastAsia="zh-CN"/>
                    </w:rPr>
                    <w:t>2022.11.09</w:t>
                  </w:r>
                </w:p>
              </w:tc>
              <w:tc>
                <w:tcPr>
                  <w:tcW w:w="74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90</w:t>
                  </w:r>
                </w:p>
              </w:tc>
              <w:tc>
                <w:tcPr>
                  <w:tcW w:w="519"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300</w:t>
                  </w:r>
                </w:p>
              </w:tc>
              <w:tc>
                <w:tcPr>
                  <w:tcW w:w="5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highlight w:val="none"/>
                      <w:lang w:val="en-US" w:eastAsia="zh-CN"/>
                    </w:rPr>
                    <w:t>μ</w:t>
                  </w:r>
                  <w:r>
                    <w:rPr>
                      <w:rFonts w:hint="default" w:ascii="Times New Roman" w:hAnsi="Times New Roman" w:eastAsia="宋体" w:cs="Times New Roman"/>
                      <w:b w:val="0"/>
                      <w:bCs w:val="0"/>
                      <w:color w:val="auto"/>
                      <w:sz w:val="21"/>
                      <w:szCs w:val="21"/>
                      <w:highlight w:val="none"/>
                    </w:rPr>
                    <w:t>g/m</w:t>
                  </w:r>
                  <w:r>
                    <w:rPr>
                      <w:rFonts w:hint="default" w:ascii="Times New Roman" w:hAnsi="Times New Roman" w:eastAsia="宋体" w:cs="Times New Roman"/>
                      <w:b w:val="0"/>
                      <w:bCs w:val="0"/>
                      <w:color w:val="auto"/>
                      <w:sz w:val="21"/>
                      <w:szCs w:val="21"/>
                      <w:highlight w:val="none"/>
                      <w:vertAlign w:val="superscript"/>
                    </w:rPr>
                    <w:t>3</w:t>
                  </w:r>
                </w:p>
              </w:tc>
              <w:tc>
                <w:tcPr>
                  <w:tcW w:w="617"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w:t>
                  </w:r>
                </w:p>
              </w:tc>
              <w:tc>
                <w:tcPr>
                  <w:tcW w:w="85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37" w:type="pct"/>
                  <w:vMerge w:val="continue"/>
                  <w:tcBorders>
                    <w:left w:val="single" w:color="auto" w:sz="4" w:space="0"/>
                    <w:right w:val="single" w:color="auto" w:sz="4" w:space="0"/>
                  </w:tcBorders>
                  <w:vAlign w:val="center"/>
                </w:tcPr>
                <w:p>
                  <w:pPr>
                    <w:keepNext w:val="0"/>
                    <w:keepLines w:val="0"/>
                    <w:pageBreakBefore w:val="0"/>
                    <w:widowControl/>
                    <w:tabs>
                      <w:tab w:val="center" w:pos="4252"/>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p>
              </w:tc>
              <w:tc>
                <w:tcPr>
                  <w:tcW w:w="93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2022.11.10</w:t>
                  </w:r>
                </w:p>
              </w:tc>
              <w:tc>
                <w:tcPr>
                  <w:tcW w:w="74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84</w:t>
                  </w:r>
                </w:p>
              </w:tc>
              <w:tc>
                <w:tcPr>
                  <w:tcW w:w="519"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300</w:t>
                  </w:r>
                </w:p>
              </w:tc>
              <w:tc>
                <w:tcPr>
                  <w:tcW w:w="5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highlight w:val="none"/>
                      <w:lang w:val="en-US" w:eastAsia="zh-CN"/>
                    </w:rPr>
                    <w:t>μ</w:t>
                  </w:r>
                  <w:r>
                    <w:rPr>
                      <w:rFonts w:hint="default" w:ascii="Times New Roman" w:hAnsi="Times New Roman" w:eastAsia="宋体" w:cs="Times New Roman"/>
                      <w:b w:val="0"/>
                      <w:bCs w:val="0"/>
                      <w:color w:val="auto"/>
                      <w:sz w:val="21"/>
                      <w:szCs w:val="21"/>
                      <w:highlight w:val="none"/>
                    </w:rPr>
                    <w:t>g/m</w:t>
                  </w:r>
                  <w:r>
                    <w:rPr>
                      <w:rFonts w:hint="default" w:ascii="Times New Roman" w:hAnsi="Times New Roman" w:eastAsia="宋体" w:cs="Times New Roman"/>
                      <w:b w:val="0"/>
                      <w:bCs w:val="0"/>
                      <w:color w:val="auto"/>
                      <w:sz w:val="21"/>
                      <w:szCs w:val="21"/>
                      <w:highlight w:val="none"/>
                      <w:vertAlign w:val="superscript"/>
                    </w:rPr>
                    <w:t>3</w:t>
                  </w:r>
                </w:p>
              </w:tc>
              <w:tc>
                <w:tcPr>
                  <w:tcW w:w="617"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w:t>
                  </w:r>
                </w:p>
              </w:tc>
              <w:tc>
                <w:tcPr>
                  <w:tcW w:w="85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37" w:type="pct"/>
                  <w:vMerge w:val="continue"/>
                  <w:tcBorders>
                    <w:left w:val="single" w:color="auto" w:sz="4" w:space="0"/>
                    <w:right w:val="single" w:color="auto" w:sz="4" w:space="0"/>
                  </w:tcBorders>
                  <w:vAlign w:val="center"/>
                </w:tcPr>
                <w:p>
                  <w:pPr>
                    <w:keepNext w:val="0"/>
                    <w:keepLines w:val="0"/>
                    <w:pageBreakBefore w:val="0"/>
                    <w:widowControl/>
                    <w:tabs>
                      <w:tab w:val="center" w:pos="4252"/>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p>
              </w:tc>
              <w:tc>
                <w:tcPr>
                  <w:tcW w:w="93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2022.11.11</w:t>
                  </w:r>
                </w:p>
              </w:tc>
              <w:tc>
                <w:tcPr>
                  <w:tcW w:w="74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78</w:t>
                  </w:r>
                </w:p>
              </w:tc>
              <w:tc>
                <w:tcPr>
                  <w:tcW w:w="519"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300</w:t>
                  </w:r>
                </w:p>
              </w:tc>
              <w:tc>
                <w:tcPr>
                  <w:tcW w:w="5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highlight w:val="none"/>
                      <w:lang w:val="en-US" w:eastAsia="zh-CN"/>
                    </w:rPr>
                    <w:t>μ</w:t>
                  </w:r>
                  <w:r>
                    <w:rPr>
                      <w:rFonts w:hint="default" w:ascii="Times New Roman" w:hAnsi="Times New Roman" w:eastAsia="宋体" w:cs="Times New Roman"/>
                      <w:b w:val="0"/>
                      <w:bCs w:val="0"/>
                      <w:color w:val="auto"/>
                      <w:sz w:val="21"/>
                      <w:szCs w:val="21"/>
                      <w:highlight w:val="none"/>
                    </w:rPr>
                    <w:t>g/m</w:t>
                  </w:r>
                  <w:r>
                    <w:rPr>
                      <w:rFonts w:hint="default" w:ascii="Times New Roman" w:hAnsi="Times New Roman" w:eastAsia="宋体" w:cs="Times New Roman"/>
                      <w:b w:val="0"/>
                      <w:bCs w:val="0"/>
                      <w:color w:val="auto"/>
                      <w:sz w:val="21"/>
                      <w:szCs w:val="21"/>
                      <w:highlight w:val="none"/>
                      <w:vertAlign w:val="superscript"/>
                    </w:rPr>
                    <w:t>3</w:t>
                  </w:r>
                </w:p>
              </w:tc>
              <w:tc>
                <w:tcPr>
                  <w:tcW w:w="617"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w:t>
                  </w:r>
                </w:p>
              </w:tc>
              <w:tc>
                <w:tcPr>
                  <w:tcW w:w="85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37" w:type="pct"/>
                  <w:vMerge w:val="continue"/>
                  <w:tcBorders>
                    <w:left w:val="single" w:color="auto" w:sz="4" w:space="0"/>
                    <w:right w:val="single" w:color="auto" w:sz="4" w:space="0"/>
                  </w:tcBorders>
                  <w:vAlign w:val="center"/>
                </w:tcPr>
                <w:p>
                  <w:pPr>
                    <w:keepNext w:val="0"/>
                    <w:keepLines w:val="0"/>
                    <w:pageBreakBefore w:val="0"/>
                    <w:widowControl/>
                    <w:tabs>
                      <w:tab w:val="center" w:pos="4252"/>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p>
              </w:tc>
              <w:tc>
                <w:tcPr>
                  <w:tcW w:w="93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2022.11.12</w:t>
                  </w:r>
                </w:p>
              </w:tc>
              <w:tc>
                <w:tcPr>
                  <w:tcW w:w="74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88</w:t>
                  </w:r>
                </w:p>
              </w:tc>
              <w:tc>
                <w:tcPr>
                  <w:tcW w:w="519"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300</w:t>
                  </w:r>
                </w:p>
              </w:tc>
              <w:tc>
                <w:tcPr>
                  <w:tcW w:w="5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highlight w:val="none"/>
                      <w:lang w:val="en-US" w:eastAsia="zh-CN"/>
                    </w:rPr>
                    <w:t>μ</w:t>
                  </w:r>
                  <w:r>
                    <w:rPr>
                      <w:rFonts w:hint="default" w:ascii="Times New Roman" w:hAnsi="Times New Roman" w:eastAsia="宋体" w:cs="Times New Roman"/>
                      <w:b w:val="0"/>
                      <w:bCs w:val="0"/>
                      <w:color w:val="auto"/>
                      <w:sz w:val="21"/>
                      <w:szCs w:val="21"/>
                      <w:highlight w:val="none"/>
                    </w:rPr>
                    <w:t>g/m</w:t>
                  </w:r>
                  <w:r>
                    <w:rPr>
                      <w:rFonts w:hint="default" w:ascii="Times New Roman" w:hAnsi="Times New Roman" w:eastAsia="宋体" w:cs="Times New Roman"/>
                      <w:b w:val="0"/>
                      <w:bCs w:val="0"/>
                      <w:color w:val="auto"/>
                      <w:sz w:val="21"/>
                      <w:szCs w:val="21"/>
                      <w:highlight w:val="none"/>
                      <w:vertAlign w:val="superscript"/>
                    </w:rPr>
                    <w:t>3</w:t>
                  </w:r>
                </w:p>
              </w:tc>
              <w:tc>
                <w:tcPr>
                  <w:tcW w:w="617"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w:t>
                  </w:r>
                </w:p>
              </w:tc>
              <w:tc>
                <w:tcPr>
                  <w:tcW w:w="85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37" w:type="pct"/>
                  <w:vMerge w:val="continue"/>
                  <w:tcBorders>
                    <w:left w:val="single" w:color="auto" w:sz="4" w:space="0"/>
                    <w:right w:val="single" w:color="auto" w:sz="4" w:space="0"/>
                  </w:tcBorders>
                  <w:vAlign w:val="center"/>
                </w:tcPr>
                <w:p>
                  <w:pPr>
                    <w:keepNext w:val="0"/>
                    <w:keepLines w:val="0"/>
                    <w:pageBreakBefore w:val="0"/>
                    <w:widowControl/>
                    <w:tabs>
                      <w:tab w:val="center" w:pos="4252"/>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p>
              </w:tc>
              <w:tc>
                <w:tcPr>
                  <w:tcW w:w="93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2022.11.13</w:t>
                  </w:r>
                </w:p>
              </w:tc>
              <w:tc>
                <w:tcPr>
                  <w:tcW w:w="74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83</w:t>
                  </w:r>
                </w:p>
              </w:tc>
              <w:tc>
                <w:tcPr>
                  <w:tcW w:w="519"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300</w:t>
                  </w:r>
                </w:p>
              </w:tc>
              <w:tc>
                <w:tcPr>
                  <w:tcW w:w="5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highlight w:val="none"/>
                      <w:lang w:val="en-US" w:eastAsia="zh-CN"/>
                    </w:rPr>
                    <w:t>μ</w:t>
                  </w:r>
                  <w:r>
                    <w:rPr>
                      <w:rFonts w:hint="default" w:ascii="Times New Roman" w:hAnsi="Times New Roman" w:eastAsia="宋体" w:cs="Times New Roman"/>
                      <w:b w:val="0"/>
                      <w:bCs w:val="0"/>
                      <w:color w:val="auto"/>
                      <w:sz w:val="21"/>
                      <w:szCs w:val="21"/>
                      <w:highlight w:val="none"/>
                    </w:rPr>
                    <w:t>g/m</w:t>
                  </w:r>
                  <w:r>
                    <w:rPr>
                      <w:rFonts w:hint="default" w:ascii="Times New Roman" w:hAnsi="Times New Roman" w:eastAsia="宋体" w:cs="Times New Roman"/>
                      <w:b w:val="0"/>
                      <w:bCs w:val="0"/>
                      <w:color w:val="auto"/>
                      <w:sz w:val="21"/>
                      <w:szCs w:val="21"/>
                      <w:highlight w:val="none"/>
                      <w:vertAlign w:val="superscript"/>
                    </w:rPr>
                    <w:t>3</w:t>
                  </w:r>
                </w:p>
              </w:tc>
              <w:tc>
                <w:tcPr>
                  <w:tcW w:w="617"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w:t>
                  </w:r>
                </w:p>
              </w:tc>
              <w:tc>
                <w:tcPr>
                  <w:tcW w:w="85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37" w:type="pct"/>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汞及其化合物</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μ</w:t>
                  </w:r>
                  <w:r>
                    <w:rPr>
                      <w:rFonts w:hint="default" w:ascii="Times New Roman" w:hAnsi="Times New Roman" w:eastAsia="宋体" w:cs="Times New Roman"/>
                      <w:b w:val="0"/>
                      <w:bCs w:val="0"/>
                      <w:color w:val="auto"/>
                      <w:sz w:val="21"/>
                      <w:szCs w:val="21"/>
                      <w:highlight w:val="none"/>
                    </w:rPr>
                    <w:t>g/m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24小时平均值</w:t>
                  </w:r>
                </w:p>
              </w:tc>
              <w:tc>
                <w:tcPr>
                  <w:tcW w:w="93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2022.11.07</w:t>
                  </w:r>
                </w:p>
              </w:tc>
              <w:tc>
                <w:tcPr>
                  <w:tcW w:w="74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kern w:val="2"/>
                      <w:sz w:val="21"/>
                      <w:szCs w:val="21"/>
                      <w:lang w:val="en-US" w:eastAsia="zh-CN" w:bidi="ar-SA"/>
                    </w:rPr>
                    <w:t>6.6</w:t>
                  </w:r>
                  <w:r>
                    <w:rPr>
                      <w:rFonts w:hint="default" w:ascii="Times New Roman" w:hAnsi="Times New Roman" w:eastAsia="宋体" w:cs="Times New Roman"/>
                      <w:bCs/>
                      <w:color w:val="auto"/>
                      <w:kern w:val="2"/>
                      <w:sz w:val="21"/>
                      <w:szCs w:val="21"/>
                      <w:highlight w:val="none"/>
                      <w:lang w:val="en-US" w:eastAsia="zh-CN" w:bidi="ar-SA"/>
                    </w:rPr>
                    <w:t>×10</w:t>
                  </w:r>
                  <w:r>
                    <w:rPr>
                      <w:rFonts w:hint="default" w:ascii="Times New Roman" w:hAnsi="Times New Roman" w:eastAsia="宋体" w:cs="Times New Roman"/>
                      <w:bCs/>
                      <w:color w:val="auto"/>
                      <w:kern w:val="2"/>
                      <w:sz w:val="21"/>
                      <w:szCs w:val="21"/>
                      <w:highlight w:val="none"/>
                      <w:vertAlign w:val="superscript"/>
                      <w:lang w:val="en-US" w:eastAsia="zh-CN" w:bidi="ar-SA"/>
                    </w:rPr>
                    <w:t>-6</w:t>
                  </w:r>
                </w:p>
              </w:tc>
              <w:tc>
                <w:tcPr>
                  <w:tcW w:w="519"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0.05</w:t>
                  </w:r>
                </w:p>
              </w:tc>
              <w:tc>
                <w:tcPr>
                  <w:tcW w:w="5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highlight w:val="none"/>
                      <w:lang w:val="en-US" w:eastAsia="zh-CN"/>
                    </w:rPr>
                    <w:t>μ</w:t>
                  </w:r>
                  <w:r>
                    <w:rPr>
                      <w:rFonts w:hint="default" w:ascii="Times New Roman" w:hAnsi="Times New Roman" w:eastAsia="宋体" w:cs="Times New Roman"/>
                      <w:b w:val="0"/>
                      <w:bCs w:val="0"/>
                      <w:color w:val="auto"/>
                      <w:sz w:val="21"/>
                      <w:szCs w:val="21"/>
                      <w:highlight w:val="none"/>
                    </w:rPr>
                    <w:t>g/m</w:t>
                  </w:r>
                  <w:r>
                    <w:rPr>
                      <w:rFonts w:hint="default" w:ascii="Times New Roman" w:hAnsi="Times New Roman" w:eastAsia="宋体" w:cs="Times New Roman"/>
                      <w:b w:val="0"/>
                      <w:bCs w:val="0"/>
                      <w:color w:val="auto"/>
                      <w:sz w:val="21"/>
                      <w:szCs w:val="21"/>
                      <w:highlight w:val="none"/>
                      <w:vertAlign w:val="superscript"/>
                    </w:rPr>
                    <w:t>3</w:t>
                  </w:r>
                </w:p>
              </w:tc>
              <w:tc>
                <w:tcPr>
                  <w:tcW w:w="617"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w:t>
                  </w:r>
                </w:p>
              </w:tc>
              <w:tc>
                <w:tcPr>
                  <w:tcW w:w="852"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37" w:type="pct"/>
                  <w:vMerge w:val="continue"/>
                  <w:tcBorders>
                    <w:left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p>
              </w:tc>
              <w:tc>
                <w:tcPr>
                  <w:tcW w:w="93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2022.11.08</w:t>
                  </w:r>
                </w:p>
              </w:tc>
              <w:tc>
                <w:tcPr>
                  <w:tcW w:w="74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kern w:val="2"/>
                      <w:sz w:val="21"/>
                      <w:szCs w:val="21"/>
                      <w:lang w:val="en-US" w:eastAsia="zh-CN" w:bidi="ar-SA"/>
                    </w:rPr>
                    <w:t>6.6</w:t>
                  </w:r>
                  <w:r>
                    <w:rPr>
                      <w:rFonts w:hint="default" w:ascii="Times New Roman" w:hAnsi="Times New Roman" w:eastAsia="宋体" w:cs="Times New Roman"/>
                      <w:bCs/>
                      <w:color w:val="auto"/>
                      <w:kern w:val="2"/>
                      <w:sz w:val="21"/>
                      <w:szCs w:val="21"/>
                      <w:highlight w:val="none"/>
                      <w:lang w:val="en-US" w:eastAsia="zh-CN" w:bidi="ar-SA"/>
                    </w:rPr>
                    <w:t>×10</w:t>
                  </w:r>
                  <w:r>
                    <w:rPr>
                      <w:rFonts w:hint="default" w:ascii="Times New Roman" w:hAnsi="Times New Roman" w:eastAsia="宋体" w:cs="Times New Roman"/>
                      <w:bCs/>
                      <w:color w:val="auto"/>
                      <w:kern w:val="2"/>
                      <w:sz w:val="21"/>
                      <w:szCs w:val="21"/>
                      <w:highlight w:val="none"/>
                      <w:vertAlign w:val="superscript"/>
                      <w:lang w:val="en-US" w:eastAsia="zh-CN" w:bidi="ar-SA"/>
                    </w:rPr>
                    <w:t>-6</w:t>
                  </w:r>
                </w:p>
              </w:tc>
              <w:tc>
                <w:tcPr>
                  <w:tcW w:w="51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0.05</w:t>
                  </w:r>
                </w:p>
              </w:tc>
              <w:tc>
                <w:tcPr>
                  <w:tcW w:w="5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highlight w:val="none"/>
                      <w:lang w:val="en-US" w:eastAsia="zh-CN"/>
                    </w:rPr>
                    <w:t>μ</w:t>
                  </w:r>
                  <w:r>
                    <w:rPr>
                      <w:rFonts w:hint="default" w:ascii="Times New Roman" w:hAnsi="Times New Roman" w:eastAsia="宋体" w:cs="Times New Roman"/>
                      <w:b w:val="0"/>
                      <w:bCs w:val="0"/>
                      <w:color w:val="auto"/>
                      <w:sz w:val="21"/>
                      <w:szCs w:val="21"/>
                      <w:highlight w:val="none"/>
                    </w:rPr>
                    <w:t>g/m</w:t>
                  </w:r>
                  <w:r>
                    <w:rPr>
                      <w:rFonts w:hint="default" w:ascii="Times New Roman" w:hAnsi="Times New Roman" w:eastAsia="宋体" w:cs="Times New Roman"/>
                      <w:b w:val="0"/>
                      <w:bCs w:val="0"/>
                      <w:color w:val="auto"/>
                      <w:sz w:val="21"/>
                      <w:szCs w:val="21"/>
                      <w:highlight w:val="none"/>
                      <w:vertAlign w:val="superscript"/>
                    </w:rPr>
                    <w:t>3</w:t>
                  </w:r>
                </w:p>
              </w:tc>
              <w:tc>
                <w:tcPr>
                  <w:tcW w:w="617"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w:t>
                  </w:r>
                </w:p>
              </w:tc>
              <w:tc>
                <w:tcPr>
                  <w:tcW w:w="852"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37" w:type="pct"/>
                  <w:vMerge w:val="continue"/>
                  <w:tcBorders>
                    <w:left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p>
              </w:tc>
              <w:tc>
                <w:tcPr>
                  <w:tcW w:w="93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2022.11.09</w:t>
                  </w:r>
                </w:p>
              </w:tc>
              <w:tc>
                <w:tcPr>
                  <w:tcW w:w="74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kern w:val="2"/>
                      <w:sz w:val="21"/>
                      <w:szCs w:val="21"/>
                      <w:lang w:val="en-US" w:eastAsia="zh-CN" w:bidi="ar-SA"/>
                    </w:rPr>
                    <w:t>6.6</w:t>
                  </w:r>
                  <w:r>
                    <w:rPr>
                      <w:rFonts w:hint="default" w:ascii="Times New Roman" w:hAnsi="Times New Roman" w:eastAsia="宋体" w:cs="Times New Roman"/>
                      <w:bCs/>
                      <w:color w:val="auto"/>
                      <w:kern w:val="2"/>
                      <w:sz w:val="21"/>
                      <w:szCs w:val="21"/>
                      <w:highlight w:val="none"/>
                      <w:lang w:val="en-US" w:eastAsia="zh-CN" w:bidi="ar-SA"/>
                    </w:rPr>
                    <w:t>×10</w:t>
                  </w:r>
                  <w:r>
                    <w:rPr>
                      <w:rFonts w:hint="default" w:ascii="Times New Roman" w:hAnsi="Times New Roman" w:eastAsia="宋体" w:cs="Times New Roman"/>
                      <w:bCs/>
                      <w:color w:val="auto"/>
                      <w:kern w:val="2"/>
                      <w:sz w:val="21"/>
                      <w:szCs w:val="21"/>
                      <w:highlight w:val="none"/>
                      <w:vertAlign w:val="superscript"/>
                      <w:lang w:val="en-US" w:eastAsia="zh-CN" w:bidi="ar-SA"/>
                    </w:rPr>
                    <w:t>-6</w:t>
                  </w:r>
                </w:p>
              </w:tc>
              <w:tc>
                <w:tcPr>
                  <w:tcW w:w="51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0.05</w:t>
                  </w:r>
                </w:p>
              </w:tc>
              <w:tc>
                <w:tcPr>
                  <w:tcW w:w="5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highlight w:val="none"/>
                      <w:lang w:val="en-US" w:eastAsia="zh-CN"/>
                    </w:rPr>
                    <w:t>μ</w:t>
                  </w:r>
                  <w:r>
                    <w:rPr>
                      <w:rFonts w:hint="default" w:ascii="Times New Roman" w:hAnsi="Times New Roman" w:eastAsia="宋体" w:cs="Times New Roman"/>
                      <w:b w:val="0"/>
                      <w:bCs w:val="0"/>
                      <w:color w:val="auto"/>
                      <w:sz w:val="21"/>
                      <w:szCs w:val="21"/>
                      <w:highlight w:val="none"/>
                    </w:rPr>
                    <w:t>g/m</w:t>
                  </w:r>
                  <w:r>
                    <w:rPr>
                      <w:rFonts w:hint="default" w:ascii="Times New Roman" w:hAnsi="Times New Roman" w:eastAsia="宋体" w:cs="Times New Roman"/>
                      <w:b w:val="0"/>
                      <w:bCs w:val="0"/>
                      <w:color w:val="auto"/>
                      <w:sz w:val="21"/>
                      <w:szCs w:val="21"/>
                      <w:highlight w:val="none"/>
                      <w:vertAlign w:val="superscript"/>
                    </w:rPr>
                    <w:t>3</w:t>
                  </w:r>
                </w:p>
              </w:tc>
              <w:tc>
                <w:tcPr>
                  <w:tcW w:w="617"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w:t>
                  </w:r>
                </w:p>
              </w:tc>
              <w:tc>
                <w:tcPr>
                  <w:tcW w:w="852"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37" w:type="pct"/>
                  <w:vMerge w:val="continue"/>
                  <w:tcBorders>
                    <w:left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p>
              </w:tc>
              <w:tc>
                <w:tcPr>
                  <w:tcW w:w="93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2022.11.10</w:t>
                  </w:r>
                </w:p>
              </w:tc>
              <w:tc>
                <w:tcPr>
                  <w:tcW w:w="74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kern w:val="2"/>
                      <w:sz w:val="21"/>
                      <w:szCs w:val="21"/>
                      <w:lang w:val="en-US" w:eastAsia="zh-CN" w:bidi="ar-SA"/>
                    </w:rPr>
                    <w:t>6.6</w:t>
                  </w:r>
                  <w:r>
                    <w:rPr>
                      <w:rFonts w:hint="default" w:ascii="Times New Roman" w:hAnsi="Times New Roman" w:eastAsia="宋体" w:cs="Times New Roman"/>
                      <w:bCs/>
                      <w:color w:val="auto"/>
                      <w:kern w:val="2"/>
                      <w:sz w:val="21"/>
                      <w:szCs w:val="21"/>
                      <w:highlight w:val="none"/>
                      <w:lang w:val="en-US" w:eastAsia="zh-CN" w:bidi="ar-SA"/>
                    </w:rPr>
                    <w:t>×10</w:t>
                  </w:r>
                  <w:r>
                    <w:rPr>
                      <w:rFonts w:hint="default" w:ascii="Times New Roman" w:hAnsi="Times New Roman" w:eastAsia="宋体" w:cs="Times New Roman"/>
                      <w:bCs/>
                      <w:color w:val="auto"/>
                      <w:kern w:val="2"/>
                      <w:sz w:val="21"/>
                      <w:szCs w:val="21"/>
                      <w:highlight w:val="none"/>
                      <w:vertAlign w:val="superscript"/>
                      <w:lang w:val="en-US" w:eastAsia="zh-CN" w:bidi="ar-SA"/>
                    </w:rPr>
                    <w:t>-6</w:t>
                  </w:r>
                </w:p>
              </w:tc>
              <w:tc>
                <w:tcPr>
                  <w:tcW w:w="51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0.05</w:t>
                  </w:r>
                </w:p>
              </w:tc>
              <w:tc>
                <w:tcPr>
                  <w:tcW w:w="5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highlight w:val="none"/>
                      <w:lang w:val="en-US" w:eastAsia="zh-CN"/>
                    </w:rPr>
                    <w:t>μ</w:t>
                  </w:r>
                  <w:r>
                    <w:rPr>
                      <w:rFonts w:hint="default" w:ascii="Times New Roman" w:hAnsi="Times New Roman" w:eastAsia="宋体" w:cs="Times New Roman"/>
                      <w:b w:val="0"/>
                      <w:bCs w:val="0"/>
                      <w:color w:val="auto"/>
                      <w:sz w:val="21"/>
                      <w:szCs w:val="21"/>
                      <w:highlight w:val="none"/>
                    </w:rPr>
                    <w:t>g/m</w:t>
                  </w:r>
                  <w:r>
                    <w:rPr>
                      <w:rFonts w:hint="default" w:ascii="Times New Roman" w:hAnsi="Times New Roman" w:eastAsia="宋体" w:cs="Times New Roman"/>
                      <w:b w:val="0"/>
                      <w:bCs w:val="0"/>
                      <w:color w:val="auto"/>
                      <w:sz w:val="21"/>
                      <w:szCs w:val="21"/>
                      <w:highlight w:val="none"/>
                      <w:vertAlign w:val="superscript"/>
                    </w:rPr>
                    <w:t>3</w:t>
                  </w:r>
                </w:p>
              </w:tc>
              <w:tc>
                <w:tcPr>
                  <w:tcW w:w="617"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w:t>
                  </w:r>
                </w:p>
              </w:tc>
              <w:tc>
                <w:tcPr>
                  <w:tcW w:w="852"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37" w:type="pct"/>
                  <w:vMerge w:val="continue"/>
                  <w:tcBorders>
                    <w:left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p>
              </w:tc>
              <w:tc>
                <w:tcPr>
                  <w:tcW w:w="93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2022.11.11</w:t>
                  </w:r>
                </w:p>
              </w:tc>
              <w:tc>
                <w:tcPr>
                  <w:tcW w:w="74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kern w:val="2"/>
                      <w:sz w:val="21"/>
                      <w:szCs w:val="21"/>
                      <w:lang w:val="en-US" w:eastAsia="zh-CN" w:bidi="ar-SA"/>
                    </w:rPr>
                    <w:t>6.6</w:t>
                  </w:r>
                  <w:r>
                    <w:rPr>
                      <w:rFonts w:hint="default" w:ascii="Times New Roman" w:hAnsi="Times New Roman" w:eastAsia="宋体" w:cs="Times New Roman"/>
                      <w:bCs/>
                      <w:color w:val="auto"/>
                      <w:kern w:val="2"/>
                      <w:sz w:val="21"/>
                      <w:szCs w:val="21"/>
                      <w:highlight w:val="none"/>
                      <w:lang w:val="en-US" w:eastAsia="zh-CN" w:bidi="ar-SA"/>
                    </w:rPr>
                    <w:t>×10</w:t>
                  </w:r>
                  <w:r>
                    <w:rPr>
                      <w:rFonts w:hint="default" w:ascii="Times New Roman" w:hAnsi="Times New Roman" w:eastAsia="宋体" w:cs="Times New Roman"/>
                      <w:bCs/>
                      <w:color w:val="auto"/>
                      <w:kern w:val="2"/>
                      <w:sz w:val="21"/>
                      <w:szCs w:val="21"/>
                      <w:highlight w:val="none"/>
                      <w:vertAlign w:val="superscript"/>
                      <w:lang w:val="en-US" w:eastAsia="zh-CN" w:bidi="ar-SA"/>
                    </w:rPr>
                    <w:t>-6</w:t>
                  </w:r>
                </w:p>
              </w:tc>
              <w:tc>
                <w:tcPr>
                  <w:tcW w:w="51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0.05</w:t>
                  </w:r>
                </w:p>
              </w:tc>
              <w:tc>
                <w:tcPr>
                  <w:tcW w:w="5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highlight w:val="none"/>
                      <w:lang w:val="en-US" w:eastAsia="zh-CN"/>
                    </w:rPr>
                    <w:t>μ</w:t>
                  </w:r>
                  <w:r>
                    <w:rPr>
                      <w:rFonts w:hint="default" w:ascii="Times New Roman" w:hAnsi="Times New Roman" w:eastAsia="宋体" w:cs="Times New Roman"/>
                      <w:b w:val="0"/>
                      <w:bCs w:val="0"/>
                      <w:color w:val="auto"/>
                      <w:sz w:val="21"/>
                      <w:szCs w:val="21"/>
                      <w:highlight w:val="none"/>
                    </w:rPr>
                    <w:t>g/m</w:t>
                  </w:r>
                  <w:r>
                    <w:rPr>
                      <w:rFonts w:hint="default" w:ascii="Times New Roman" w:hAnsi="Times New Roman" w:eastAsia="宋体" w:cs="Times New Roman"/>
                      <w:b w:val="0"/>
                      <w:bCs w:val="0"/>
                      <w:color w:val="auto"/>
                      <w:sz w:val="21"/>
                      <w:szCs w:val="21"/>
                      <w:highlight w:val="none"/>
                      <w:vertAlign w:val="superscript"/>
                    </w:rPr>
                    <w:t>3</w:t>
                  </w:r>
                </w:p>
              </w:tc>
              <w:tc>
                <w:tcPr>
                  <w:tcW w:w="617"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w:t>
                  </w:r>
                </w:p>
              </w:tc>
              <w:tc>
                <w:tcPr>
                  <w:tcW w:w="852"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37" w:type="pct"/>
                  <w:vMerge w:val="continue"/>
                  <w:tcBorders>
                    <w:left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p>
              </w:tc>
              <w:tc>
                <w:tcPr>
                  <w:tcW w:w="93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2022.11.12</w:t>
                  </w:r>
                </w:p>
              </w:tc>
              <w:tc>
                <w:tcPr>
                  <w:tcW w:w="74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kern w:val="2"/>
                      <w:sz w:val="21"/>
                      <w:szCs w:val="21"/>
                      <w:lang w:val="en-US" w:eastAsia="zh-CN" w:bidi="ar-SA"/>
                    </w:rPr>
                    <w:t>6.6</w:t>
                  </w:r>
                  <w:r>
                    <w:rPr>
                      <w:rFonts w:hint="default" w:ascii="Times New Roman" w:hAnsi="Times New Roman" w:eastAsia="宋体" w:cs="Times New Roman"/>
                      <w:bCs/>
                      <w:color w:val="auto"/>
                      <w:kern w:val="2"/>
                      <w:sz w:val="21"/>
                      <w:szCs w:val="21"/>
                      <w:highlight w:val="none"/>
                      <w:lang w:val="en-US" w:eastAsia="zh-CN" w:bidi="ar-SA"/>
                    </w:rPr>
                    <w:t>×10</w:t>
                  </w:r>
                  <w:r>
                    <w:rPr>
                      <w:rFonts w:hint="default" w:ascii="Times New Roman" w:hAnsi="Times New Roman" w:eastAsia="宋体" w:cs="Times New Roman"/>
                      <w:bCs/>
                      <w:color w:val="auto"/>
                      <w:kern w:val="2"/>
                      <w:sz w:val="21"/>
                      <w:szCs w:val="21"/>
                      <w:highlight w:val="none"/>
                      <w:vertAlign w:val="superscript"/>
                      <w:lang w:val="en-US" w:eastAsia="zh-CN" w:bidi="ar-SA"/>
                    </w:rPr>
                    <w:t>-6</w:t>
                  </w:r>
                </w:p>
              </w:tc>
              <w:tc>
                <w:tcPr>
                  <w:tcW w:w="51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0.05</w:t>
                  </w:r>
                </w:p>
              </w:tc>
              <w:tc>
                <w:tcPr>
                  <w:tcW w:w="5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highlight w:val="none"/>
                      <w:lang w:val="en-US" w:eastAsia="zh-CN"/>
                    </w:rPr>
                    <w:t>μ</w:t>
                  </w:r>
                  <w:r>
                    <w:rPr>
                      <w:rFonts w:hint="default" w:ascii="Times New Roman" w:hAnsi="Times New Roman" w:eastAsia="宋体" w:cs="Times New Roman"/>
                      <w:b w:val="0"/>
                      <w:bCs w:val="0"/>
                      <w:color w:val="auto"/>
                      <w:sz w:val="21"/>
                      <w:szCs w:val="21"/>
                      <w:highlight w:val="none"/>
                    </w:rPr>
                    <w:t>g/m</w:t>
                  </w:r>
                  <w:r>
                    <w:rPr>
                      <w:rFonts w:hint="default" w:ascii="Times New Roman" w:hAnsi="Times New Roman" w:eastAsia="宋体" w:cs="Times New Roman"/>
                      <w:b w:val="0"/>
                      <w:bCs w:val="0"/>
                      <w:color w:val="auto"/>
                      <w:sz w:val="21"/>
                      <w:szCs w:val="21"/>
                      <w:highlight w:val="none"/>
                      <w:vertAlign w:val="superscript"/>
                    </w:rPr>
                    <w:t>3</w:t>
                  </w:r>
                </w:p>
              </w:tc>
              <w:tc>
                <w:tcPr>
                  <w:tcW w:w="617"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w:t>
                  </w:r>
                </w:p>
              </w:tc>
              <w:tc>
                <w:tcPr>
                  <w:tcW w:w="852"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737" w:type="pct"/>
                  <w:vMerge w:val="continue"/>
                  <w:tcBorders>
                    <w:left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p>
              </w:tc>
              <w:tc>
                <w:tcPr>
                  <w:tcW w:w="93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2022.11.13</w:t>
                  </w:r>
                </w:p>
              </w:tc>
              <w:tc>
                <w:tcPr>
                  <w:tcW w:w="74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kern w:val="2"/>
                      <w:sz w:val="21"/>
                      <w:szCs w:val="21"/>
                      <w:lang w:val="en-US" w:eastAsia="zh-CN" w:bidi="ar-SA"/>
                    </w:rPr>
                    <w:t>6.6</w:t>
                  </w:r>
                  <w:r>
                    <w:rPr>
                      <w:rFonts w:hint="default" w:ascii="Times New Roman" w:hAnsi="Times New Roman" w:eastAsia="宋体" w:cs="Times New Roman"/>
                      <w:bCs/>
                      <w:color w:val="auto"/>
                      <w:kern w:val="2"/>
                      <w:sz w:val="21"/>
                      <w:szCs w:val="21"/>
                      <w:highlight w:val="none"/>
                      <w:lang w:val="en-US" w:eastAsia="zh-CN" w:bidi="ar-SA"/>
                    </w:rPr>
                    <w:t>×10</w:t>
                  </w:r>
                  <w:r>
                    <w:rPr>
                      <w:rFonts w:hint="default" w:ascii="Times New Roman" w:hAnsi="Times New Roman" w:eastAsia="宋体" w:cs="Times New Roman"/>
                      <w:bCs/>
                      <w:color w:val="auto"/>
                      <w:kern w:val="2"/>
                      <w:sz w:val="21"/>
                      <w:szCs w:val="21"/>
                      <w:highlight w:val="none"/>
                      <w:vertAlign w:val="superscript"/>
                      <w:lang w:val="en-US" w:eastAsia="zh-CN" w:bidi="ar-SA"/>
                    </w:rPr>
                    <w:t>-6</w:t>
                  </w:r>
                </w:p>
              </w:tc>
              <w:tc>
                <w:tcPr>
                  <w:tcW w:w="51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0.05</w:t>
                  </w:r>
                </w:p>
              </w:tc>
              <w:tc>
                <w:tcPr>
                  <w:tcW w:w="59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highlight w:val="none"/>
                      <w:lang w:val="en-US" w:eastAsia="zh-CN"/>
                    </w:rPr>
                    <w:t>μ</w:t>
                  </w:r>
                  <w:r>
                    <w:rPr>
                      <w:rFonts w:hint="default" w:ascii="Times New Roman" w:hAnsi="Times New Roman" w:eastAsia="宋体" w:cs="Times New Roman"/>
                      <w:b w:val="0"/>
                      <w:bCs w:val="0"/>
                      <w:color w:val="auto"/>
                      <w:sz w:val="21"/>
                      <w:szCs w:val="21"/>
                      <w:highlight w:val="none"/>
                    </w:rPr>
                    <w:t>g/m</w:t>
                  </w:r>
                  <w:r>
                    <w:rPr>
                      <w:rFonts w:hint="default" w:ascii="Times New Roman" w:hAnsi="Times New Roman" w:eastAsia="宋体" w:cs="Times New Roman"/>
                      <w:b w:val="0"/>
                      <w:bCs w:val="0"/>
                      <w:color w:val="auto"/>
                      <w:sz w:val="21"/>
                      <w:szCs w:val="21"/>
                      <w:highlight w:val="none"/>
                      <w:vertAlign w:val="superscript"/>
                    </w:rPr>
                    <w:t>3</w:t>
                  </w:r>
                </w:p>
              </w:tc>
              <w:tc>
                <w:tcPr>
                  <w:tcW w:w="617"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w:t>
                  </w:r>
                </w:p>
              </w:tc>
              <w:tc>
                <w:tcPr>
                  <w:tcW w:w="852" w:type="pct"/>
                  <w:tcBorders>
                    <w:top w:val="single" w:color="auto" w:sz="4" w:space="0"/>
                    <w:left w:val="single" w:color="auto" w:sz="4" w:space="0"/>
                    <w:bottom w:val="single" w:color="auto" w:sz="4" w:space="0"/>
                    <w:right w:val="single" w:color="auto" w:sz="4" w:space="0"/>
                  </w:tcBorders>
                  <w:vAlign w:val="center"/>
                </w:tcPr>
                <w:p>
                  <w:pPr>
                    <w:widowControl/>
                    <w:tabs>
                      <w:tab w:val="center" w:pos="4252"/>
                    </w:tabs>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w:t>
                  </w:r>
                </w:p>
              </w:tc>
            </w:tr>
          </w:tbl>
          <w:p>
            <w:pPr>
              <w:pStyle w:val="3"/>
              <w:adjustRightInd w:val="0"/>
              <w:snapToGrid w:val="0"/>
              <w:spacing w:before="0" w:after="0" w:line="360" w:lineRule="auto"/>
              <w:ind w:firstLine="422" w:firstLineChars="200"/>
              <w:rPr>
                <w:rFonts w:hint="default" w:ascii="Times New Roman" w:hAnsi="Times New Roman" w:cs="Times New Roman" w:eastAsiaTheme="minorEastAsia"/>
                <w:b/>
                <w:bCs w:val="0"/>
                <w:kern w:val="2"/>
                <w:sz w:val="21"/>
                <w:szCs w:val="21"/>
                <w:lang w:val="en-US" w:eastAsia="zh-CN" w:bidi="ar-SA"/>
              </w:rPr>
            </w:pPr>
            <w:r>
              <w:rPr>
                <w:rFonts w:hint="default" w:ascii="Times New Roman" w:hAnsi="Times New Roman" w:cs="Times New Roman" w:eastAsiaTheme="minorEastAsia"/>
                <w:b/>
                <w:bCs w:val="0"/>
                <w:kern w:val="2"/>
                <w:sz w:val="21"/>
                <w:szCs w:val="21"/>
                <w:lang w:val="en-US" w:eastAsia="zh-CN" w:bidi="ar-SA"/>
              </w:rPr>
              <w:t>注：“＜+数值”代表小于检出限</w:t>
            </w:r>
            <w:r>
              <w:rPr>
                <w:rFonts w:hint="default" w:ascii="Times New Roman" w:hAnsi="Times New Roman" w:cs="Times New Roman"/>
                <w:b/>
                <w:bCs w:val="0"/>
                <w:kern w:val="2"/>
                <w:sz w:val="21"/>
                <w:szCs w:val="21"/>
                <w:lang w:val="en-US" w:eastAsia="zh-CN" w:bidi="ar-SA"/>
              </w:rPr>
              <w:t>。</w:t>
            </w:r>
          </w:p>
          <w:p>
            <w:pPr>
              <w:pStyle w:val="3"/>
              <w:adjustRightInd w:val="0"/>
              <w:snapToGrid w:val="0"/>
              <w:spacing w:before="0" w:after="0" w:line="360" w:lineRule="auto"/>
              <w:ind w:firstLine="480" w:firstLineChars="200"/>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rPr>
              <w:t>结果分析</w:t>
            </w:r>
          </w:p>
          <w:p>
            <w:pPr>
              <w:pStyle w:val="3"/>
              <w:adjustRightInd w:val="0"/>
              <w:snapToGrid w:val="0"/>
              <w:spacing w:before="0" w:after="0" w:line="360" w:lineRule="auto"/>
              <w:ind w:firstLine="480" w:firstLineChars="200"/>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根据上表监测结果，</w:t>
            </w:r>
            <w:r>
              <w:rPr>
                <w:rFonts w:hint="default" w:ascii="Times New Roman" w:hAnsi="Times New Roman" w:cs="Times New Roman"/>
                <w:b w:val="0"/>
                <w:bCs w:val="0"/>
                <w:sz w:val="24"/>
                <w:szCs w:val="24"/>
                <w:lang w:eastAsia="zh-CN"/>
              </w:rPr>
              <w:t>总悬浮颗粒物、</w:t>
            </w:r>
            <w:r>
              <w:rPr>
                <w:rFonts w:hint="default" w:ascii="Times New Roman" w:hAnsi="Times New Roman" w:cs="Times New Roman"/>
                <w:b w:val="0"/>
                <w:bCs w:val="0"/>
                <w:sz w:val="24"/>
                <w:szCs w:val="24"/>
                <w:lang w:val="en-US" w:eastAsia="zh-CN"/>
              </w:rPr>
              <w:t>汞及其化合物</w:t>
            </w:r>
            <w:r>
              <w:rPr>
                <w:rFonts w:hint="default" w:ascii="Times New Roman" w:hAnsi="Times New Roman" w:cs="Times New Roman"/>
                <w:b w:val="0"/>
                <w:bCs w:val="0"/>
                <w:sz w:val="24"/>
                <w:szCs w:val="24"/>
                <w:lang w:eastAsia="zh-CN"/>
              </w:rPr>
              <w:t>监测24小时平均值</w:t>
            </w:r>
            <w:r>
              <w:rPr>
                <w:rFonts w:hint="default" w:ascii="Times New Roman" w:hAnsi="Times New Roman" w:cs="Times New Roman"/>
                <w:b w:val="0"/>
                <w:bCs w:val="0"/>
                <w:sz w:val="24"/>
                <w:szCs w:val="24"/>
              </w:rPr>
              <w:t>符合</w:t>
            </w:r>
            <w:r>
              <w:rPr>
                <w:rFonts w:hint="default" w:ascii="Times New Roman" w:hAnsi="Times New Roman" w:cs="Times New Roman"/>
                <w:b w:val="0"/>
                <w:bCs w:val="0"/>
                <w:sz w:val="24"/>
                <w:szCs w:val="24"/>
                <w:lang w:val="en-US" w:eastAsia="zh-CN"/>
              </w:rPr>
              <w:t>《环境空气质量标准》（GB3095-2012）及其修改单（2018年8月13日）的二级标准。</w:t>
            </w:r>
          </w:p>
          <w:p>
            <w:pPr>
              <w:pStyle w:val="3"/>
              <w:adjustRightInd w:val="0"/>
              <w:snapToGrid w:val="0"/>
              <w:spacing w:before="0" w:after="0" w:line="360" w:lineRule="auto"/>
              <w:ind w:firstLine="482" w:firstLineChars="200"/>
              <w:rPr>
                <w:rFonts w:hint="default" w:ascii="Times New Roman" w:hAnsi="Times New Roman" w:cs="Times New Roman"/>
                <w:sz w:val="24"/>
                <w:szCs w:val="24"/>
              </w:rPr>
            </w:pPr>
            <w:r>
              <w:rPr>
                <w:rFonts w:hint="default" w:ascii="Times New Roman" w:hAnsi="Times New Roman" w:cs="Times New Roman"/>
                <w:sz w:val="24"/>
                <w:szCs w:val="24"/>
              </w:rPr>
              <w:t>2、地表水环境</w:t>
            </w:r>
          </w:p>
          <w:p>
            <w:pPr>
              <w:adjustRightInd w:val="0"/>
              <w:snapToGrid w:val="0"/>
              <w:spacing w:line="360" w:lineRule="auto"/>
              <w:ind w:firstLine="482"/>
              <w:rPr>
                <w:rFonts w:hint="default" w:ascii="Times New Roman" w:hAnsi="Times New Roman" w:cs="Times New Roman"/>
                <w:bCs/>
                <w:sz w:val="24"/>
                <w:lang w:val="en-US" w:eastAsia="zh-CN"/>
              </w:rPr>
            </w:pPr>
            <w:r>
              <w:rPr>
                <w:rFonts w:hint="default" w:ascii="Times New Roman" w:hAnsi="Times New Roman" w:cs="Times New Roman"/>
                <w:bCs/>
                <w:sz w:val="24"/>
              </w:rPr>
              <w:t>项目</w:t>
            </w:r>
            <w:r>
              <w:rPr>
                <w:rFonts w:hint="default" w:ascii="Times New Roman" w:hAnsi="Times New Roman" w:cs="Times New Roman"/>
                <w:bCs/>
                <w:sz w:val="24"/>
                <w:lang w:eastAsia="zh-CN"/>
              </w:rPr>
              <w:t>南</w:t>
            </w:r>
            <w:r>
              <w:rPr>
                <w:rFonts w:hint="default" w:ascii="Times New Roman" w:hAnsi="Times New Roman" w:cs="Times New Roman"/>
                <w:bCs/>
                <w:sz w:val="24"/>
                <w:lang w:val="en-US" w:eastAsia="zh-CN"/>
              </w:rPr>
              <w:t>侧75m为蚁蚂吐河</w:t>
            </w:r>
            <w:r>
              <w:rPr>
                <w:rFonts w:hint="default" w:ascii="Times New Roman" w:hAnsi="Times New Roman" w:cs="Times New Roman"/>
                <w:bCs/>
                <w:sz w:val="24"/>
                <w:lang w:eastAsia="zh-CN"/>
              </w:rPr>
              <w:t>，属于伊逊河支流。按照河北省水利厅与河北省环境保护厅联合下发的关于调整公布《河北省水功能区划》的通知（冀水资[2017]127号）的要求，伊逊河保护级别为地表水Ⅲ类水体，执行《地表水环境质量标准》（GB3838-2002）Ⅲ类标准</w:t>
            </w:r>
            <w:r>
              <w:rPr>
                <w:rFonts w:hint="default" w:ascii="Times New Roman" w:hAnsi="Times New Roman" w:cs="Times New Roman"/>
                <w:bCs/>
                <w:sz w:val="24"/>
                <w:lang w:val="en-US" w:eastAsia="zh-CN"/>
              </w:rPr>
              <w:t>。</w:t>
            </w:r>
          </w:p>
          <w:p>
            <w:pPr>
              <w:adjustRightInd w:val="0"/>
              <w:snapToGrid w:val="0"/>
              <w:spacing w:line="360" w:lineRule="auto"/>
              <w:ind w:firstLine="482"/>
              <w:rPr>
                <w:rFonts w:hint="default" w:ascii="Times New Roman" w:hAnsi="Times New Roman" w:cs="Times New Roman"/>
              </w:rPr>
            </w:pPr>
            <w:r>
              <w:rPr>
                <w:rFonts w:hint="default" w:ascii="Times New Roman" w:hAnsi="Times New Roman" w:cs="Times New Roman"/>
                <w:bCs/>
                <w:sz w:val="24"/>
              </w:rPr>
              <w:t>本次评价引用《</w:t>
            </w:r>
            <w:r>
              <w:rPr>
                <w:rFonts w:hint="default" w:ascii="Times New Roman" w:hAnsi="Times New Roman" w:cs="Times New Roman"/>
                <w:bCs/>
                <w:sz w:val="24"/>
                <w:lang w:eastAsia="zh-CN"/>
              </w:rPr>
              <w:t>20</w:t>
            </w:r>
            <w:r>
              <w:rPr>
                <w:rFonts w:hint="default" w:ascii="Times New Roman" w:hAnsi="Times New Roman" w:cs="Times New Roman"/>
                <w:bCs/>
                <w:sz w:val="24"/>
                <w:lang w:val="en-US" w:eastAsia="zh-CN"/>
              </w:rPr>
              <w:t>22</w:t>
            </w:r>
            <w:r>
              <w:rPr>
                <w:rFonts w:hint="default" w:ascii="Times New Roman" w:hAnsi="Times New Roman" w:cs="Times New Roman"/>
                <w:bCs/>
                <w:sz w:val="24"/>
                <w:lang w:eastAsia="zh-CN"/>
              </w:rPr>
              <w:t>年承德市</w:t>
            </w:r>
            <w:r>
              <w:rPr>
                <w:rFonts w:hint="default" w:ascii="Times New Roman" w:hAnsi="Times New Roman" w:cs="Times New Roman"/>
                <w:bCs/>
                <w:sz w:val="24"/>
                <w:lang w:val="en-US" w:eastAsia="zh-CN"/>
              </w:rPr>
              <w:t>生态</w:t>
            </w:r>
            <w:r>
              <w:rPr>
                <w:rFonts w:hint="default" w:ascii="Times New Roman" w:hAnsi="Times New Roman" w:cs="Times New Roman"/>
                <w:bCs/>
                <w:sz w:val="24"/>
                <w:lang w:eastAsia="zh-CN"/>
              </w:rPr>
              <w:t>环境状况公报</w:t>
            </w:r>
            <w:r>
              <w:rPr>
                <w:rFonts w:hint="default" w:ascii="Times New Roman" w:hAnsi="Times New Roman" w:cs="Times New Roman"/>
                <w:bCs/>
                <w:sz w:val="24"/>
              </w:rPr>
              <w:t>》</w:t>
            </w:r>
            <w:r>
              <w:rPr>
                <w:rFonts w:hint="default" w:ascii="Times New Roman" w:hAnsi="Times New Roman" w:cs="Times New Roman"/>
                <w:bCs/>
                <w:sz w:val="24"/>
                <w:lang w:val="en-US" w:eastAsia="zh-CN"/>
              </w:rPr>
              <w:t>伊逊河的</w:t>
            </w:r>
            <w:r>
              <w:rPr>
                <w:rFonts w:hint="default" w:ascii="Times New Roman" w:hAnsi="Times New Roman" w:cs="Times New Roman"/>
                <w:bCs/>
                <w:sz w:val="24"/>
              </w:rPr>
              <w:t>监测数据来说明项目所在区域的地表水环境质量状况，</w:t>
            </w:r>
            <w:r>
              <w:rPr>
                <w:rFonts w:hint="default" w:ascii="Times New Roman" w:hAnsi="Times New Roman" w:cs="Times New Roman"/>
                <w:bCs/>
                <w:sz w:val="24"/>
                <w:lang w:val="en-US" w:eastAsia="zh-CN"/>
              </w:rPr>
              <w:t>伊逊河共布设地表水常规监测断面2个，为唐三营监测断面、李台监测断面。2022年伊逊河流域总体水质状况为优，与2021年相比水环境质量有明显改善。唐三营、李台监测断面</w:t>
            </w:r>
            <w:r>
              <w:rPr>
                <w:rFonts w:hint="default" w:ascii="Times New Roman" w:hAnsi="Times New Roman" w:cs="Times New Roman"/>
                <w:bCs/>
                <w:sz w:val="24"/>
              </w:rPr>
              <w:t>监测结果见下表。</w:t>
            </w:r>
          </w:p>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cs="Times New Roman"/>
                <w:b/>
                <w:bCs/>
                <w:szCs w:val="21"/>
              </w:rPr>
            </w:pPr>
            <w:r>
              <w:rPr>
                <w:rFonts w:hint="default" w:ascii="Times New Roman" w:hAnsi="Times New Roman" w:cs="Times New Roman"/>
                <w:b/>
                <w:bCs/>
                <w:szCs w:val="21"/>
              </w:rPr>
              <w:t>表3-</w:t>
            </w:r>
            <w:r>
              <w:rPr>
                <w:rFonts w:hint="default" w:ascii="Times New Roman" w:hAnsi="Times New Roman" w:cs="Times New Roman"/>
                <w:b/>
                <w:bCs/>
                <w:szCs w:val="21"/>
                <w:lang w:val="en-US" w:eastAsia="zh-CN"/>
              </w:rPr>
              <w:t>4</w:t>
            </w:r>
            <w:r>
              <w:rPr>
                <w:rFonts w:hint="default" w:ascii="Times New Roman" w:hAnsi="Times New Roman" w:cs="Times New Roman"/>
                <w:b/>
                <w:bCs/>
                <w:szCs w:val="21"/>
              </w:rPr>
              <w:t xml:space="preserve">  202</w:t>
            </w:r>
            <w:r>
              <w:rPr>
                <w:rFonts w:hint="default" w:ascii="Times New Roman" w:hAnsi="Times New Roman" w:cs="Times New Roman"/>
                <w:b/>
                <w:bCs/>
                <w:szCs w:val="21"/>
                <w:lang w:val="en-US" w:eastAsia="zh-CN"/>
              </w:rPr>
              <w:t>2</w:t>
            </w:r>
            <w:r>
              <w:rPr>
                <w:rFonts w:hint="default" w:ascii="Times New Roman" w:hAnsi="Times New Roman" w:cs="Times New Roman"/>
                <w:b/>
                <w:bCs/>
                <w:szCs w:val="21"/>
              </w:rPr>
              <w:t>年</w:t>
            </w:r>
            <w:r>
              <w:rPr>
                <w:rFonts w:hint="default" w:ascii="Times New Roman" w:hAnsi="Times New Roman" w:cs="Times New Roman"/>
                <w:b/>
                <w:bCs/>
                <w:szCs w:val="21"/>
                <w:lang w:val="en-US" w:eastAsia="zh-CN"/>
              </w:rPr>
              <w:t>唐三营</w:t>
            </w:r>
            <w:r>
              <w:rPr>
                <w:rFonts w:hint="default" w:ascii="Times New Roman" w:hAnsi="Times New Roman" w:cs="Times New Roman"/>
                <w:b/>
                <w:bCs/>
                <w:szCs w:val="21"/>
              </w:rPr>
              <w:t>断面和</w:t>
            </w:r>
            <w:r>
              <w:rPr>
                <w:rFonts w:hint="default" w:ascii="Times New Roman" w:hAnsi="Times New Roman" w:cs="Times New Roman"/>
                <w:b/>
                <w:bCs/>
                <w:szCs w:val="21"/>
                <w:lang w:val="en-US" w:eastAsia="zh-CN"/>
              </w:rPr>
              <w:t>李台</w:t>
            </w:r>
            <w:r>
              <w:rPr>
                <w:rFonts w:hint="default" w:ascii="Times New Roman" w:hAnsi="Times New Roman" w:cs="Times New Roman"/>
                <w:b/>
                <w:bCs/>
                <w:szCs w:val="21"/>
              </w:rPr>
              <w:t>断面监测结果表</w:t>
            </w:r>
          </w:p>
          <w:tbl>
            <w:tblPr>
              <w:tblStyle w:val="24"/>
              <w:tblW w:w="493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2"/>
              <w:gridCol w:w="1183"/>
              <w:gridCol w:w="1183"/>
              <w:gridCol w:w="1184"/>
              <w:gridCol w:w="1183"/>
              <w:gridCol w:w="1183"/>
              <w:gridCol w:w="1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714"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河流名称</w:t>
                  </w:r>
                </w:p>
              </w:tc>
              <w:tc>
                <w:tcPr>
                  <w:tcW w:w="714"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断面名称</w:t>
                  </w:r>
                </w:p>
              </w:tc>
              <w:tc>
                <w:tcPr>
                  <w:tcW w:w="1429" w:type="pct"/>
                  <w:gridSpan w:val="2"/>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各监测断面水质情况</w:t>
                  </w:r>
                </w:p>
              </w:tc>
              <w:tc>
                <w:tcPr>
                  <w:tcW w:w="714"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主要</w:t>
                  </w:r>
                  <w:r>
                    <w:rPr>
                      <w:rFonts w:hint="default" w:ascii="Times New Roman" w:hAnsi="Times New Roman" w:eastAsia="宋体" w:cs="Times New Roman"/>
                      <w:sz w:val="21"/>
                      <w:szCs w:val="21"/>
                    </w:rPr>
                    <w:t>污染物</w:t>
                  </w:r>
                </w:p>
              </w:tc>
              <w:tc>
                <w:tcPr>
                  <w:tcW w:w="714"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2021年河流</w:t>
                  </w:r>
                  <w:r>
                    <w:rPr>
                      <w:rFonts w:hint="default" w:ascii="Times New Roman" w:hAnsi="Times New Roman" w:eastAsia="宋体" w:cs="Times New Roman"/>
                      <w:sz w:val="21"/>
                      <w:szCs w:val="21"/>
                    </w:rPr>
                    <w:t>水质状况</w:t>
                  </w:r>
                </w:p>
              </w:tc>
              <w:tc>
                <w:tcPr>
                  <w:tcW w:w="714"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2022年河流</w:t>
                  </w:r>
                  <w:r>
                    <w:rPr>
                      <w:rFonts w:hint="default" w:ascii="Times New Roman" w:hAnsi="Times New Roman" w:eastAsia="宋体" w:cs="Times New Roman"/>
                      <w:sz w:val="21"/>
                      <w:szCs w:val="21"/>
                    </w:rPr>
                    <w:t>水质状况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714"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714"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71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2021年</w:t>
                  </w:r>
                </w:p>
              </w:tc>
              <w:tc>
                <w:tcPr>
                  <w:tcW w:w="71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2022年</w:t>
                  </w:r>
                </w:p>
              </w:tc>
              <w:tc>
                <w:tcPr>
                  <w:tcW w:w="714"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714"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714"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714"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伊逊河</w:t>
                  </w:r>
                </w:p>
              </w:tc>
              <w:tc>
                <w:tcPr>
                  <w:tcW w:w="71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唐三营</w:t>
                  </w:r>
                </w:p>
              </w:tc>
              <w:tc>
                <w:tcPr>
                  <w:tcW w:w="71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Ⅲ</w:t>
                  </w:r>
                </w:p>
              </w:tc>
              <w:tc>
                <w:tcPr>
                  <w:tcW w:w="71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Ⅱ</w:t>
                  </w:r>
                </w:p>
              </w:tc>
              <w:tc>
                <w:tcPr>
                  <w:tcW w:w="71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714"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良好</w:t>
                  </w:r>
                </w:p>
              </w:tc>
              <w:tc>
                <w:tcPr>
                  <w:tcW w:w="714"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14"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p>
              </w:tc>
              <w:tc>
                <w:tcPr>
                  <w:tcW w:w="71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李台</w:t>
                  </w:r>
                </w:p>
              </w:tc>
              <w:tc>
                <w:tcPr>
                  <w:tcW w:w="1183"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Ⅲ</w:t>
                  </w:r>
                </w:p>
              </w:tc>
              <w:tc>
                <w:tcPr>
                  <w:tcW w:w="1184"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Ⅱ</w:t>
                  </w:r>
                </w:p>
              </w:tc>
              <w:tc>
                <w:tcPr>
                  <w:tcW w:w="714"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714"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rPr>
                  </w:pPr>
                </w:p>
              </w:tc>
              <w:tc>
                <w:tcPr>
                  <w:tcW w:w="714"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z w:val="21"/>
                      <w:szCs w:val="21"/>
                    </w:rPr>
                  </w:pPr>
                </w:p>
              </w:tc>
            </w:tr>
          </w:tbl>
          <w:p>
            <w:pPr>
              <w:adjustRightInd w:val="0"/>
              <w:snapToGrid w:val="0"/>
              <w:spacing w:line="360" w:lineRule="auto"/>
              <w:ind w:firstLine="482" w:firstLineChars="200"/>
              <w:rPr>
                <w:rFonts w:hint="default" w:ascii="Times New Roman" w:hAnsi="Times New Roman" w:cs="Times New Roman"/>
                <w:b/>
                <w:bCs/>
                <w:sz w:val="24"/>
              </w:rPr>
            </w:pPr>
            <w:r>
              <w:rPr>
                <w:rFonts w:hint="default" w:ascii="Times New Roman" w:hAnsi="Times New Roman" w:cs="Times New Roman"/>
                <w:b/>
                <w:bCs/>
                <w:sz w:val="24"/>
              </w:rPr>
              <w:t>3、地下水环境</w:t>
            </w:r>
          </w:p>
          <w:p>
            <w:pPr>
              <w:adjustRightInd w:val="0"/>
              <w:snapToGrid w:val="0"/>
              <w:spacing w:line="360" w:lineRule="auto"/>
              <w:ind w:firstLine="480" w:firstLineChars="200"/>
              <w:rPr>
                <w:rFonts w:hint="default" w:ascii="Times New Roman" w:hAnsi="Times New Roman" w:cs="Times New Roman"/>
                <w:b/>
                <w:bCs/>
                <w:sz w:val="24"/>
              </w:rPr>
            </w:pPr>
            <w:r>
              <w:rPr>
                <w:rFonts w:hint="default" w:ascii="Times New Roman" w:hAnsi="Times New Roman" w:cs="Times New Roman"/>
                <w:snapToGrid w:val="0"/>
                <w:color w:val="auto"/>
                <w:kern w:val="0"/>
                <w:sz w:val="24"/>
                <w:szCs w:val="24"/>
                <w:lang w:val="en-US" w:eastAsia="zh-CN"/>
              </w:rPr>
              <w:t>根据工程分析，</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危险废物暂存间采取防渗，防渗系数≤1×10</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cm/s；脱硫系统内配套的沉淀池采取防渗，防渗系数≤1×10</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cm/s。采取措施后，对区域地下水环境质量不会造成明显的不利影响</w:t>
            </w:r>
            <w:r>
              <w:rPr>
                <w:rFonts w:hint="default" w:ascii="Times New Roman" w:hAnsi="Times New Roman" w:cs="Times New Roman"/>
                <w:snapToGrid w:val="0"/>
                <w:kern w:val="0"/>
                <w:sz w:val="24"/>
              </w:rPr>
              <w:t>。</w:t>
            </w:r>
          </w:p>
          <w:p>
            <w:pPr>
              <w:adjustRightInd w:val="0"/>
              <w:snapToGrid w:val="0"/>
              <w:spacing w:line="360" w:lineRule="auto"/>
              <w:ind w:firstLine="482" w:firstLineChars="200"/>
              <w:rPr>
                <w:rFonts w:hint="default" w:ascii="Times New Roman" w:hAnsi="Times New Roman" w:cs="Times New Roman"/>
                <w:b/>
                <w:bCs/>
                <w:sz w:val="24"/>
              </w:rPr>
            </w:pPr>
            <w:r>
              <w:rPr>
                <w:rFonts w:hint="default" w:ascii="Times New Roman" w:hAnsi="Times New Roman" w:cs="Times New Roman"/>
                <w:b/>
                <w:bCs/>
                <w:sz w:val="24"/>
              </w:rPr>
              <w:t>4、声环境</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cs="Times New Roman" w:eastAsiaTheme="minorEastAsia"/>
                <w:snapToGrid w:val="0"/>
                <w:color w:val="auto"/>
                <w:kern w:val="0"/>
                <w:sz w:val="24"/>
                <w:szCs w:val="24"/>
                <w:lang w:val="en-US" w:eastAsia="zh-CN"/>
              </w:rPr>
            </w:pPr>
            <w:r>
              <w:rPr>
                <w:rFonts w:hint="default" w:ascii="Times New Roman" w:hAnsi="Times New Roman" w:cs="Times New Roman"/>
                <w:snapToGrid w:val="0"/>
                <w:color w:val="auto"/>
                <w:kern w:val="0"/>
                <w:sz w:val="24"/>
                <w:szCs w:val="24"/>
                <w:lang w:val="en-US" w:eastAsia="zh-CN"/>
              </w:rPr>
              <w:t>厂界外周边50米范围存在声环境保护目标，因此委托辽宁鹏宇环境监测有限公司对区域声环境质量进行了监测，</w:t>
            </w:r>
            <w:r>
              <w:rPr>
                <w:rFonts w:hint="default" w:ascii="Times New Roman" w:hAnsi="Times New Roman" w:cs="Times New Roman"/>
                <w:snapToGrid w:val="0"/>
                <w:color w:val="auto"/>
                <w:kern w:val="0"/>
                <w:sz w:val="24"/>
                <w:lang w:val="en-US" w:eastAsia="zh-CN"/>
              </w:rPr>
              <w:t>并出具《木兰皇家农业综合示范区蒸汽供给项目环境质量现状监测》检测报告（字PY2302218-001号），</w:t>
            </w:r>
            <w:r>
              <w:rPr>
                <w:rFonts w:hint="default" w:ascii="Times New Roman" w:hAnsi="Times New Roman" w:cs="Times New Roman"/>
                <w:snapToGrid w:val="0"/>
                <w:kern w:val="0"/>
                <w:sz w:val="24"/>
                <w:lang w:val="en-US" w:eastAsia="zh-CN"/>
              </w:rPr>
              <w:t>监测结果</w:t>
            </w:r>
            <w:r>
              <w:rPr>
                <w:rFonts w:hint="default" w:ascii="Times New Roman" w:hAnsi="Times New Roman" w:cs="Times New Roman"/>
                <w:snapToGrid w:val="0"/>
                <w:kern w:val="0"/>
                <w:sz w:val="24"/>
              </w:rPr>
              <w:t>如下</w:t>
            </w:r>
            <w:r>
              <w:rPr>
                <w:rFonts w:hint="default" w:ascii="Times New Roman" w:hAnsi="Times New Roman" w:cs="Times New Roman"/>
                <w:snapToGrid w:val="0"/>
                <w:kern w:val="0"/>
                <w:sz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cs="Times New Roman"/>
                <w:snapToGrid w:val="0"/>
                <w:color w:val="auto"/>
                <w:kern w:val="0"/>
                <w:sz w:val="24"/>
                <w:szCs w:val="24"/>
                <w:lang w:val="en-US" w:eastAsia="zh-CN"/>
              </w:rPr>
            </w:pPr>
            <w:r>
              <w:rPr>
                <w:rFonts w:hint="default" w:ascii="Times New Roman" w:hAnsi="Times New Roman" w:cs="Times New Roman"/>
                <w:snapToGrid w:val="0"/>
                <w:color w:val="auto"/>
                <w:kern w:val="0"/>
                <w:sz w:val="24"/>
                <w:szCs w:val="24"/>
                <w:lang w:val="en-US" w:eastAsia="zh-CN"/>
              </w:rPr>
              <w:t>①监测点位</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cs="Times New Roman"/>
                <w:snapToGrid w:val="0"/>
                <w:color w:val="auto"/>
                <w:kern w:val="0"/>
                <w:sz w:val="24"/>
                <w:szCs w:val="24"/>
                <w:lang w:val="en-US" w:eastAsia="zh-CN"/>
              </w:rPr>
            </w:pPr>
            <w:r>
              <w:rPr>
                <w:rFonts w:hint="default" w:ascii="Times New Roman" w:hAnsi="Times New Roman" w:cs="Times New Roman"/>
                <w:snapToGrid w:val="0"/>
                <w:color w:val="auto"/>
                <w:kern w:val="0"/>
                <w:sz w:val="24"/>
                <w:szCs w:val="24"/>
                <w:lang w:val="en-US" w:eastAsia="zh-CN"/>
              </w:rPr>
              <w:t>ZS1#——司家窝铺。</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cs="Times New Roman"/>
                <w:snapToGrid w:val="0"/>
                <w:color w:val="auto"/>
                <w:kern w:val="0"/>
                <w:sz w:val="24"/>
                <w:szCs w:val="24"/>
                <w:lang w:val="en-US" w:eastAsia="zh-CN"/>
              </w:rPr>
            </w:pPr>
            <w:r>
              <w:rPr>
                <w:rFonts w:hint="default" w:ascii="Times New Roman" w:hAnsi="Times New Roman" w:cs="Times New Roman"/>
                <w:snapToGrid w:val="0"/>
                <w:color w:val="auto"/>
                <w:kern w:val="0"/>
                <w:sz w:val="24"/>
                <w:szCs w:val="24"/>
                <w:lang w:val="en-US" w:eastAsia="zh-CN"/>
              </w:rPr>
              <w:t>②监测因子</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cs="Times New Roman"/>
                <w:snapToGrid w:val="0"/>
                <w:color w:val="auto"/>
                <w:kern w:val="0"/>
                <w:sz w:val="24"/>
                <w:szCs w:val="24"/>
                <w:lang w:val="en-US" w:eastAsia="zh-CN"/>
              </w:rPr>
            </w:pPr>
            <w:r>
              <w:rPr>
                <w:rFonts w:hint="default" w:ascii="Times New Roman" w:hAnsi="Times New Roman" w:cs="Times New Roman"/>
                <w:snapToGrid w:val="0"/>
                <w:color w:val="auto"/>
                <w:kern w:val="0"/>
                <w:sz w:val="24"/>
                <w:szCs w:val="24"/>
                <w:lang w:val="en-US" w:eastAsia="zh-CN"/>
              </w:rPr>
              <w:t>等效连续A声级。</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cs="Times New Roman"/>
                <w:snapToGrid w:val="0"/>
                <w:color w:val="auto"/>
                <w:kern w:val="0"/>
                <w:sz w:val="24"/>
                <w:szCs w:val="24"/>
                <w:lang w:val="en-US" w:eastAsia="zh-CN"/>
              </w:rPr>
            </w:pPr>
            <w:r>
              <w:rPr>
                <w:rFonts w:hint="default" w:ascii="Times New Roman" w:hAnsi="Times New Roman" w:cs="Times New Roman"/>
                <w:snapToGrid w:val="0"/>
                <w:color w:val="auto"/>
                <w:kern w:val="0"/>
                <w:sz w:val="24"/>
                <w:szCs w:val="24"/>
                <w:lang w:val="en-US" w:eastAsia="zh-CN"/>
              </w:rPr>
              <w:t>③监测时间</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cs="Times New Roman"/>
                <w:snapToGrid w:val="0"/>
                <w:color w:val="auto"/>
                <w:kern w:val="0"/>
                <w:sz w:val="24"/>
                <w:szCs w:val="24"/>
                <w:lang w:val="en-US" w:eastAsia="zh-CN"/>
              </w:rPr>
            </w:pPr>
            <w:r>
              <w:rPr>
                <w:rFonts w:hint="default" w:ascii="Times New Roman" w:hAnsi="Times New Roman" w:cs="Times New Roman"/>
                <w:snapToGrid w:val="0"/>
                <w:color w:val="auto"/>
                <w:kern w:val="0"/>
                <w:sz w:val="24"/>
                <w:szCs w:val="24"/>
                <w:lang w:val="en-US" w:eastAsia="zh-CN"/>
              </w:rPr>
              <w:t>2023年2月8日，分别在昼夜两个时段测量，各监测点同步测量。</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cs="Times New Roman"/>
                <w:snapToGrid w:val="0"/>
                <w:color w:val="auto"/>
                <w:kern w:val="0"/>
                <w:sz w:val="24"/>
                <w:szCs w:val="24"/>
                <w:lang w:val="en-US" w:eastAsia="zh-CN"/>
              </w:rPr>
            </w:pPr>
            <w:r>
              <w:rPr>
                <w:rFonts w:hint="default" w:ascii="Times New Roman" w:hAnsi="Times New Roman" w:cs="Times New Roman"/>
                <w:snapToGrid w:val="0"/>
                <w:color w:val="auto"/>
                <w:kern w:val="0"/>
                <w:sz w:val="24"/>
                <w:szCs w:val="24"/>
                <w:lang w:val="en-US" w:eastAsia="zh-CN"/>
              </w:rPr>
              <w:t>④监测结果</w:t>
            </w:r>
          </w:p>
          <w:p>
            <w:pPr>
              <w:adjustRightInd w:val="0"/>
              <w:snapToGrid w:val="0"/>
              <w:spacing w:line="360" w:lineRule="auto"/>
              <w:ind w:firstLine="422" w:firstLineChars="200"/>
              <w:jc w:val="center"/>
              <w:rPr>
                <w:rFonts w:hint="default" w:ascii="Times New Roman" w:hAnsi="Times New Roman" w:cs="Times New Roman"/>
                <w:sz w:val="24"/>
              </w:rPr>
            </w:pPr>
            <w:r>
              <w:rPr>
                <w:rFonts w:hint="default" w:ascii="Times New Roman" w:hAnsi="Times New Roman" w:eastAsia="宋体" w:cs="Times New Roman"/>
                <w:b/>
                <w:bCs/>
                <w:color w:val="auto"/>
                <w:sz w:val="21"/>
                <w:szCs w:val="21"/>
                <w:lang w:val="en-US" w:eastAsia="zh-CN"/>
              </w:rPr>
              <w:t xml:space="preserve">表3-5   </w:t>
            </w:r>
            <w:r>
              <w:rPr>
                <w:rFonts w:hint="default" w:ascii="Times New Roman" w:hAnsi="Times New Roman" w:eastAsia="宋体" w:cs="Times New Roman"/>
                <w:b/>
                <w:bCs/>
                <w:color w:val="auto"/>
                <w:sz w:val="21"/>
                <w:szCs w:val="21"/>
              </w:rPr>
              <w:t>声环境质量现状监测结果</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164"/>
              <w:gridCol w:w="1316"/>
              <w:gridCol w:w="1361"/>
              <w:gridCol w:w="1896"/>
              <w:gridCol w:w="1534"/>
              <w:gridCol w:w="1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48" w:hRule="atLeast"/>
                <w:jc w:val="center"/>
              </w:trPr>
              <w:tc>
                <w:tcPr>
                  <w:tcW w:w="694" w:type="pct"/>
                  <w:noWrap w:val="0"/>
                  <w:vAlign w:val="center"/>
                </w:tcPr>
                <w:p>
                  <w:pPr>
                    <w:spacing w:line="32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检测点位</w:t>
                  </w:r>
                </w:p>
              </w:tc>
              <w:tc>
                <w:tcPr>
                  <w:tcW w:w="784" w:type="pct"/>
                  <w:noWrap w:val="0"/>
                  <w:vAlign w:val="center"/>
                </w:tcPr>
                <w:p>
                  <w:pPr>
                    <w:spacing w:line="32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检测时段</w:t>
                  </w:r>
                </w:p>
              </w:tc>
              <w:tc>
                <w:tcPr>
                  <w:tcW w:w="811" w:type="pct"/>
                  <w:noWrap w:val="0"/>
                  <w:vAlign w:val="center"/>
                </w:tcPr>
                <w:p>
                  <w:pPr>
                    <w:spacing w:line="32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检测时间</w:t>
                  </w:r>
                </w:p>
              </w:tc>
              <w:tc>
                <w:tcPr>
                  <w:tcW w:w="1130" w:type="pct"/>
                  <w:noWrap w:val="0"/>
                  <w:vAlign w:val="center"/>
                </w:tcPr>
                <w:p>
                  <w:pPr>
                    <w:spacing w:line="32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分析结果dB（A）</w:t>
                  </w:r>
                </w:p>
              </w:tc>
              <w:tc>
                <w:tcPr>
                  <w:tcW w:w="914" w:type="pct"/>
                  <w:noWrap w:val="0"/>
                  <w:vAlign w:val="center"/>
                </w:tcPr>
                <w:p>
                  <w:pPr>
                    <w:spacing w:line="32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执行标准dB（A）</w:t>
                  </w:r>
                </w:p>
              </w:tc>
              <w:tc>
                <w:tcPr>
                  <w:tcW w:w="664" w:type="pct"/>
                  <w:noWrap w:val="0"/>
                  <w:vAlign w:val="center"/>
                </w:tcPr>
                <w:p>
                  <w:pPr>
                    <w:spacing w:line="32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48" w:hRule="atLeast"/>
                <w:jc w:val="center"/>
              </w:trPr>
              <w:tc>
                <w:tcPr>
                  <w:tcW w:w="694" w:type="pct"/>
                  <w:vMerge w:val="restart"/>
                  <w:noWrap w:val="0"/>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司家窝铺村</w:t>
                  </w:r>
                </w:p>
              </w:tc>
              <w:tc>
                <w:tcPr>
                  <w:tcW w:w="784" w:type="pct"/>
                  <w:noWrap w:val="0"/>
                  <w:vAlign w:val="center"/>
                </w:tcPr>
                <w:p>
                  <w:pPr>
                    <w:adjustRightInd w:val="0"/>
                    <w:snapToGrid w:val="0"/>
                    <w:spacing w:line="320" w:lineRule="exact"/>
                    <w:jc w:val="center"/>
                    <w:rPr>
                      <w:rFonts w:hint="default" w:ascii="Times New Roman" w:hAnsi="Times New Roman" w:eastAsia="宋体" w:cs="Times New Roman"/>
                      <w:color w:val="auto"/>
                      <w:spacing w:val="-11"/>
                      <w:sz w:val="21"/>
                      <w:szCs w:val="21"/>
                    </w:rPr>
                  </w:pPr>
                  <w:r>
                    <w:rPr>
                      <w:rFonts w:hint="default" w:ascii="Times New Roman" w:hAnsi="Times New Roman" w:eastAsia="宋体" w:cs="Times New Roman"/>
                      <w:color w:val="auto"/>
                      <w:spacing w:val="-11"/>
                      <w:sz w:val="21"/>
                      <w:szCs w:val="21"/>
                    </w:rPr>
                    <w:t>昼间</w:t>
                  </w:r>
                </w:p>
              </w:tc>
              <w:tc>
                <w:tcPr>
                  <w:tcW w:w="811" w:type="pct"/>
                  <w:noWrap w:val="0"/>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2023.2.8</w:t>
                  </w:r>
                </w:p>
              </w:tc>
              <w:tc>
                <w:tcPr>
                  <w:tcW w:w="1130" w:type="pct"/>
                  <w:noWrap w:val="0"/>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50.4</w:t>
                  </w:r>
                </w:p>
              </w:tc>
              <w:tc>
                <w:tcPr>
                  <w:tcW w:w="914" w:type="pct"/>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w:t>
                  </w:r>
                </w:p>
              </w:tc>
              <w:tc>
                <w:tcPr>
                  <w:tcW w:w="664" w:type="pct"/>
                  <w:noWrap w:val="0"/>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8" w:hRule="atLeast"/>
                <w:jc w:val="center"/>
              </w:trPr>
              <w:tc>
                <w:tcPr>
                  <w:tcW w:w="694" w:type="pct"/>
                  <w:vMerge w:val="continue"/>
                  <w:noWrap w:val="0"/>
                  <w:vAlign w:val="center"/>
                </w:tcPr>
                <w:p>
                  <w:pPr>
                    <w:spacing w:line="320" w:lineRule="exact"/>
                    <w:jc w:val="center"/>
                    <w:rPr>
                      <w:rFonts w:hint="default" w:ascii="Times New Roman" w:hAnsi="Times New Roman" w:cs="Times New Roman"/>
                      <w:color w:val="auto"/>
                      <w:sz w:val="21"/>
                      <w:szCs w:val="21"/>
                      <w:lang w:eastAsia="zh-CN"/>
                    </w:rPr>
                  </w:pPr>
                </w:p>
              </w:tc>
              <w:tc>
                <w:tcPr>
                  <w:tcW w:w="784" w:type="pct"/>
                  <w:noWrap w:val="0"/>
                  <w:vAlign w:val="center"/>
                </w:tcPr>
                <w:p>
                  <w:pPr>
                    <w:adjustRightInd w:val="0"/>
                    <w:snapToGrid w:val="0"/>
                    <w:spacing w:line="320" w:lineRule="exact"/>
                    <w:jc w:val="center"/>
                    <w:rPr>
                      <w:rFonts w:hint="default" w:ascii="Times New Roman" w:hAnsi="Times New Roman" w:eastAsia="宋体" w:cs="Times New Roman"/>
                      <w:color w:val="auto"/>
                      <w:spacing w:val="-11"/>
                      <w:sz w:val="21"/>
                      <w:szCs w:val="21"/>
                    </w:rPr>
                  </w:pPr>
                  <w:r>
                    <w:rPr>
                      <w:rFonts w:hint="default" w:ascii="Times New Roman" w:hAnsi="Times New Roman" w:eastAsia="宋体" w:cs="Times New Roman"/>
                      <w:color w:val="auto"/>
                      <w:spacing w:val="-11"/>
                      <w:sz w:val="21"/>
                      <w:szCs w:val="21"/>
                      <w:lang w:eastAsia="zh-CN"/>
                    </w:rPr>
                    <w:t>夜</w:t>
                  </w:r>
                  <w:r>
                    <w:rPr>
                      <w:rFonts w:hint="default" w:ascii="Times New Roman" w:hAnsi="Times New Roman" w:eastAsia="宋体" w:cs="Times New Roman"/>
                      <w:color w:val="auto"/>
                      <w:spacing w:val="-11"/>
                      <w:sz w:val="21"/>
                      <w:szCs w:val="21"/>
                    </w:rPr>
                    <w:t>间</w:t>
                  </w:r>
                </w:p>
              </w:tc>
              <w:tc>
                <w:tcPr>
                  <w:tcW w:w="811" w:type="pct"/>
                  <w:noWrap w:val="0"/>
                  <w:vAlign w:val="center"/>
                </w:tcPr>
                <w:p>
                  <w:pPr>
                    <w:adjustRightInd w:val="0"/>
                    <w:snapToGrid w:val="0"/>
                    <w:spacing w:line="320" w:lineRule="exact"/>
                    <w:jc w:val="center"/>
                    <w:rPr>
                      <w:rFonts w:hint="default" w:ascii="Times New Roman" w:hAnsi="Times New Roman" w:eastAsia="宋体" w:cs="Times New Roman"/>
                      <w:color w:val="auto"/>
                      <w:spacing w:val="-11"/>
                      <w:kern w:val="2"/>
                      <w:sz w:val="21"/>
                      <w:szCs w:val="21"/>
                      <w:lang w:val="en-US" w:eastAsia="zh-CN" w:bidi="ar-SA"/>
                    </w:rPr>
                  </w:pPr>
                  <w:r>
                    <w:rPr>
                      <w:rFonts w:hint="default" w:ascii="Times New Roman" w:hAnsi="Times New Roman" w:eastAsia="宋体" w:cs="Times New Roman"/>
                      <w:color w:val="auto"/>
                      <w:spacing w:val="-11"/>
                      <w:kern w:val="2"/>
                      <w:sz w:val="21"/>
                      <w:szCs w:val="21"/>
                      <w:lang w:val="en-US" w:eastAsia="zh-CN" w:bidi="ar-SA"/>
                    </w:rPr>
                    <w:t>2023.2.8</w:t>
                  </w:r>
                </w:p>
              </w:tc>
              <w:tc>
                <w:tcPr>
                  <w:tcW w:w="1130" w:type="pct"/>
                  <w:noWrap w:val="0"/>
                  <w:vAlign w:val="center"/>
                </w:tcPr>
                <w:p>
                  <w:pPr>
                    <w:adjustRightInd w:val="0"/>
                    <w:snapToGrid w:val="0"/>
                    <w:spacing w:line="320" w:lineRule="exact"/>
                    <w:jc w:val="center"/>
                    <w:rPr>
                      <w:rFonts w:hint="default" w:ascii="Times New Roman" w:hAnsi="Times New Roman" w:eastAsia="宋体" w:cs="Times New Roman"/>
                      <w:color w:val="auto"/>
                      <w:spacing w:val="-11"/>
                      <w:kern w:val="2"/>
                      <w:sz w:val="21"/>
                      <w:szCs w:val="21"/>
                      <w:lang w:val="en-US" w:eastAsia="zh-CN" w:bidi="ar-SA"/>
                    </w:rPr>
                  </w:pPr>
                  <w:r>
                    <w:rPr>
                      <w:rFonts w:hint="default" w:ascii="Times New Roman" w:hAnsi="Times New Roman" w:eastAsia="宋体" w:cs="Times New Roman"/>
                      <w:color w:val="auto"/>
                      <w:spacing w:val="-11"/>
                      <w:kern w:val="2"/>
                      <w:sz w:val="21"/>
                      <w:szCs w:val="21"/>
                      <w:lang w:val="en-US" w:eastAsia="zh-CN" w:bidi="ar-SA"/>
                    </w:rPr>
                    <w:t>38.8</w:t>
                  </w:r>
                </w:p>
              </w:tc>
              <w:tc>
                <w:tcPr>
                  <w:tcW w:w="914" w:type="pct"/>
                  <w:noWrap w:val="0"/>
                  <w:vAlign w:val="center"/>
                </w:tcPr>
                <w:p>
                  <w:pPr>
                    <w:spacing w:line="32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c>
                <w:tcPr>
                  <w:tcW w:w="664" w:type="pct"/>
                  <w:noWrap w:val="0"/>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both"/>
              <w:textAlignment w:val="auto"/>
              <w:rPr>
                <w:rFonts w:hint="default" w:ascii="Times New Roman" w:hAnsi="Times New Roman" w:eastAsia="宋体" w:cs="Times New Roman"/>
                <w:sz w:val="24"/>
              </w:rPr>
            </w:pPr>
            <w:r>
              <w:rPr>
                <w:rFonts w:hint="default" w:ascii="Times New Roman" w:hAnsi="Times New Roman" w:eastAsia="宋体" w:cs="Times New Roman"/>
                <w:snapToGrid w:val="0"/>
                <w:color w:val="auto"/>
                <w:kern w:val="0"/>
                <w:sz w:val="24"/>
                <w:szCs w:val="24"/>
                <w:lang w:val="en-US" w:eastAsia="zh-CN"/>
              </w:rPr>
              <w:t>由上表可知，司家窝铺村声环境质量现状满足《声环境质量标准》（GB3096-2008）2类区标准。</w:t>
            </w:r>
          </w:p>
          <w:p>
            <w:pPr>
              <w:adjustRightInd w:val="0"/>
              <w:snapToGrid w:val="0"/>
              <w:spacing w:line="360" w:lineRule="auto"/>
              <w:ind w:firstLine="482" w:firstLineChars="200"/>
              <w:rPr>
                <w:rFonts w:hint="default" w:ascii="Times New Roman" w:hAnsi="Times New Roman" w:cs="Times New Roman"/>
                <w:b/>
                <w:bCs/>
                <w:sz w:val="24"/>
              </w:rPr>
            </w:pPr>
            <w:r>
              <w:rPr>
                <w:rFonts w:hint="default" w:ascii="Times New Roman" w:hAnsi="Times New Roman" w:cs="Times New Roman"/>
                <w:b/>
                <w:bCs/>
                <w:sz w:val="24"/>
              </w:rPr>
              <w:t>5、土壤环境</w:t>
            </w:r>
          </w:p>
          <w:p>
            <w:pPr>
              <w:adjustRightInd w:val="0"/>
              <w:snapToGrid w:val="0"/>
              <w:spacing w:line="360" w:lineRule="auto"/>
              <w:ind w:firstLine="480" w:firstLineChars="200"/>
              <w:rPr>
                <w:rFonts w:hint="default" w:ascii="Times New Roman" w:hAnsi="Times New Roman" w:cs="Times New Roman"/>
                <w:snapToGrid w:val="0"/>
                <w:kern w:val="0"/>
                <w:sz w:val="24"/>
              </w:rPr>
            </w:pPr>
            <w:r>
              <w:rPr>
                <w:rFonts w:hint="default" w:ascii="Times New Roman" w:hAnsi="Times New Roman" w:cs="Times New Roman"/>
                <w:snapToGrid w:val="0"/>
                <w:kern w:val="0"/>
                <w:sz w:val="24"/>
                <w:lang w:eastAsia="zh-CN"/>
              </w:rPr>
              <w:t>为了解项目区土壤环境质量</w:t>
            </w:r>
            <w:r>
              <w:rPr>
                <w:rFonts w:hint="default" w:ascii="Times New Roman" w:hAnsi="Times New Roman" w:cs="Times New Roman"/>
                <w:snapToGrid w:val="0"/>
                <w:kern w:val="0"/>
                <w:sz w:val="24"/>
              </w:rPr>
              <w:t>，公司委托</w:t>
            </w:r>
            <w:r>
              <w:rPr>
                <w:rFonts w:hint="default" w:ascii="Times New Roman" w:hAnsi="Times New Roman" w:cs="Times New Roman"/>
                <w:snapToGrid w:val="0"/>
                <w:kern w:val="0"/>
                <w:sz w:val="24"/>
                <w:lang w:val="en-US" w:eastAsia="zh-CN"/>
              </w:rPr>
              <w:t>辽宁鹏宇环境监测有限公司</w:t>
            </w:r>
            <w:r>
              <w:rPr>
                <w:rFonts w:hint="default" w:ascii="Times New Roman" w:hAnsi="Times New Roman" w:cs="Times New Roman"/>
                <w:snapToGrid w:val="0"/>
                <w:kern w:val="0"/>
                <w:sz w:val="24"/>
              </w:rPr>
              <w:t>对项目区域土壤环境质量现状进行监测，</w:t>
            </w:r>
            <w:r>
              <w:rPr>
                <w:rFonts w:hint="default" w:ascii="Times New Roman" w:hAnsi="Times New Roman" w:cs="Times New Roman"/>
                <w:snapToGrid w:val="0"/>
                <w:kern w:val="0"/>
                <w:sz w:val="24"/>
                <w:lang w:val="en-US" w:eastAsia="zh-CN"/>
              </w:rPr>
              <w:t>并出具《木兰皇家农业综合示范区蒸汽供给项目环境质量现状监测》检测报告（字PY2302218-001号），监测结果</w:t>
            </w:r>
            <w:r>
              <w:rPr>
                <w:rFonts w:hint="default" w:ascii="Times New Roman" w:hAnsi="Times New Roman" w:cs="Times New Roman"/>
                <w:snapToGrid w:val="0"/>
                <w:kern w:val="0"/>
                <w:sz w:val="24"/>
              </w:rPr>
              <w:t>如下：</w:t>
            </w:r>
          </w:p>
          <w:p>
            <w:pPr>
              <w:adjustRightInd w:val="0"/>
              <w:snapToGrid w:val="0"/>
              <w:spacing w:line="360" w:lineRule="auto"/>
              <w:ind w:firstLine="480" w:firstLineChars="200"/>
              <w:rPr>
                <w:rFonts w:hint="default" w:ascii="Times New Roman" w:hAnsi="Times New Roman" w:cs="Times New Roman"/>
                <w:snapToGrid w:val="0"/>
                <w:kern w:val="0"/>
                <w:sz w:val="24"/>
              </w:rPr>
            </w:pPr>
            <w:r>
              <w:rPr>
                <w:rFonts w:hint="default" w:ascii="Times New Roman" w:hAnsi="Times New Roman" w:cs="Times New Roman"/>
                <w:snapToGrid w:val="0"/>
                <w:kern w:val="0"/>
                <w:sz w:val="24"/>
              </w:rPr>
              <w:t>（1）监测点位</w:t>
            </w:r>
          </w:p>
          <w:p>
            <w:pPr>
              <w:adjustRightInd w:val="0"/>
              <w:snapToGrid w:val="0"/>
              <w:spacing w:line="360" w:lineRule="auto"/>
              <w:ind w:firstLine="480" w:firstLineChars="200"/>
              <w:rPr>
                <w:rFonts w:hint="default" w:ascii="Times New Roman" w:hAnsi="Times New Roman" w:cs="Times New Roman"/>
                <w:snapToGrid w:val="0"/>
                <w:kern w:val="0"/>
                <w:sz w:val="24"/>
              </w:rPr>
            </w:pPr>
            <w:r>
              <w:rPr>
                <w:rFonts w:hint="default" w:ascii="Times New Roman" w:hAnsi="Times New Roman" w:cs="Times New Roman"/>
                <w:snapToGrid w:val="0"/>
                <w:kern w:val="0"/>
                <w:sz w:val="24"/>
              </w:rPr>
              <w:t>Tr</w:t>
            </w:r>
            <w:r>
              <w:rPr>
                <w:rFonts w:hint="default" w:ascii="Times New Roman" w:hAnsi="Times New Roman" w:cs="Times New Roman"/>
                <w:snapToGrid w:val="0"/>
                <w:kern w:val="0"/>
                <w:sz w:val="24"/>
                <w:lang w:val="en-US" w:eastAsia="zh-CN"/>
              </w:rPr>
              <w:t>1</w:t>
            </w:r>
            <w:r>
              <w:rPr>
                <w:rFonts w:hint="default" w:ascii="Times New Roman" w:hAnsi="Times New Roman" w:cs="Times New Roman"/>
                <w:snapToGrid w:val="0"/>
                <w:kern w:val="0"/>
                <w:sz w:val="24"/>
              </w:rPr>
              <w:t>#（</w:t>
            </w:r>
            <w:r>
              <w:rPr>
                <w:rFonts w:hint="default" w:ascii="Times New Roman" w:hAnsi="Times New Roman" w:cs="Times New Roman"/>
                <w:snapToGrid w:val="0"/>
                <w:kern w:val="0"/>
                <w:sz w:val="24"/>
                <w:lang w:eastAsia="zh-CN"/>
              </w:rPr>
              <w:t>表层</w:t>
            </w:r>
            <w:r>
              <w:rPr>
                <w:rFonts w:hint="default" w:ascii="Times New Roman" w:hAnsi="Times New Roman" w:cs="Times New Roman"/>
                <w:snapToGrid w:val="0"/>
                <w:kern w:val="0"/>
                <w:sz w:val="24"/>
              </w:rPr>
              <w:t>样）——</w:t>
            </w:r>
            <w:r>
              <w:rPr>
                <w:rFonts w:hint="default" w:ascii="Times New Roman" w:hAnsi="Times New Roman" w:cs="Times New Roman"/>
                <w:snapToGrid w:val="0"/>
                <w:kern w:val="0"/>
                <w:sz w:val="24"/>
                <w:lang w:val="en-US" w:eastAsia="zh-CN"/>
              </w:rPr>
              <w:t>司家窝铺村</w:t>
            </w:r>
            <w:r>
              <w:rPr>
                <w:rFonts w:hint="default" w:ascii="Times New Roman" w:hAnsi="Times New Roman" w:cs="Times New Roman"/>
                <w:snapToGrid w:val="0"/>
                <w:kern w:val="0"/>
                <w:sz w:val="24"/>
              </w:rPr>
              <w:t>。</w:t>
            </w:r>
          </w:p>
          <w:p>
            <w:pPr>
              <w:numPr>
                <w:ilvl w:val="0"/>
                <w:numId w:val="7"/>
              </w:numPr>
              <w:adjustRightInd w:val="0"/>
              <w:snapToGrid w:val="0"/>
              <w:spacing w:line="360" w:lineRule="auto"/>
              <w:ind w:firstLine="480" w:firstLineChars="200"/>
              <w:rPr>
                <w:rFonts w:hint="default" w:ascii="Times New Roman" w:hAnsi="Times New Roman" w:cs="Times New Roman"/>
                <w:snapToGrid w:val="0"/>
                <w:kern w:val="0"/>
                <w:sz w:val="24"/>
              </w:rPr>
            </w:pPr>
            <w:r>
              <w:rPr>
                <w:rFonts w:hint="default" w:ascii="Times New Roman" w:hAnsi="Times New Roman" w:cs="Times New Roman"/>
                <w:snapToGrid w:val="0"/>
                <w:kern w:val="0"/>
                <w:sz w:val="24"/>
              </w:rPr>
              <w:t>监测因子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napToGrid w:val="0"/>
                <w:kern w:val="0"/>
                <w:sz w:val="24"/>
                <w:lang w:val="en-US" w:eastAsia="zh-CN"/>
              </w:rPr>
            </w:pPr>
            <w:r>
              <w:rPr>
                <w:rFonts w:hint="default" w:ascii="Times New Roman" w:hAnsi="Times New Roman" w:cs="Times New Roman"/>
                <w:snapToGrid w:val="0"/>
                <w:kern w:val="0"/>
                <w:sz w:val="24"/>
              </w:rPr>
              <w:t>pH、砷、镉、</w:t>
            </w:r>
            <w:r>
              <w:rPr>
                <w:rFonts w:hint="default" w:ascii="Times New Roman" w:hAnsi="Times New Roman" w:cs="Times New Roman"/>
                <w:snapToGrid w:val="0"/>
                <w:kern w:val="0"/>
                <w:sz w:val="24"/>
                <w:lang w:eastAsia="zh-CN"/>
              </w:rPr>
              <w:t>铬、</w:t>
            </w:r>
            <w:r>
              <w:rPr>
                <w:rFonts w:hint="default" w:ascii="Times New Roman" w:hAnsi="Times New Roman" w:cs="Times New Roman"/>
                <w:snapToGrid w:val="0"/>
                <w:kern w:val="0"/>
                <w:sz w:val="24"/>
              </w:rPr>
              <w:t>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w:t>
            </w:r>
            <w:r>
              <w:rPr>
                <w:rFonts w:hint="default" w:ascii="Times New Roman" w:hAnsi="Times New Roman" w:cs="Times New Roman"/>
                <w:snapToGrid w:val="0"/>
                <w:color w:val="auto"/>
                <w:kern w:val="0"/>
                <w:sz w:val="24"/>
              </w:rPr>
              <w:t>硝基苯、苯胺、2-氯酚、苯并[a]蒽、苯并[a]芘、苯并[b]荧蒽、苯并[k]荧蒽、䓛、二苯并[a,h]蒽、茚并[1,2,3-cd]芘、萘、</w:t>
            </w:r>
            <w:r>
              <w:rPr>
                <w:rFonts w:hint="default" w:ascii="Times New Roman" w:hAnsi="Times New Roman" w:cs="Times New Roman"/>
                <w:snapToGrid w:val="0"/>
                <w:kern w:val="0"/>
                <w:sz w:val="24"/>
              </w:rPr>
              <w:t>石油烃（C10-C40）</w:t>
            </w:r>
            <w:r>
              <w:rPr>
                <w:rFonts w:hint="default" w:ascii="Times New Roman" w:hAnsi="Times New Roman" w:cs="Times New Roman"/>
                <w:snapToGrid w:val="0"/>
                <w:kern w:val="0"/>
                <w:sz w:val="24"/>
                <w:lang w:eastAsia="zh-CN"/>
              </w:rPr>
              <w:t>、</w:t>
            </w:r>
            <w:r>
              <w:rPr>
                <w:rFonts w:hint="default" w:ascii="Times New Roman" w:hAnsi="Times New Roman" w:cs="Times New Roman"/>
                <w:snapToGrid w:val="0"/>
                <w:kern w:val="0"/>
                <w:sz w:val="24"/>
                <w:lang w:val="en-US" w:eastAsia="zh-CN"/>
              </w:rPr>
              <w:t>锌、钼、硒、铊、钡、银、锡、氟化物、</w:t>
            </w:r>
            <w:r>
              <w:rPr>
                <w:rFonts w:hint="default" w:ascii="Times New Roman" w:hAnsi="Times New Roman" w:cs="Times New Roman"/>
                <w:snapToGrid w:val="0"/>
                <w:color w:val="auto"/>
                <w:kern w:val="0"/>
                <w:sz w:val="24"/>
                <w:shd w:val="clear" w:color="auto" w:fill="auto"/>
                <w:lang w:val="en-US" w:eastAsia="zh-CN"/>
              </w:rPr>
              <w:t>氨氮</w:t>
            </w:r>
            <w:r>
              <w:rPr>
                <w:rFonts w:hint="default" w:ascii="Times New Roman" w:hAnsi="Times New Roman" w:cs="Times New Roman"/>
                <w:snapToGrid w:val="0"/>
                <w:kern w:val="0"/>
                <w:sz w:val="24"/>
                <w:lang w:val="en-US" w:eastAsia="zh-CN"/>
              </w:rPr>
              <w:t>。</w:t>
            </w:r>
          </w:p>
          <w:p>
            <w:pPr>
              <w:pStyle w:val="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kern w:val="0"/>
                <w:sz w:val="24"/>
                <w:szCs w:val="24"/>
                <w:lang w:val="en-US" w:eastAsia="zh-CN" w:bidi="ar-SA"/>
              </w:rPr>
            </w:pPr>
            <w:r>
              <w:rPr>
                <w:rFonts w:hint="default" w:ascii="Times New Roman" w:hAnsi="Times New Roman" w:eastAsia="宋体" w:cs="Times New Roman"/>
                <w:snapToGrid w:val="0"/>
                <w:kern w:val="0"/>
                <w:sz w:val="24"/>
                <w:szCs w:val="24"/>
                <w:lang w:val="en-US" w:eastAsia="zh-CN" w:bidi="ar-SA"/>
              </w:rPr>
              <w:t>（3）监测时间和频次</w:t>
            </w:r>
          </w:p>
          <w:p>
            <w:pPr>
              <w:pStyle w:val="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color w:val="auto"/>
                <w:kern w:val="0"/>
                <w:sz w:val="24"/>
                <w:szCs w:val="24"/>
                <w:lang w:val="en-US" w:eastAsia="zh-CN" w:bidi="ar-SA"/>
              </w:rPr>
            </w:pPr>
            <w:r>
              <w:rPr>
                <w:rFonts w:hint="default" w:ascii="Times New Roman" w:hAnsi="Times New Roman" w:eastAsia="宋体" w:cs="Times New Roman"/>
                <w:snapToGrid w:val="0"/>
                <w:color w:val="auto"/>
                <w:kern w:val="0"/>
                <w:sz w:val="24"/>
                <w:szCs w:val="24"/>
                <w:lang w:val="en-US" w:eastAsia="zh-CN" w:bidi="ar-SA"/>
              </w:rPr>
              <w:t>监测时间为2023年2月8日，监测1日，采样1次。</w:t>
            </w:r>
          </w:p>
          <w:p>
            <w:pPr>
              <w:pStyle w:val="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kern w:val="0"/>
                <w:sz w:val="24"/>
                <w:szCs w:val="24"/>
                <w:lang w:val="en-US" w:eastAsia="zh-CN" w:bidi="ar-SA"/>
              </w:rPr>
            </w:pPr>
            <w:r>
              <w:rPr>
                <w:rFonts w:hint="default" w:ascii="Times New Roman" w:hAnsi="Times New Roman" w:eastAsia="宋体" w:cs="Times New Roman"/>
                <w:snapToGrid w:val="0"/>
                <w:kern w:val="0"/>
                <w:sz w:val="24"/>
                <w:szCs w:val="24"/>
                <w:lang w:val="en-US" w:eastAsia="zh-CN" w:bidi="ar-SA"/>
              </w:rPr>
              <w:t>（4）评价因子与评价标准</w:t>
            </w:r>
          </w:p>
          <w:p>
            <w:pPr>
              <w:pStyle w:val="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kern w:val="0"/>
                <w:sz w:val="24"/>
                <w:szCs w:val="24"/>
                <w:lang w:val="en-US" w:eastAsia="zh-CN" w:bidi="ar-SA"/>
              </w:rPr>
            </w:pPr>
            <w:r>
              <w:rPr>
                <w:rFonts w:hint="default" w:ascii="Times New Roman" w:hAnsi="Times New Roman" w:eastAsia="宋体" w:cs="Times New Roman"/>
                <w:snapToGrid w:val="0"/>
                <w:kern w:val="0"/>
                <w:sz w:val="24"/>
                <w:szCs w:val="24"/>
                <w:lang w:val="en-US" w:eastAsia="zh-CN" w:bidi="ar-SA"/>
              </w:rPr>
              <w:t>本次评价因子同监测因子，评价标准采用《土壤环境质量 建设用地土壤污染风险管控标准（试行）》（GB 36600-2018）表1中第一类用地风险筛选值、《建设用地土壤污染风险筛选值》（DB13/T5216-2022）表1中第一类用地风险筛选值。</w:t>
            </w:r>
          </w:p>
          <w:p>
            <w:pPr>
              <w:pStyle w:val="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kern w:val="0"/>
                <w:sz w:val="24"/>
                <w:szCs w:val="24"/>
                <w:lang w:val="en-US" w:eastAsia="zh-CN" w:bidi="ar-SA"/>
              </w:rPr>
            </w:pPr>
            <w:r>
              <w:rPr>
                <w:rFonts w:hint="default" w:ascii="Times New Roman" w:hAnsi="Times New Roman" w:eastAsia="宋体" w:cs="Times New Roman"/>
                <w:snapToGrid w:val="0"/>
                <w:kern w:val="0"/>
                <w:sz w:val="24"/>
                <w:szCs w:val="24"/>
                <w:lang w:val="en-US" w:eastAsia="zh-CN" w:bidi="ar-SA"/>
              </w:rPr>
              <w:t>（5）监测结果统计</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jc w:val="center"/>
              <w:textAlignment w:val="auto"/>
              <w:rPr>
                <w:rFonts w:hint="default" w:ascii="Times New Roman" w:hAnsi="Times New Roman" w:cs="Times New Roman"/>
                <w:color w:val="auto"/>
              </w:rPr>
            </w:pPr>
            <w:r>
              <w:rPr>
                <w:rFonts w:hint="default" w:ascii="Times New Roman" w:hAnsi="Times New Roman" w:cs="Times New Roman"/>
                <w:b/>
                <w:bCs/>
                <w:color w:val="auto"/>
                <w:lang w:eastAsia="zh-CN"/>
              </w:rPr>
              <w:t>表</w:t>
            </w:r>
            <w:r>
              <w:rPr>
                <w:rFonts w:hint="default" w:ascii="Times New Roman" w:hAnsi="Times New Roman" w:cs="Times New Roman"/>
                <w:b/>
                <w:bCs/>
                <w:color w:val="auto"/>
                <w:lang w:val="en-US" w:eastAsia="zh-CN"/>
              </w:rPr>
              <w:t xml:space="preserve">3-6  </w:t>
            </w:r>
            <w:r>
              <w:rPr>
                <w:rFonts w:hint="default" w:ascii="Times New Roman" w:hAnsi="Times New Roman" w:cs="Times New Roman"/>
                <w:b/>
                <w:bCs/>
                <w:color w:val="auto"/>
              </w:rPr>
              <w:t>土壤现状评价结果一览表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5"/>
              <w:gridCol w:w="1441"/>
              <w:gridCol w:w="1441"/>
              <w:gridCol w:w="1512"/>
              <w:gridCol w:w="1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vMerge w:val="restart"/>
                  <w:tcBorders>
                    <w:top w:val="single" w:color="auto" w:sz="4" w:space="0"/>
                    <w:left w:val="single" w:color="auto" w:sz="4" w:space="0"/>
                    <w:right w:val="single" w:color="auto" w:sz="4" w:space="0"/>
                  </w:tcBorders>
                  <w:noWrap w:val="0"/>
                  <w:vAlign w:val="center"/>
                </w:tcPr>
                <w:p>
                  <w:pPr>
                    <w:keepNext w:val="0"/>
                    <w:keepLines w:val="0"/>
                    <w:pageBreakBefore w:val="0"/>
                    <w:tabs>
                      <w:tab w:val="left" w:pos="1255"/>
                    </w:tabs>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监测项目</w:t>
                  </w:r>
                </w:p>
              </w:tc>
              <w:tc>
                <w:tcPr>
                  <w:tcW w:w="859" w:type="pct"/>
                  <w:vMerge w:val="restart"/>
                  <w:tcBorders>
                    <w:top w:val="single" w:color="auto" w:sz="4" w:space="0"/>
                    <w:left w:val="single" w:color="auto" w:sz="4" w:space="0"/>
                    <w:right w:val="single" w:color="auto" w:sz="4" w:space="0"/>
                  </w:tcBorders>
                  <w:noWrap w:val="0"/>
                  <w:vAlign w:val="center"/>
                </w:tcPr>
                <w:p>
                  <w:pPr>
                    <w:keepNext w:val="0"/>
                    <w:keepLines w:val="0"/>
                    <w:pageBreakBefore w:val="0"/>
                    <w:tabs>
                      <w:tab w:val="left" w:pos="1255"/>
                    </w:tabs>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标准值</w:t>
                  </w:r>
                </w:p>
              </w:tc>
              <w:tc>
                <w:tcPr>
                  <w:tcW w:w="859" w:type="pct"/>
                  <w:vMerge w:val="restart"/>
                  <w:tcBorders>
                    <w:top w:val="single" w:color="auto" w:sz="4" w:space="0"/>
                    <w:left w:val="single" w:color="auto" w:sz="4" w:space="0"/>
                    <w:right w:val="single" w:color="auto" w:sz="4" w:space="0"/>
                  </w:tcBorders>
                  <w:noWrap w:val="0"/>
                  <w:vAlign w:val="center"/>
                </w:tcPr>
                <w:p>
                  <w:pPr>
                    <w:keepNext w:val="0"/>
                    <w:keepLines w:val="0"/>
                    <w:pageBreakBefore w:val="0"/>
                    <w:tabs>
                      <w:tab w:val="left" w:pos="1255"/>
                    </w:tabs>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单位</w:t>
                  </w:r>
                </w:p>
              </w:tc>
              <w:tc>
                <w:tcPr>
                  <w:tcW w:w="1983" w:type="pct"/>
                  <w:gridSpan w:val="2"/>
                  <w:tcBorders>
                    <w:top w:val="single" w:color="auto" w:sz="4" w:space="0"/>
                    <w:left w:val="single" w:color="auto" w:sz="4" w:space="0"/>
                    <w:right w:val="single" w:color="auto" w:sz="4" w:space="0"/>
                  </w:tcBorders>
                  <w:noWrap w:val="0"/>
                  <w:vAlign w:val="center"/>
                </w:tcPr>
                <w:p>
                  <w:pPr>
                    <w:keepNext w:val="0"/>
                    <w:keepLines w:val="0"/>
                    <w:pageBreakBefore w:val="0"/>
                    <w:widowControl w:val="0"/>
                    <w:tabs>
                      <w:tab w:val="left" w:pos="1255"/>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Tr1#（表层样）——项目占地范围外东南侧2302218TR001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vMerge w:val="continue"/>
                  <w:tcBorders>
                    <w:left w:val="single" w:color="auto" w:sz="4" w:space="0"/>
                    <w:right w:val="single" w:color="auto" w:sz="4" w:space="0"/>
                  </w:tcBorders>
                  <w:noWrap w:val="0"/>
                  <w:vAlign w:val="center"/>
                </w:tcPr>
                <w:p>
                  <w:pPr>
                    <w:keepNext w:val="0"/>
                    <w:keepLines w:val="0"/>
                    <w:pageBreakBefore w:val="0"/>
                    <w:tabs>
                      <w:tab w:val="left" w:pos="1255"/>
                    </w:tabs>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rPr>
                  </w:pPr>
                </w:p>
              </w:tc>
              <w:tc>
                <w:tcPr>
                  <w:tcW w:w="859" w:type="pct"/>
                  <w:vMerge w:val="continue"/>
                  <w:tcBorders>
                    <w:left w:val="single" w:color="auto" w:sz="4" w:space="0"/>
                    <w:right w:val="single" w:color="auto" w:sz="4" w:space="0"/>
                  </w:tcBorders>
                  <w:noWrap w:val="0"/>
                  <w:vAlign w:val="center"/>
                </w:tcPr>
                <w:p>
                  <w:pPr>
                    <w:keepNext w:val="0"/>
                    <w:keepLines w:val="0"/>
                    <w:pageBreakBefore w:val="0"/>
                    <w:tabs>
                      <w:tab w:val="left" w:pos="1255"/>
                    </w:tabs>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p>
              </w:tc>
              <w:tc>
                <w:tcPr>
                  <w:tcW w:w="859" w:type="pct"/>
                  <w:vMerge w:val="continue"/>
                  <w:tcBorders>
                    <w:left w:val="single" w:color="auto" w:sz="4" w:space="0"/>
                    <w:right w:val="single" w:color="auto" w:sz="4" w:space="0"/>
                  </w:tcBorders>
                  <w:noWrap w:val="0"/>
                  <w:vAlign w:val="center"/>
                </w:tcPr>
                <w:p>
                  <w:pPr>
                    <w:keepNext w:val="0"/>
                    <w:keepLines w:val="0"/>
                    <w:pageBreakBefore w:val="0"/>
                    <w:tabs>
                      <w:tab w:val="left" w:pos="1255"/>
                    </w:tabs>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lang w:eastAsia="zh-CN"/>
                    </w:rPr>
                  </w:pP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1255"/>
                    </w:tabs>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监测值</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1255"/>
                    </w:tabs>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标准指数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tabs>
                      <w:tab w:val="left" w:pos="1255"/>
                    </w:tabs>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pH</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tabs>
                      <w:tab w:val="left" w:pos="1255"/>
                    </w:tabs>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highlight w:val="none"/>
                      <w:vertAlign w:val="baseline"/>
                      <w:lang w:val="en-US" w:eastAsia="zh-CN"/>
                    </w:rPr>
                    <w:t>--</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sz w:val="21"/>
                      <w:szCs w:val="21"/>
                      <w:highlight w:val="none"/>
                      <w:vertAlign w:val="baseline"/>
                      <w:lang w:val="en-US" w:eastAsia="zh-CN"/>
                    </w:rPr>
                    <w:t>--</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1255"/>
                    </w:tabs>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砷</w:t>
                  </w:r>
                </w:p>
              </w:tc>
              <w:tc>
                <w:tcPr>
                  <w:tcW w:w="859" w:type="pct"/>
                  <w:tcBorders>
                    <w:top w:val="single" w:color="auto" w:sz="4" w:space="0"/>
                    <w:left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mg/kg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sz w:val="21"/>
                      <w:szCs w:val="21"/>
                      <w:highlight w:val="none"/>
                      <w:vertAlign w:val="baseline"/>
                      <w:lang w:val="en-US" w:eastAsia="zh-CN"/>
                    </w:rPr>
                    <w:t>4.62</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镉</w:t>
                  </w:r>
                </w:p>
              </w:tc>
              <w:tc>
                <w:tcPr>
                  <w:tcW w:w="859" w:type="pct"/>
                  <w:tcBorders>
                    <w:top w:val="single" w:color="auto" w:sz="4" w:space="0"/>
                    <w:left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mg/kg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sz w:val="21"/>
                      <w:szCs w:val="21"/>
                      <w:highlight w:val="none"/>
                      <w:vertAlign w:val="baseline"/>
                      <w:lang w:val="en-US" w:eastAsia="zh-CN"/>
                    </w:rPr>
                    <w:t>0.17</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0.0085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铬（六价）</w:t>
                  </w:r>
                </w:p>
              </w:tc>
              <w:tc>
                <w:tcPr>
                  <w:tcW w:w="859" w:type="pct"/>
                  <w:tcBorders>
                    <w:top w:val="single" w:color="auto" w:sz="4" w:space="0"/>
                    <w:left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mg/kg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bCs/>
                      <w:color w:val="auto"/>
                      <w:sz w:val="21"/>
                      <w:szCs w:val="21"/>
                      <w:highlight w:val="none"/>
                      <w:lang w:val="en-US" w:eastAsia="zh-CN"/>
                    </w:rPr>
                    <w:t>＜0.5</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铜</w:t>
                  </w:r>
                </w:p>
              </w:tc>
              <w:tc>
                <w:tcPr>
                  <w:tcW w:w="859" w:type="pct"/>
                  <w:tcBorders>
                    <w:top w:val="single" w:color="auto" w:sz="4" w:space="0"/>
                    <w:left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2000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mg/kg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sz w:val="21"/>
                      <w:szCs w:val="21"/>
                      <w:highlight w:val="none"/>
                      <w:vertAlign w:val="baseline"/>
                      <w:lang w:val="en-US" w:eastAsia="zh-CN"/>
                    </w:rPr>
                    <w:t>22</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铅</w:t>
                  </w:r>
                </w:p>
              </w:tc>
              <w:tc>
                <w:tcPr>
                  <w:tcW w:w="859" w:type="pct"/>
                  <w:tcBorders>
                    <w:top w:val="single" w:color="auto" w:sz="4" w:space="0"/>
                    <w:left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400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mg/kg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sz w:val="21"/>
                      <w:szCs w:val="21"/>
                      <w:highlight w:val="none"/>
                      <w:vertAlign w:val="baseline"/>
                      <w:lang w:val="en-US" w:eastAsia="zh-CN"/>
                    </w:rPr>
                    <w:t>27</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0.0675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汞</w:t>
                  </w:r>
                </w:p>
              </w:tc>
              <w:tc>
                <w:tcPr>
                  <w:tcW w:w="859" w:type="pct"/>
                  <w:tcBorders>
                    <w:top w:val="single" w:color="auto" w:sz="4" w:space="0"/>
                    <w:left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8</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mg/kg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sz w:val="21"/>
                      <w:szCs w:val="21"/>
                      <w:highlight w:val="none"/>
                      <w:vertAlign w:val="baseline"/>
                      <w:lang w:val="en-US" w:eastAsia="zh-CN"/>
                    </w:rPr>
                    <w:t>0.352</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镍</w:t>
                  </w:r>
                </w:p>
              </w:tc>
              <w:tc>
                <w:tcPr>
                  <w:tcW w:w="859" w:type="pct"/>
                  <w:tcBorders>
                    <w:top w:val="single" w:color="auto" w:sz="4" w:space="0"/>
                    <w:left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150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mg/kg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sz w:val="21"/>
                      <w:szCs w:val="21"/>
                      <w:highlight w:val="none"/>
                      <w:vertAlign w:val="baseline"/>
                      <w:lang w:val="en-US" w:eastAsia="zh-CN"/>
                    </w:rPr>
                    <w:t>33</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jc w:val="center"/>
                    <w:textAlignment w:val="center"/>
                    <w:rPr>
                      <w:rFonts w:hint="default" w:ascii="Times New Roman" w:hAnsi="Times New Roman" w:eastAsia="宋体" w:cs="Times New Roman"/>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四氯化碳</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900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eastAsia="zh-CN"/>
                    </w:rPr>
                    <w:t>μ</w:t>
                  </w:r>
                  <w:r>
                    <w:rPr>
                      <w:rFonts w:hint="default" w:ascii="Times New Roman" w:hAnsi="Times New Roman" w:eastAsia="宋体" w:cs="Times New Roman"/>
                      <w:color w:val="auto"/>
                      <w:sz w:val="21"/>
                      <w:szCs w:val="21"/>
                      <w:highlight w:val="none"/>
                    </w:rPr>
                    <w:t>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＜1.3</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氯仿</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eastAsia="zh-CN"/>
                    </w:rPr>
                    <w:t>μ</w:t>
                  </w:r>
                  <w:r>
                    <w:rPr>
                      <w:rFonts w:hint="default" w:ascii="Times New Roman" w:hAnsi="Times New Roman" w:eastAsia="宋体" w:cs="Times New Roman"/>
                      <w:color w:val="auto"/>
                      <w:sz w:val="21"/>
                      <w:szCs w:val="21"/>
                      <w:highlight w:val="none"/>
                    </w:rPr>
                    <w:t>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＜1.1</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氯甲烷</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12000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eastAsia="zh-CN"/>
                    </w:rPr>
                    <w:t>μ</w:t>
                  </w:r>
                  <w:r>
                    <w:rPr>
                      <w:rFonts w:hint="default" w:ascii="Times New Roman" w:hAnsi="Times New Roman" w:eastAsia="宋体" w:cs="Times New Roman"/>
                      <w:color w:val="auto"/>
                      <w:sz w:val="21"/>
                      <w:szCs w:val="21"/>
                      <w:highlight w:val="none"/>
                    </w:rPr>
                    <w:t>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＜1.0</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1,1-二氯乙烷</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3000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eastAsia="zh-CN"/>
                    </w:rPr>
                    <w:t>μ</w:t>
                  </w:r>
                  <w:r>
                    <w:rPr>
                      <w:rFonts w:hint="default" w:ascii="Times New Roman" w:hAnsi="Times New Roman" w:eastAsia="宋体" w:cs="Times New Roman"/>
                      <w:color w:val="auto"/>
                      <w:sz w:val="21"/>
                      <w:szCs w:val="21"/>
                      <w:highlight w:val="none"/>
                    </w:rPr>
                    <w:t>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＜1.2</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1,2-二氯乙烷</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520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eastAsia="zh-CN"/>
                    </w:rPr>
                    <w:t>μ</w:t>
                  </w:r>
                  <w:r>
                    <w:rPr>
                      <w:rFonts w:hint="default" w:ascii="Times New Roman" w:hAnsi="Times New Roman" w:eastAsia="宋体" w:cs="Times New Roman"/>
                      <w:color w:val="auto"/>
                      <w:sz w:val="21"/>
                      <w:szCs w:val="21"/>
                      <w:highlight w:val="none"/>
                    </w:rPr>
                    <w:t>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＜1.3</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1,1-二氯乙烯</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12000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eastAsia="zh-CN"/>
                    </w:rPr>
                    <w:t>μ</w:t>
                  </w:r>
                  <w:r>
                    <w:rPr>
                      <w:rFonts w:hint="default" w:ascii="Times New Roman" w:hAnsi="Times New Roman" w:eastAsia="宋体" w:cs="Times New Roman"/>
                      <w:color w:val="auto"/>
                      <w:sz w:val="21"/>
                      <w:szCs w:val="21"/>
                      <w:highlight w:val="none"/>
                    </w:rPr>
                    <w:t>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＜1.0</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顺式-1,2-二氯乙烯</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66000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eastAsia="zh-CN"/>
                    </w:rPr>
                    <w:t>μ</w:t>
                  </w:r>
                  <w:r>
                    <w:rPr>
                      <w:rFonts w:hint="default" w:ascii="Times New Roman" w:hAnsi="Times New Roman" w:eastAsia="宋体" w:cs="Times New Roman"/>
                      <w:color w:val="auto"/>
                      <w:sz w:val="21"/>
                      <w:szCs w:val="21"/>
                      <w:highlight w:val="none"/>
                    </w:rPr>
                    <w:t>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＜1.3</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反式-1,2-二氯乙烯</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10000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eastAsia="zh-CN"/>
                    </w:rPr>
                    <w:t>μ</w:t>
                  </w:r>
                  <w:r>
                    <w:rPr>
                      <w:rFonts w:hint="default" w:ascii="Times New Roman" w:hAnsi="Times New Roman" w:eastAsia="宋体" w:cs="Times New Roman"/>
                      <w:color w:val="auto"/>
                      <w:sz w:val="21"/>
                      <w:szCs w:val="21"/>
                      <w:highlight w:val="none"/>
                    </w:rPr>
                    <w:t>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＜1.4</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二氯甲烷</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94000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eastAsia="zh-CN"/>
                    </w:rPr>
                    <w:t>μ</w:t>
                  </w:r>
                  <w:r>
                    <w:rPr>
                      <w:rFonts w:hint="default" w:ascii="Times New Roman" w:hAnsi="Times New Roman" w:eastAsia="宋体" w:cs="Times New Roman"/>
                      <w:color w:val="auto"/>
                      <w:sz w:val="21"/>
                      <w:szCs w:val="21"/>
                      <w:highlight w:val="none"/>
                    </w:rPr>
                    <w:t>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＜1.5</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1,2-二氯丙烷</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eastAsia="zh-CN"/>
                    </w:rPr>
                    <w:t>μ</w:t>
                  </w:r>
                  <w:r>
                    <w:rPr>
                      <w:rFonts w:hint="default" w:ascii="Times New Roman" w:hAnsi="Times New Roman" w:eastAsia="宋体" w:cs="Times New Roman"/>
                      <w:color w:val="auto"/>
                      <w:sz w:val="21"/>
                      <w:szCs w:val="21"/>
                      <w:highlight w:val="none"/>
                    </w:rPr>
                    <w:t>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＜1.1</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1,1,1,2-四氯乙烷</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2600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eastAsia="zh-CN"/>
                    </w:rPr>
                    <w:t>μ</w:t>
                  </w:r>
                  <w:r>
                    <w:rPr>
                      <w:rFonts w:hint="default" w:ascii="Times New Roman" w:hAnsi="Times New Roman" w:eastAsia="宋体" w:cs="Times New Roman"/>
                      <w:color w:val="auto"/>
                      <w:sz w:val="21"/>
                      <w:szCs w:val="21"/>
                      <w:highlight w:val="none"/>
                    </w:rPr>
                    <w:t>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＜1.2</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1,1,2,2-四氯乙烷</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1600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highlight w:val="yellow"/>
                      <w:vertAlign w:val="baseline"/>
                      <w:lang w:val="en-US" w:eastAsia="zh-CN" w:bidi="ar-SA"/>
                    </w:rPr>
                  </w:pPr>
                  <w:r>
                    <w:rPr>
                      <w:rFonts w:hint="default" w:ascii="Times New Roman" w:hAnsi="Times New Roman" w:eastAsia="宋体" w:cs="Times New Roman"/>
                      <w:color w:val="auto"/>
                      <w:sz w:val="21"/>
                      <w:szCs w:val="21"/>
                      <w:highlight w:val="none"/>
                      <w:lang w:eastAsia="zh-CN"/>
                    </w:rPr>
                    <w:t>μ</w:t>
                  </w:r>
                  <w:r>
                    <w:rPr>
                      <w:rFonts w:hint="default" w:ascii="Times New Roman" w:hAnsi="Times New Roman" w:eastAsia="宋体" w:cs="Times New Roman"/>
                      <w:color w:val="auto"/>
                      <w:sz w:val="21"/>
                      <w:szCs w:val="21"/>
                      <w:highlight w:val="none"/>
                    </w:rPr>
                    <w:t>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＜1.2</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四氯乙烯</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11000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eastAsia="zh-CN"/>
                    </w:rPr>
                    <w:t>μ</w:t>
                  </w:r>
                  <w:r>
                    <w:rPr>
                      <w:rFonts w:hint="default" w:ascii="Times New Roman" w:hAnsi="Times New Roman" w:eastAsia="宋体" w:cs="Times New Roman"/>
                      <w:color w:val="auto"/>
                      <w:sz w:val="21"/>
                      <w:szCs w:val="21"/>
                      <w:highlight w:val="none"/>
                    </w:rPr>
                    <w:t>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＜1.2</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1,1,1-三氯乙烷</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701000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eastAsia="zh-CN"/>
                    </w:rPr>
                    <w:t>μ</w:t>
                  </w:r>
                  <w:r>
                    <w:rPr>
                      <w:rFonts w:hint="default" w:ascii="Times New Roman" w:hAnsi="Times New Roman" w:eastAsia="宋体" w:cs="Times New Roman"/>
                      <w:color w:val="auto"/>
                      <w:sz w:val="21"/>
                      <w:szCs w:val="21"/>
                      <w:highlight w:val="none"/>
                    </w:rPr>
                    <w:t>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＜1.3</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1,1,2-三氯乙烷</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600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eastAsia="zh-CN"/>
                    </w:rPr>
                    <w:t>μ</w:t>
                  </w:r>
                  <w:r>
                    <w:rPr>
                      <w:rFonts w:hint="default" w:ascii="Times New Roman" w:hAnsi="Times New Roman" w:eastAsia="宋体" w:cs="Times New Roman"/>
                      <w:color w:val="auto"/>
                      <w:sz w:val="21"/>
                      <w:szCs w:val="21"/>
                      <w:highlight w:val="none"/>
                    </w:rPr>
                    <w:t>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＜1.2</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三氯乙烯</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700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eastAsia="zh-CN"/>
                    </w:rPr>
                    <w:t>μ</w:t>
                  </w:r>
                  <w:r>
                    <w:rPr>
                      <w:rFonts w:hint="default" w:ascii="Times New Roman" w:hAnsi="Times New Roman" w:eastAsia="宋体" w:cs="Times New Roman"/>
                      <w:color w:val="auto"/>
                      <w:sz w:val="21"/>
                      <w:szCs w:val="21"/>
                      <w:highlight w:val="none"/>
                    </w:rPr>
                    <w:t>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＜1.2</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1,2,3-三氯丙烷</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μ</w:t>
                  </w:r>
                  <w:r>
                    <w:rPr>
                      <w:rFonts w:hint="default" w:ascii="Times New Roman" w:hAnsi="Times New Roman" w:eastAsia="宋体" w:cs="Times New Roman"/>
                      <w:color w:val="auto"/>
                      <w:sz w:val="21"/>
                      <w:szCs w:val="21"/>
                      <w:highlight w:val="none"/>
                    </w:rPr>
                    <w:t>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＜1.2</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氯乙烯</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eastAsia="zh-CN"/>
                    </w:rPr>
                    <w:t>μ</w:t>
                  </w:r>
                  <w:r>
                    <w:rPr>
                      <w:rFonts w:hint="default" w:ascii="Times New Roman" w:hAnsi="Times New Roman" w:eastAsia="宋体" w:cs="Times New Roman"/>
                      <w:color w:val="auto"/>
                      <w:sz w:val="21"/>
                      <w:szCs w:val="21"/>
                      <w:highlight w:val="none"/>
                    </w:rPr>
                    <w:t>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＜1.0</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苯</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eastAsia="zh-CN"/>
                    </w:rPr>
                    <w:t>μ</w:t>
                  </w:r>
                  <w:r>
                    <w:rPr>
                      <w:rFonts w:hint="default" w:ascii="Times New Roman" w:hAnsi="Times New Roman" w:eastAsia="宋体" w:cs="Times New Roman"/>
                      <w:color w:val="auto"/>
                      <w:sz w:val="21"/>
                      <w:szCs w:val="21"/>
                      <w:highlight w:val="none"/>
                    </w:rPr>
                    <w:t>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＜1.9</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氯苯</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68000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eastAsia="zh-CN"/>
                    </w:rPr>
                    <w:t>μ</w:t>
                  </w:r>
                  <w:r>
                    <w:rPr>
                      <w:rFonts w:hint="default" w:ascii="Times New Roman" w:hAnsi="Times New Roman" w:eastAsia="宋体" w:cs="Times New Roman"/>
                      <w:color w:val="auto"/>
                      <w:sz w:val="21"/>
                      <w:szCs w:val="21"/>
                      <w:highlight w:val="none"/>
                    </w:rPr>
                    <w:t>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＜1.2</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1,2-二氯苯</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560000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eastAsia="zh-CN"/>
                    </w:rPr>
                    <w:t>μ</w:t>
                  </w:r>
                  <w:r>
                    <w:rPr>
                      <w:rFonts w:hint="default" w:ascii="Times New Roman" w:hAnsi="Times New Roman" w:eastAsia="宋体" w:cs="Times New Roman"/>
                      <w:color w:val="auto"/>
                      <w:sz w:val="21"/>
                      <w:szCs w:val="21"/>
                      <w:highlight w:val="none"/>
                    </w:rPr>
                    <w:t>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＜1.5</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1,4-二氯苯</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5600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eastAsia="zh-CN"/>
                    </w:rPr>
                    <w:t>μ</w:t>
                  </w:r>
                  <w:r>
                    <w:rPr>
                      <w:rFonts w:hint="default" w:ascii="Times New Roman" w:hAnsi="Times New Roman" w:eastAsia="宋体" w:cs="Times New Roman"/>
                      <w:color w:val="auto"/>
                      <w:sz w:val="21"/>
                      <w:szCs w:val="21"/>
                      <w:highlight w:val="none"/>
                    </w:rPr>
                    <w:t>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＜1.5</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乙苯</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7200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eastAsia="zh-CN"/>
                    </w:rPr>
                    <w:t>μ</w:t>
                  </w:r>
                  <w:r>
                    <w:rPr>
                      <w:rFonts w:hint="default" w:ascii="Times New Roman" w:hAnsi="Times New Roman" w:eastAsia="宋体" w:cs="Times New Roman"/>
                      <w:color w:val="auto"/>
                      <w:sz w:val="21"/>
                      <w:szCs w:val="21"/>
                      <w:highlight w:val="none"/>
                    </w:rPr>
                    <w:t>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＜1.2</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苯乙烯</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1290000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eastAsia="zh-CN"/>
                    </w:rPr>
                    <w:t>μ</w:t>
                  </w:r>
                  <w:r>
                    <w:rPr>
                      <w:rFonts w:hint="default" w:ascii="Times New Roman" w:hAnsi="Times New Roman" w:eastAsia="宋体" w:cs="Times New Roman"/>
                      <w:color w:val="auto"/>
                      <w:sz w:val="21"/>
                      <w:szCs w:val="21"/>
                      <w:highlight w:val="none"/>
                    </w:rPr>
                    <w:t>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＜1.1</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甲苯</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1200000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eastAsia="zh-CN"/>
                    </w:rPr>
                    <w:t>μ</w:t>
                  </w:r>
                  <w:r>
                    <w:rPr>
                      <w:rFonts w:hint="default" w:ascii="Times New Roman" w:hAnsi="Times New Roman" w:eastAsia="宋体" w:cs="Times New Roman"/>
                      <w:color w:val="auto"/>
                      <w:sz w:val="21"/>
                      <w:szCs w:val="21"/>
                      <w:highlight w:val="none"/>
                    </w:rPr>
                    <w:t>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＜1.3</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间二甲苯+对二甲苯</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163000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eastAsia="zh-CN"/>
                    </w:rPr>
                    <w:t>μ</w:t>
                  </w:r>
                  <w:r>
                    <w:rPr>
                      <w:rFonts w:hint="default" w:ascii="Times New Roman" w:hAnsi="Times New Roman" w:eastAsia="宋体" w:cs="Times New Roman"/>
                      <w:color w:val="auto"/>
                      <w:sz w:val="21"/>
                      <w:szCs w:val="21"/>
                      <w:highlight w:val="none"/>
                    </w:rPr>
                    <w:t>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＜1.2</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邻二甲苯</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222000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eastAsia="zh-CN"/>
                    </w:rPr>
                    <w:t>μ</w:t>
                  </w:r>
                  <w:r>
                    <w:rPr>
                      <w:rFonts w:hint="default" w:ascii="Times New Roman" w:hAnsi="Times New Roman" w:eastAsia="宋体" w:cs="Times New Roman"/>
                      <w:color w:val="auto"/>
                      <w:sz w:val="21"/>
                      <w:szCs w:val="21"/>
                      <w:highlight w:val="none"/>
                    </w:rPr>
                    <w:t>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＜1.2</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硝基苯</w:t>
                  </w:r>
                </w:p>
              </w:tc>
              <w:tc>
                <w:tcPr>
                  <w:tcW w:w="859" w:type="pct"/>
                  <w:tcBorders>
                    <w:top w:val="single" w:color="auto" w:sz="4" w:space="0"/>
                    <w:left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34</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mg/kg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＜0.09</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rPr>
                    <w:t>苯胺</w:t>
                  </w:r>
                </w:p>
              </w:tc>
              <w:tc>
                <w:tcPr>
                  <w:tcW w:w="859" w:type="pct"/>
                  <w:tcBorders>
                    <w:top w:val="single" w:color="auto" w:sz="4" w:space="0"/>
                    <w:left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92</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mg/kg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＜0.09</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shd w:val="clear" w:color="auto" w:fill="auto"/>
                      <w:lang w:val="en-US" w:eastAsia="zh-CN" w:bidi="ar-SA"/>
                    </w:rPr>
                  </w:pPr>
                  <w:r>
                    <w:rPr>
                      <w:rFonts w:hint="default" w:ascii="Times New Roman" w:hAnsi="Times New Roman" w:eastAsia="宋体" w:cs="Times New Roman"/>
                      <w:b w:val="0"/>
                      <w:bCs w:val="0"/>
                      <w:color w:val="auto"/>
                      <w:sz w:val="21"/>
                      <w:szCs w:val="21"/>
                      <w:highlight w:val="none"/>
                      <w:shd w:val="clear" w:color="auto" w:fill="auto"/>
                      <w:lang w:val="en-US" w:eastAsia="zh-CN"/>
                    </w:rPr>
                    <w:t>2-氯苯酚</w:t>
                  </w:r>
                </w:p>
              </w:tc>
              <w:tc>
                <w:tcPr>
                  <w:tcW w:w="859" w:type="pct"/>
                  <w:tcBorders>
                    <w:top w:val="single" w:color="auto" w:sz="4" w:space="0"/>
                    <w:left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eastAsia="宋体" w:cs="Times New Roman"/>
                      <w:color w:val="auto"/>
                      <w:kern w:val="2"/>
                      <w:sz w:val="21"/>
                      <w:szCs w:val="21"/>
                      <w:shd w:val="clear" w:color="auto" w:fill="auto"/>
                      <w:lang w:val="en-US" w:eastAsia="zh-CN" w:bidi="ar-SA"/>
                    </w:rPr>
                    <w:t>250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b w:val="0"/>
                      <w:bCs w:val="0"/>
                      <w:color w:val="auto"/>
                      <w:kern w:val="2"/>
                      <w:sz w:val="21"/>
                      <w:szCs w:val="21"/>
                      <w:highlight w:val="none"/>
                      <w:shd w:val="clear" w:color="auto" w:fill="auto"/>
                      <w:lang w:val="en-US" w:eastAsia="zh-CN" w:bidi="ar-SA"/>
                    </w:rPr>
                    <w:t>mg/kg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shd w:val="clear" w:color="auto" w:fill="auto"/>
                      <w:lang w:val="en-US" w:eastAsia="zh-CN" w:bidi="ar-SA"/>
                    </w:rPr>
                  </w:pPr>
                  <w:r>
                    <w:rPr>
                      <w:rFonts w:hint="default" w:ascii="Times New Roman" w:hAnsi="Times New Roman" w:eastAsia="宋体" w:cs="Times New Roman"/>
                      <w:b w:val="0"/>
                      <w:bCs w:val="0"/>
                      <w:color w:val="auto"/>
                      <w:kern w:val="2"/>
                      <w:sz w:val="21"/>
                      <w:szCs w:val="21"/>
                      <w:highlight w:val="none"/>
                      <w:shd w:val="clear" w:color="auto" w:fill="auto"/>
                      <w:lang w:val="en-US" w:eastAsia="zh-CN" w:bidi="ar-SA"/>
                    </w:rPr>
                    <w:t>＜0.06</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shd w:val="clear" w:color="auto" w:fill="auto"/>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shd w:val="clear" w:color="auto" w:fill="auto"/>
                      <w:lang w:val="en-US" w:eastAsia="zh-CN" w:bidi="ar-SA"/>
                    </w:rPr>
                  </w:pPr>
                  <w:r>
                    <w:rPr>
                      <w:rFonts w:hint="default" w:ascii="Times New Roman" w:hAnsi="Times New Roman" w:eastAsia="宋体" w:cs="Times New Roman"/>
                      <w:b w:val="0"/>
                      <w:bCs w:val="0"/>
                      <w:color w:val="auto"/>
                      <w:sz w:val="21"/>
                      <w:szCs w:val="21"/>
                      <w:highlight w:val="none"/>
                      <w:shd w:val="clear" w:color="auto" w:fill="auto"/>
                      <w:lang w:val="en-US" w:eastAsia="zh-CN"/>
                    </w:rPr>
                    <w:t>苯并［a］蒽</w:t>
                  </w:r>
                </w:p>
              </w:tc>
              <w:tc>
                <w:tcPr>
                  <w:tcW w:w="859" w:type="pct"/>
                  <w:tcBorders>
                    <w:top w:val="single" w:color="auto" w:sz="4" w:space="0"/>
                    <w:left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eastAsia="宋体" w:cs="Times New Roman"/>
                      <w:color w:val="auto"/>
                      <w:kern w:val="2"/>
                      <w:sz w:val="21"/>
                      <w:szCs w:val="21"/>
                      <w:shd w:val="clear" w:color="auto" w:fill="auto"/>
                      <w:lang w:val="en-US" w:eastAsia="zh-CN" w:bidi="ar-SA"/>
                    </w:rPr>
                    <w:t>5.5</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shd w:val="clear" w:color="auto" w:fill="auto"/>
                      <w:vertAlign w:val="baseline"/>
                      <w:lang w:val="en-US" w:eastAsia="zh-CN" w:bidi="ar-SA"/>
                    </w:rPr>
                  </w:pPr>
                  <w:r>
                    <w:rPr>
                      <w:rFonts w:hint="default" w:ascii="Times New Roman" w:hAnsi="Times New Roman" w:eastAsia="宋体" w:cs="Times New Roman"/>
                      <w:b w:val="0"/>
                      <w:bCs w:val="0"/>
                      <w:color w:val="auto"/>
                      <w:kern w:val="2"/>
                      <w:sz w:val="21"/>
                      <w:szCs w:val="21"/>
                      <w:highlight w:val="none"/>
                      <w:shd w:val="clear" w:color="auto" w:fill="auto"/>
                      <w:lang w:val="en-US" w:eastAsia="zh-CN" w:bidi="ar-SA"/>
                    </w:rPr>
                    <w:t>mg/kg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shd w:val="clear" w:color="auto" w:fill="auto"/>
                      <w:lang w:val="en-US" w:eastAsia="zh-CN" w:bidi="ar-SA"/>
                    </w:rPr>
                  </w:pPr>
                  <w:r>
                    <w:rPr>
                      <w:rFonts w:hint="default" w:ascii="Times New Roman" w:hAnsi="Times New Roman" w:eastAsia="宋体" w:cs="Times New Roman"/>
                      <w:b w:val="0"/>
                      <w:bCs w:val="0"/>
                      <w:color w:val="auto"/>
                      <w:kern w:val="2"/>
                      <w:sz w:val="21"/>
                      <w:szCs w:val="21"/>
                      <w:highlight w:val="none"/>
                      <w:shd w:val="clear" w:color="auto" w:fill="auto"/>
                      <w:lang w:val="en-US" w:eastAsia="zh-CN" w:bidi="ar-SA"/>
                    </w:rPr>
                    <w:t>＜0.1</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shd w:val="clear" w:color="auto" w:fill="auto"/>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rPr>
                    <w:t>苯并［a］芘</w:t>
                  </w:r>
                </w:p>
              </w:tc>
              <w:tc>
                <w:tcPr>
                  <w:tcW w:w="859" w:type="pct"/>
                  <w:tcBorders>
                    <w:top w:val="single" w:color="auto" w:sz="4" w:space="0"/>
                    <w:left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0.55</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mg/kg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＜0.1</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rPr>
                    <w:t>苯并［b］荧蒽</w:t>
                  </w:r>
                </w:p>
              </w:tc>
              <w:tc>
                <w:tcPr>
                  <w:tcW w:w="859" w:type="pct"/>
                  <w:tcBorders>
                    <w:top w:val="single" w:color="auto" w:sz="4" w:space="0"/>
                    <w:left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5.5</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mg/kg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240" w:lineRule="auto"/>
                    <w:ind w:left="0" w:leftChars="0"/>
                    <w:jc w:val="center"/>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bCs/>
                      <w:color w:val="auto"/>
                      <w:sz w:val="21"/>
                      <w:szCs w:val="21"/>
                      <w:highlight w:val="none"/>
                      <w:lang w:val="en-US" w:eastAsia="zh-CN"/>
                    </w:rPr>
                    <w:t>＜0.2</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rPr>
                    <w:t>苯并［k］荧蒽</w:t>
                  </w:r>
                </w:p>
              </w:tc>
              <w:tc>
                <w:tcPr>
                  <w:tcW w:w="859" w:type="pct"/>
                  <w:tcBorders>
                    <w:top w:val="single" w:color="auto" w:sz="4" w:space="0"/>
                    <w:left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55</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mg/kg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240" w:lineRule="auto"/>
                    <w:jc w:val="center"/>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bCs/>
                      <w:color w:val="auto"/>
                      <w:sz w:val="21"/>
                      <w:szCs w:val="21"/>
                      <w:highlight w:val="none"/>
                      <w:lang w:val="en-US" w:eastAsia="zh-CN"/>
                    </w:rPr>
                    <w:t>＜0.1</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rPr>
                    <w:t>䓛</w:t>
                  </w:r>
                </w:p>
              </w:tc>
              <w:tc>
                <w:tcPr>
                  <w:tcW w:w="859" w:type="pct"/>
                  <w:tcBorders>
                    <w:top w:val="single" w:color="auto" w:sz="4" w:space="0"/>
                    <w:left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490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mg/kg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＜0.1</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rPr>
                    <w:t>二苯并［a,h］蒽</w:t>
                  </w:r>
                </w:p>
              </w:tc>
              <w:tc>
                <w:tcPr>
                  <w:tcW w:w="859" w:type="pct"/>
                  <w:tcBorders>
                    <w:top w:val="single" w:color="auto" w:sz="4" w:space="0"/>
                    <w:left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0.55</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mg/kg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＜0.1</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rPr>
                    <w:t>茚并［1,2,3-cd］芘</w:t>
                  </w:r>
                </w:p>
              </w:tc>
              <w:tc>
                <w:tcPr>
                  <w:tcW w:w="859" w:type="pct"/>
                  <w:tcBorders>
                    <w:top w:val="single" w:color="auto" w:sz="4" w:space="0"/>
                    <w:left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5.5</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mg/kg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＜0.1</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sz w:val="21"/>
                      <w:szCs w:val="21"/>
                      <w:highlight w:val="none"/>
                      <w:lang w:val="en-US" w:eastAsia="zh-CN"/>
                    </w:rPr>
                    <w:t>萘</w:t>
                  </w:r>
                </w:p>
              </w:tc>
              <w:tc>
                <w:tcPr>
                  <w:tcW w:w="859" w:type="pct"/>
                  <w:tcBorders>
                    <w:top w:val="single" w:color="auto" w:sz="4" w:space="0"/>
                    <w:left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25</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mg/kg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＜0.09</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石油烃（C</w:t>
                  </w:r>
                  <w:r>
                    <w:rPr>
                      <w:rFonts w:hint="default" w:ascii="Times New Roman" w:hAnsi="Times New Roman" w:eastAsia="宋体" w:cs="Times New Roman"/>
                      <w:sz w:val="21"/>
                      <w:szCs w:val="21"/>
                      <w:vertAlign w:val="subscript"/>
                      <w:lang w:val="en-US" w:eastAsia="zh-CN"/>
                    </w:rPr>
                    <w:t>10</w:t>
                  </w:r>
                  <w:r>
                    <w:rPr>
                      <w:rFonts w:hint="default" w:ascii="Times New Roman" w:hAnsi="Times New Roman" w:eastAsia="宋体" w:cs="Times New Roman"/>
                      <w:sz w:val="21"/>
                      <w:szCs w:val="21"/>
                      <w:lang w:val="en-US" w:eastAsia="zh-CN"/>
                    </w:rPr>
                    <w:t>-C</w:t>
                  </w:r>
                  <w:r>
                    <w:rPr>
                      <w:rFonts w:hint="default" w:ascii="Times New Roman" w:hAnsi="Times New Roman" w:eastAsia="宋体" w:cs="Times New Roman"/>
                      <w:sz w:val="21"/>
                      <w:szCs w:val="21"/>
                      <w:vertAlign w:val="subscript"/>
                      <w:lang w:val="en-US" w:eastAsia="zh-CN"/>
                    </w:rPr>
                    <w:t>40</w:t>
                  </w:r>
                  <w:r>
                    <w:rPr>
                      <w:rFonts w:hint="default" w:ascii="Times New Roman" w:hAnsi="Times New Roman" w:eastAsia="宋体" w:cs="Times New Roman"/>
                      <w:sz w:val="21"/>
                      <w:szCs w:val="21"/>
                      <w:lang w:val="en-US" w:eastAsia="zh-CN"/>
                    </w:rPr>
                    <w:t>）</w:t>
                  </w:r>
                </w:p>
              </w:tc>
              <w:tc>
                <w:tcPr>
                  <w:tcW w:w="859" w:type="pct"/>
                  <w:tcBorders>
                    <w:top w:val="single" w:color="auto" w:sz="4" w:space="0"/>
                    <w:left w:val="single" w:color="auto" w:sz="4" w:space="0"/>
                    <w:bottom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826</w:t>
                  </w:r>
                </w:p>
              </w:tc>
              <w:tc>
                <w:tcPr>
                  <w:tcW w:w="8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mg/kg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11</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锌</w:t>
                  </w:r>
                </w:p>
              </w:tc>
              <w:tc>
                <w:tcPr>
                  <w:tcW w:w="859" w:type="pct"/>
                  <w:tcBorders>
                    <w:top w:val="single" w:color="auto" w:sz="4" w:space="0"/>
                    <w:left w:val="single" w:color="auto" w:sz="4" w:space="0"/>
                    <w:bottom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10000</w:t>
                  </w:r>
                </w:p>
              </w:tc>
              <w:tc>
                <w:tcPr>
                  <w:tcW w:w="8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mg/kg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76</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0.0076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钼</w:t>
                  </w:r>
                </w:p>
              </w:tc>
              <w:tc>
                <w:tcPr>
                  <w:tcW w:w="859" w:type="pct"/>
                  <w:tcBorders>
                    <w:top w:val="single" w:color="auto" w:sz="4" w:space="0"/>
                    <w:left w:val="single" w:color="auto" w:sz="4" w:space="0"/>
                    <w:bottom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249</w:t>
                  </w:r>
                </w:p>
              </w:tc>
              <w:tc>
                <w:tcPr>
                  <w:tcW w:w="8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mg/kg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3.0</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硒</w:t>
                  </w:r>
                </w:p>
              </w:tc>
              <w:tc>
                <w:tcPr>
                  <w:tcW w:w="859" w:type="pct"/>
                  <w:tcBorders>
                    <w:top w:val="single" w:color="auto" w:sz="4" w:space="0"/>
                    <w:left w:val="single" w:color="auto" w:sz="4" w:space="0"/>
                    <w:bottom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248</w:t>
                  </w:r>
                </w:p>
              </w:tc>
              <w:tc>
                <w:tcPr>
                  <w:tcW w:w="8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mg/kg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3.70</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铊</w:t>
                  </w:r>
                </w:p>
              </w:tc>
              <w:tc>
                <w:tcPr>
                  <w:tcW w:w="859" w:type="pct"/>
                  <w:tcBorders>
                    <w:top w:val="single" w:color="auto" w:sz="4" w:space="0"/>
                    <w:left w:val="single" w:color="auto" w:sz="4" w:space="0"/>
                    <w:bottom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0.5</w:t>
                  </w:r>
                </w:p>
              </w:tc>
              <w:tc>
                <w:tcPr>
                  <w:tcW w:w="8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mg/kg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＜0.1</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钡</w:t>
                  </w:r>
                </w:p>
              </w:tc>
              <w:tc>
                <w:tcPr>
                  <w:tcW w:w="859" w:type="pct"/>
                  <w:tcBorders>
                    <w:top w:val="single" w:color="auto" w:sz="4" w:space="0"/>
                    <w:left w:val="single" w:color="auto" w:sz="4" w:space="0"/>
                    <w:bottom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1871</w:t>
                  </w:r>
                </w:p>
              </w:tc>
              <w:tc>
                <w:tcPr>
                  <w:tcW w:w="8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mg/kg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548</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银</w:t>
                  </w:r>
                </w:p>
              </w:tc>
              <w:tc>
                <w:tcPr>
                  <w:tcW w:w="859" w:type="pct"/>
                  <w:tcBorders>
                    <w:top w:val="single" w:color="auto" w:sz="4" w:space="0"/>
                    <w:left w:val="single" w:color="auto" w:sz="4" w:space="0"/>
                    <w:bottom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249</w:t>
                  </w:r>
                </w:p>
              </w:tc>
              <w:tc>
                <w:tcPr>
                  <w:tcW w:w="8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mg/kg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t>9.5</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0.038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color w:val="auto"/>
                      <w:sz w:val="21"/>
                      <w:szCs w:val="21"/>
                      <w:highlight w:val="none"/>
                      <w:lang w:val="en-US" w:eastAsia="zh-CN"/>
                    </w:rPr>
                    <w:t>锡</w:t>
                  </w:r>
                </w:p>
              </w:tc>
              <w:tc>
                <w:tcPr>
                  <w:tcW w:w="859" w:type="pct"/>
                  <w:tcBorders>
                    <w:top w:val="single" w:color="auto" w:sz="4" w:space="0"/>
                    <w:left w:val="single" w:color="auto" w:sz="4" w:space="0"/>
                    <w:bottom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10000</w:t>
                  </w:r>
                </w:p>
              </w:tc>
              <w:tc>
                <w:tcPr>
                  <w:tcW w:w="8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mg/kg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＜1</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氟化物</w:t>
                  </w:r>
                </w:p>
              </w:tc>
              <w:tc>
                <w:tcPr>
                  <w:tcW w:w="859" w:type="pct"/>
                  <w:tcBorders>
                    <w:top w:val="single" w:color="auto" w:sz="4" w:space="0"/>
                    <w:left w:val="single" w:color="auto" w:sz="4" w:space="0"/>
                    <w:bottom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1950</w:t>
                  </w:r>
                </w:p>
              </w:tc>
              <w:tc>
                <w:tcPr>
                  <w:tcW w:w="85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mg/kg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1.7</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0.00087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氨氮</w:t>
                  </w:r>
                </w:p>
              </w:tc>
              <w:tc>
                <w:tcPr>
                  <w:tcW w:w="859" w:type="pct"/>
                  <w:tcBorders>
                    <w:top w:val="single" w:color="auto" w:sz="4" w:space="0"/>
                    <w:left w:val="single" w:color="auto" w:sz="4" w:space="0"/>
                    <w:right w:val="single" w:color="auto" w:sz="4" w:space="0"/>
                  </w:tcBorders>
                  <w:noWrap w:val="0"/>
                  <w:vAlign w:val="center"/>
                </w:tcPr>
                <w:p>
                  <w:pPr>
                    <w:pStyle w:val="51"/>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960</w:t>
                  </w:r>
                </w:p>
              </w:tc>
              <w:tc>
                <w:tcPr>
                  <w:tcW w:w="85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mg/kg</w:t>
                  </w:r>
                </w:p>
              </w:tc>
              <w:tc>
                <w:tcPr>
                  <w:tcW w:w="9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firstLine="0" w:firstLineChars="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30.5</w:t>
                  </w:r>
                </w:p>
              </w:tc>
              <w:tc>
                <w:tcPr>
                  <w:tcW w:w="10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tabs>
                      <w:tab w:val="left" w:pos="1255"/>
                    </w:tabs>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0.0318</w:t>
                  </w:r>
                </w:p>
              </w:tc>
            </w:tr>
          </w:tbl>
          <w:p>
            <w:pPr>
              <w:pStyle w:val="3"/>
              <w:adjustRightInd w:val="0"/>
              <w:snapToGrid w:val="0"/>
              <w:spacing w:before="0" w:after="0" w:line="360" w:lineRule="auto"/>
              <w:ind w:firstLine="422" w:firstLineChars="200"/>
              <w:rPr>
                <w:rFonts w:hint="default" w:ascii="Times New Roman" w:hAnsi="Times New Roman" w:cs="Times New Roman"/>
                <w:b/>
                <w:bCs w:val="0"/>
                <w:kern w:val="2"/>
                <w:sz w:val="21"/>
                <w:szCs w:val="21"/>
                <w:lang w:val="en-US" w:eastAsia="zh-CN" w:bidi="ar-SA"/>
              </w:rPr>
            </w:pPr>
            <w:r>
              <w:rPr>
                <w:rFonts w:hint="default" w:ascii="Times New Roman" w:hAnsi="Times New Roman" w:cs="Times New Roman" w:eastAsiaTheme="minorEastAsia"/>
                <w:b/>
                <w:bCs w:val="0"/>
                <w:kern w:val="2"/>
                <w:sz w:val="21"/>
                <w:szCs w:val="21"/>
                <w:lang w:val="en-US" w:eastAsia="zh-CN" w:bidi="ar-SA"/>
              </w:rPr>
              <w:t>注：“&lt;+数值”代表小于检出限</w:t>
            </w:r>
            <w:r>
              <w:rPr>
                <w:rFonts w:hint="default" w:ascii="Times New Roman" w:hAnsi="Times New Roman" w:cs="Times New Roman"/>
                <w:b/>
                <w:bCs w:val="0"/>
                <w:kern w:val="2"/>
                <w:sz w:val="21"/>
                <w:szCs w:val="21"/>
                <w:lang w:val="en-US" w:eastAsia="zh-CN" w:bidi="ar-SA"/>
              </w:rPr>
              <w:t>。</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jc w:val="center"/>
              <w:textAlignment w:val="auto"/>
              <w:rPr>
                <w:rFonts w:hint="default" w:ascii="Times New Roman" w:hAnsi="Times New Roman" w:cs="Times New Roman"/>
                <w:b/>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bCs/>
                <w:color w:val="000000" w:themeColor="text1"/>
                <w:lang w:eastAsia="zh-CN"/>
                <w14:textFill>
                  <w14:solidFill>
                    <w14:schemeClr w14:val="tx1"/>
                  </w14:solidFill>
                </w14:textFill>
              </w:rPr>
              <w:t>表</w:t>
            </w:r>
            <w:r>
              <w:rPr>
                <w:rFonts w:hint="default" w:ascii="Times New Roman" w:hAnsi="Times New Roman" w:cs="Times New Roman"/>
                <w:b/>
                <w:bCs/>
                <w:color w:val="000000" w:themeColor="text1"/>
                <w:lang w:val="en-US" w:eastAsia="zh-CN"/>
                <w14:textFill>
                  <w14:solidFill>
                    <w14:schemeClr w14:val="tx1"/>
                  </w14:solidFill>
                </w14:textFill>
              </w:rPr>
              <w:t xml:space="preserve">3-7  </w:t>
            </w:r>
            <w:r>
              <w:rPr>
                <w:rFonts w:hint="default" w:ascii="Times New Roman" w:hAnsi="Times New Roman" w:cs="Times New Roman"/>
                <w:b/>
                <w:bCs/>
                <w:color w:val="000000" w:themeColor="text1"/>
                <w14:textFill>
                  <w14:solidFill>
                    <w14:schemeClr w14:val="tx1"/>
                  </w14:solidFill>
                </w14:textFill>
              </w:rPr>
              <w:t>土壤理化特性调查表</w:t>
            </w:r>
          </w:p>
          <w:tbl>
            <w:tblPr>
              <w:tblStyle w:val="2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3050"/>
              <w:gridCol w:w="3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2728"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检测点位名称</w:t>
                  </w:r>
                </w:p>
              </w:tc>
              <w:tc>
                <w:tcPr>
                  <w:tcW w:w="2271"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Tr</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表层</w:t>
                  </w:r>
                  <w:r>
                    <w:rPr>
                      <w:rFonts w:hint="default" w:ascii="Times New Roman" w:hAnsi="Times New Roman" w:eastAsia="宋体" w:cs="Times New Roman"/>
                      <w:color w:val="000000" w:themeColor="text1"/>
                      <w:sz w:val="21"/>
                      <w:szCs w:val="21"/>
                      <w14:textFill>
                        <w14:solidFill>
                          <w14:schemeClr w14:val="tx1"/>
                        </w14:solidFill>
                      </w14:textFill>
                    </w:rPr>
                    <w:t>样）——</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w:t>
                  </w:r>
                  <w:r>
                    <w:rPr>
                      <w:rFonts w:hint="default" w:ascii="Times New Roman" w:hAnsi="Times New Roman" w:eastAsia="宋体" w:cs="Times New Roman"/>
                      <w:color w:val="000000" w:themeColor="text1"/>
                      <w:sz w:val="21"/>
                      <w:szCs w:val="21"/>
                      <w:lang w:eastAsia="zh-CN"/>
                      <w14:textFill>
                        <w14:solidFill>
                          <w14:schemeClr w14:val="tx1"/>
                        </w14:solidFill>
                      </w14:textFill>
                    </w:rPr>
                    <w:t>占地范围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外东南侧</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2302218TR001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2728"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color w:val="000000"/>
                      <w:sz w:val="21"/>
                      <w:szCs w:val="21"/>
                      <w:highlight w:val="none"/>
                      <w:vertAlign w:val="baseline"/>
                      <w:lang w:eastAsia="zh-CN"/>
                    </w:rPr>
                  </w:pPr>
                  <w:r>
                    <w:rPr>
                      <w:rFonts w:hint="default" w:ascii="Times New Roman" w:hAnsi="Times New Roman" w:eastAsia="宋体" w:cs="Times New Roman"/>
                      <w:b w:val="0"/>
                      <w:bCs/>
                      <w:color w:val="000000"/>
                      <w:sz w:val="21"/>
                      <w:szCs w:val="21"/>
                      <w:highlight w:val="none"/>
                      <w:vertAlign w:val="baseline"/>
                      <w:lang w:eastAsia="zh-CN"/>
                    </w:rPr>
                    <w:t>层次（</w:t>
                  </w:r>
                  <w:r>
                    <w:rPr>
                      <w:rFonts w:hint="default" w:ascii="Times New Roman" w:hAnsi="Times New Roman" w:eastAsia="宋体" w:cs="Times New Roman"/>
                      <w:b w:val="0"/>
                      <w:bCs/>
                      <w:color w:val="000000"/>
                      <w:sz w:val="21"/>
                      <w:szCs w:val="21"/>
                      <w:highlight w:val="none"/>
                      <w:vertAlign w:val="baseline"/>
                      <w:lang w:val="en-US" w:eastAsia="zh-CN"/>
                    </w:rPr>
                    <w:t>m</w:t>
                  </w:r>
                  <w:r>
                    <w:rPr>
                      <w:rFonts w:hint="default" w:ascii="Times New Roman" w:hAnsi="Times New Roman" w:eastAsia="宋体" w:cs="Times New Roman"/>
                      <w:b w:val="0"/>
                      <w:bCs/>
                      <w:color w:val="000000"/>
                      <w:sz w:val="21"/>
                      <w:szCs w:val="21"/>
                      <w:highlight w:val="none"/>
                      <w:vertAlign w:val="baseline"/>
                      <w:lang w:eastAsia="zh-CN"/>
                    </w:rPr>
                    <w:t>）</w:t>
                  </w:r>
                </w:p>
              </w:tc>
              <w:tc>
                <w:tcPr>
                  <w:tcW w:w="22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color w:val="000000"/>
                      <w:sz w:val="21"/>
                      <w:szCs w:val="21"/>
                      <w:highlight w:val="none"/>
                      <w:vertAlign w:val="baseline"/>
                      <w:lang w:val="en-US" w:eastAsia="zh-CN"/>
                    </w:rPr>
                  </w:pPr>
                  <w:r>
                    <w:rPr>
                      <w:rFonts w:hint="default" w:ascii="Times New Roman" w:hAnsi="Times New Roman" w:eastAsia="宋体" w:cs="Times New Roman"/>
                      <w:b w:val="0"/>
                      <w:bCs/>
                      <w:color w:val="000000"/>
                      <w:sz w:val="21"/>
                      <w:szCs w:val="21"/>
                      <w:highlight w:val="none"/>
                      <w:vertAlign w:val="baseline"/>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2728"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color w:val="000000"/>
                      <w:sz w:val="21"/>
                      <w:szCs w:val="21"/>
                      <w:highlight w:val="none"/>
                      <w:vertAlign w:val="baseline"/>
                      <w:lang w:eastAsia="zh-CN"/>
                    </w:rPr>
                  </w:pPr>
                  <w:r>
                    <w:rPr>
                      <w:rFonts w:hint="default" w:ascii="Times New Roman" w:hAnsi="Times New Roman" w:eastAsia="宋体" w:cs="Times New Roman"/>
                      <w:b w:val="0"/>
                      <w:bCs/>
                      <w:color w:val="000000"/>
                      <w:sz w:val="21"/>
                      <w:szCs w:val="21"/>
                      <w:highlight w:val="none"/>
                      <w:vertAlign w:val="baseline"/>
                      <w:lang w:eastAsia="zh-CN"/>
                    </w:rPr>
                    <w:t>颜色</w:t>
                  </w:r>
                </w:p>
              </w:tc>
              <w:tc>
                <w:tcPr>
                  <w:tcW w:w="22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color w:val="000000"/>
                      <w:sz w:val="21"/>
                      <w:szCs w:val="21"/>
                      <w:highlight w:val="none"/>
                      <w:vertAlign w:val="baseline"/>
                      <w:lang w:val="en-US" w:eastAsia="zh-CN"/>
                    </w:rPr>
                  </w:pPr>
                  <w:r>
                    <w:rPr>
                      <w:rFonts w:hint="default" w:ascii="Times New Roman" w:hAnsi="Times New Roman" w:eastAsia="宋体" w:cs="Times New Roman"/>
                      <w:b w:val="0"/>
                      <w:bCs/>
                      <w:color w:val="000000"/>
                      <w:sz w:val="21"/>
                      <w:szCs w:val="21"/>
                      <w:highlight w:val="none"/>
                      <w:vertAlign w:val="baseline"/>
                      <w:lang w:val="en-US" w:eastAsia="zh-CN"/>
                    </w:rPr>
                    <w:t>黄棕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2728"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color w:val="000000"/>
                      <w:sz w:val="21"/>
                      <w:szCs w:val="21"/>
                      <w:highlight w:val="none"/>
                      <w:vertAlign w:val="baseline"/>
                      <w:lang w:eastAsia="zh-CN"/>
                    </w:rPr>
                  </w:pPr>
                  <w:r>
                    <w:rPr>
                      <w:rFonts w:hint="default" w:ascii="Times New Roman" w:hAnsi="Times New Roman" w:eastAsia="宋体" w:cs="Times New Roman"/>
                      <w:b w:val="0"/>
                      <w:bCs/>
                      <w:color w:val="000000"/>
                      <w:sz w:val="21"/>
                      <w:szCs w:val="21"/>
                      <w:highlight w:val="none"/>
                      <w:vertAlign w:val="baseline"/>
                      <w:lang w:eastAsia="zh-CN"/>
                    </w:rPr>
                    <w:t>结构</w:t>
                  </w:r>
                </w:p>
              </w:tc>
              <w:tc>
                <w:tcPr>
                  <w:tcW w:w="22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color w:val="000000"/>
                      <w:sz w:val="21"/>
                      <w:szCs w:val="21"/>
                      <w:highlight w:val="none"/>
                      <w:vertAlign w:val="baseline"/>
                      <w:lang w:eastAsia="zh-CN"/>
                    </w:rPr>
                  </w:pPr>
                  <w:r>
                    <w:rPr>
                      <w:rFonts w:hint="default" w:ascii="Times New Roman" w:hAnsi="Times New Roman" w:eastAsia="宋体" w:cs="Times New Roman"/>
                      <w:b w:val="0"/>
                      <w:bCs/>
                      <w:color w:val="000000"/>
                      <w:sz w:val="21"/>
                      <w:szCs w:val="21"/>
                      <w:highlight w:val="none"/>
                      <w:vertAlign w:val="baseline"/>
                      <w:lang w:eastAsia="zh-CN"/>
                    </w:rPr>
                    <w:t>团粒结构体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2728"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color w:val="000000"/>
                      <w:sz w:val="21"/>
                      <w:szCs w:val="21"/>
                      <w:highlight w:val="none"/>
                      <w:vertAlign w:val="baseline"/>
                      <w:lang w:eastAsia="zh-CN"/>
                    </w:rPr>
                  </w:pPr>
                  <w:r>
                    <w:rPr>
                      <w:rFonts w:hint="default" w:ascii="Times New Roman" w:hAnsi="Times New Roman" w:eastAsia="宋体" w:cs="Times New Roman"/>
                      <w:b w:val="0"/>
                      <w:bCs/>
                      <w:color w:val="000000"/>
                      <w:sz w:val="21"/>
                      <w:szCs w:val="21"/>
                      <w:highlight w:val="none"/>
                      <w:vertAlign w:val="baseline"/>
                      <w:lang w:eastAsia="zh-CN"/>
                    </w:rPr>
                    <w:t>质地</w:t>
                  </w:r>
                </w:p>
              </w:tc>
              <w:tc>
                <w:tcPr>
                  <w:tcW w:w="22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color w:val="000000"/>
                      <w:sz w:val="21"/>
                      <w:szCs w:val="21"/>
                      <w:highlight w:val="none"/>
                      <w:vertAlign w:val="baseline"/>
                      <w:lang w:eastAsia="zh-CN"/>
                    </w:rPr>
                  </w:pPr>
                  <w:r>
                    <w:rPr>
                      <w:rFonts w:hint="default" w:ascii="Times New Roman" w:hAnsi="Times New Roman" w:eastAsia="宋体" w:cs="Times New Roman"/>
                      <w:b w:val="0"/>
                      <w:bCs/>
                      <w:color w:val="000000"/>
                      <w:sz w:val="21"/>
                      <w:szCs w:val="21"/>
                      <w:highlight w:val="none"/>
                      <w:vertAlign w:val="baseline"/>
                      <w:lang w:eastAsia="zh-CN"/>
                    </w:rPr>
                    <w:t>轻壤土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91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val="en-US" w:eastAsia="zh-CN"/>
                    </w:rPr>
                    <w:t>机械组成（粒度）</w:t>
                  </w:r>
                </w:p>
              </w:tc>
              <w:tc>
                <w:tcPr>
                  <w:tcW w:w="18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sz w:val="21"/>
                      <w:szCs w:val="21"/>
                      <w:highlight w:val="none"/>
                      <w:vertAlign w:val="baseline"/>
                      <w:lang w:eastAsia="zh-CN"/>
                    </w:rPr>
                  </w:pPr>
                  <w:r>
                    <w:rPr>
                      <w:rFonts w:hint="default" w:ascii="Times New Roman" w:hAnsi="Times New Roman" w:eastAsia="宋体" w:cs="Times New Roman"/>
                      <w:sz w:val="21"/>
                      <w:szCs w:val="21"/>
                      <w:lang w:val="en-US" w:eastAsia="zh-CN"/>
                    </w:rPr>
                    <w:t>砂粒含量</w:t>
                  </w: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2271"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b w:val="0"/>
                      <w:bCs/>
                      <w:color w:val="000000"/>
                      <w:sz w:val="21"/>
                      <w:szCs w:val="21"/>
                      <w:highlight w:val="none"/>
                      <w:vertAlign w:val="baseline"/>
                      <w:lang w:val="en-US" w:eastAsia="zh-CN"/>
                    </w:rPr>
                  </w:pPr>
                  <w:r>
                    <w:rPr>
                      <w:rFonts w:hint="default" w:ascii="Times New Roman" w:hAnsi="Times New Roman" w:eastAsia="宋体" w:cs="Times New Roman"/>
                      <w:b w:val="0"/>
                      <w:bCs/>
                      <w:color w:val="000000"/>
                      <w:sz w:val="21"/>
                      <w:szCs w:val="21"/>
                      <w:highlight w:val="none"/>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9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sz w:val="21"/>
                      <w:szCs w:val="21"/>
                      <w:highlight w:val="none"/>
                      <w:vertAlign w:val="baseline"/>
                      <w:lang w:eastAsia="zh-CN"/>
                    </w:rPr>
                  </w:pPr>
                </w:p>
              </w:tc>
              <w:tc>
                <w:tcPr>
                  <w:tcW w:w="18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sz w:val="21"/>
                      <w:szCs w:val="21"/>
                      <w:highlight w:val="none"/>
                      <w:vertAlign w:val="baseline"/>
                      <w:lang w:eastAsia="zh-CN"/>
                    </w:rPr>
                  </w:pPr>
                  <w:r>
                    <w:rPr>
                      <w:rFonts w:hint="default" w:ascii="Times New Roman" w:hAnsi="Times New Roman" w:eastAsia="宋体" w:cs="Times New Roman"/>
                      <w:sz w:val="21"/>
                      <w:szCs w:val="21"/>
                      <w:lang w:val="en-US" w:eastAsia="zh-CN"/>
                    </w:rPr>
                    <w:t>粘粒含量</w:t>
                  </w: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2271"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b w:val="0"/>
                      <w:bCs/>
                      <w:color w:val="000000"/>
                      <w:sz w:val="21"/>
                      <w:szCs w:val="21"/>
                      <w:highlight w:val="none"/>
                      <w:vertAlign w:val="baseline"/>
                      <w:lang w:val="en-US" w:eastAsia="zh-CN"/>
                    </w:rPr>
                  </w:pPr>
                  <w:r>
                    <w:rPr>
                      <w:rFonts w:hint="default" w:ascii="Times New Roman" w:hAnsi="Times New Roman" w:eastAsia="宋体" w:cs="Times New Roman"/>
                      <w:b w:val="0"/>
                      <w:bCs/>
                      <w:color w:val="000000"/>
                      <w:sz w:val="21"/>
                      <w:szCs w:val="21"/>
                      <w:highlight w:val="none"/>
                      <w:vertAlign w:val="baseline"/>
                      <w:lang w:val="en-US" w:eastAsia="zh-CN"/>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91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sz w:val="21"/>
                      <w:szCs w:val="21"/>
                      <w:highlight w:val="none"/>
                      <w:vertAlign w:val="baseline"/>
                      <w:lang w:eastAsia="zh-CN"/>
                    </w:rPr>
                  </w:pPr>
                </w:p>
              </w:tc>
              <w:tc>
                <w:tcPr>
                  <w:tcW w:w="18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000000"/>
                      <w:sz w:val="21"/>
                      <w:szCs w:val="21"/>
                      <w:highlight w:val="none"/>
                      <w:vertAlign w:val="baseline"/>
                      <w:lang w:eastAsia="zh-CN"/>
                    </w:rPr>
                  </w:pPr>
                  <w:r>
                    <w:rPr>
                      <w:rFonts w:hint="default" w:ascii="Times New Roman" w:hAnsi="Times New Roman" w:eastAsia="宋体" w:cs="Times New Roman"/>
                      <w:sz w:val="21"/>
                      <w:szCs w:val="21"/>
                      <w:lang w:val="en-US" w:eastAsia="zh-CN"/>
                    </w:rPr>
                    <w:t>粉（砂）粒含量</w:t>
                  </w: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2271"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eastAsia="宋体" w:cs="Times New Roman"/>
                      <w:b w:val="0"/>
                      <w:bCs/>
                      <w:color w:val="000000"/>
                      <w:sz w:val="21"/>
                      <w:szCs w:val="21"/>
                      <w:highlight w:val="none"/>
                      <w:vertAlign w:val="baseline"/>
                      <w:lang w:val="en-US" w:eastAsia="zh-CN"/>
                    </w:rPr>
                  </w:pPr>
                  <w:r>
                    <w:rPr>
                      <w:rFonts w:hint="default" w:ascii="Times New Roman" w:hAnsi="Times New Roman" w:eastAsia="宋体" w:cs="Times New Roman"/>
                      <w:b w:val="0"/>
                      <w:bCs/>
                      <w:color w:val="000000"/>
                      <w:sz w:val="21"/>
                      <w:szCs w:val="21"/>
                      <w:highlight w:val="none"/>
                      <w:vertAlign w:val="baseline"/>
                      <w:lang w:val="en-US" w:eastAsia="zh-CN"/>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2728"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color w:val="000000"/>
                      <w:sz w:val="21"/>
                      <w:szCs w:val="21"/>
                      <w:highlight w:val="none"/>
                      <w:vertAlign w:val="baseline"/>
                      <w:lang w:eastAsia="zh-CN"/>
                    </w:rPr>
                  </w:pPr>
                  <w:r>
                    <w:rPr>
                      <w:rFonts w:hint="default" w:ascii="Times New Roman" w:hAnsi="Times New Roman" w:eastAsia="宋体" w:cs="Times New Roman"/>
                      <w:b w:val="0"/>
                      <w:bCs/>
                      <w:color w:val="000000"/>
                      <w:sz w:val="21"/>
                      <w:szCs w:val="21"/>
                      <w:highlight w:val="none"/>
                      <w:vertAlign w:val="baseline"/>
                      <w:lang w:eastAsia="zh-CN"/>
                    </w:rPr>
                    <w:t>其他异物</w:t>
                  </w:r>
                </w:p>
              </w:tc>
              <w:tc>
                <w:tcPr>
                  <w:tcW w:w="22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default" w:ascii="Times New Roman" w:hAnsi="Times New Roman" w:eastAsia="宋体" w:cs="Times New Roman"/>
                      <w:b w:val="0"/>
                      <w:bCs/>
                      <w:color w:val="000000"/>
                      <w:kern w:val="2"/>
                      <w:sz w:val="21"/>
                      <w:szCs w:val="21"/>
                      <w:highlight w:val="none"/>
                      <w:vertAlign w:val="baseline"/>
                      <w:lang w:val="en-US" w:eastAsia="zh-CN" w:bidi="ar-SA"/>
                    </w:rPr>
                    <w:t>石子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2728"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pH</w:t>
                  </w:r>
                </w:p>
              </w:tc>
              <w:tc>
                <w:tcPr>
                  <w:tcW w:w="22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default" w:ascii="Times New Roman" w:hAnsi="Times New Roman" w:eastAsia="宋体" w:cs="Times New Roman"/>
                      <w:b w:val="0"/>
                      <w:bCs/>
                      <w:color w:val="000000"/>
                      <w:kern w:val="2"/>
                      <w:sz w:val="21"/>
                      <w:szCs w:val="21"/>
                      <w:highlight w:val="none"/>
                      <w:vertAlign w:val="baseline"/>
                      <w:lang w:val="en-US" w:eastAsia="zh-CN" w:bidi="ar-SA"/>
                    </w:rPr>
                    <w:t>8.08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2728"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val="en-US" w:eastAsia="zh-CN"/>
                    </w:rPr>
                    <w:t>阳离子交换量（cmol</w:t>
                  </w:r>
                  <w:r>
                    <w:rPr>
                      <w:rFonts w:hint="default" w:ascii="Times New Roman" w:hAnsi="Times New Roman" w:eastAsia="宋体" w:cs="Times New Roman"/>
                      <w:b w:val="0"/>
                      <w:bCs w:val="0"/>
                      <w:color w:val="auto"/>
                      <w:sz w:val="21"/>
                      <w:szCs w:val="21"/>
                      <w:highlight w:val="none"/>
                      <w:vertAlign w:val="superscript"/>
                      <w:lang w:val="en-US" w:eastAsia="zh-CN"/>
                    </w:rPr>
                    <w:t>+</w:t>
                  </w:r>
                  <w:r>
                    <w:rPr>
                      <w:rFonts w:hint="default" w:ascii="Times New Roman" w:hAnsi="Times New Roman" w:eastAsia="宋体" w:cs="Times New Roman"/>
                      <w:b w:val="0"/>
                      <w:bCs w:val="0"/>
                      <w:color w:val="auto"/>
                      <w:sz w:val="21"/>
                      <w:szCs w:val="21"/>
                      <w:highlight w:val="none"/>
                      <w:vertAlign w:val="baseline"/>
                      <w:lang w:val="en-US" w:eastAsia="zh-CN"/>
                    </w:rPr>
                    <w:t>/kg）</w:t>
                  </w:r>
                </w:p>
              </w:tc>
              <w:tc>
                <w:tcPr>
                  <w:tcW w:w="227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default" w:ascii="Times New Roman" w:hAnsi="Times New Roman" w:eastAsia="宋体" w:cs="Times New Roman"/>
                      <w:b w:val="0"/>
                      <w:bCs/>
                      <w:color w:val="000000"/>
                      <w:kern w:val="2"/>
                      <w:sz w:val="21"/>
                      <w:szCs w:val="21"/>
                      <w:highlight w:val="none"/>
                      <w:vertAlign w:val="baseline"/>
                      <w:lang w:val="en-US" w:eastAsia="zh-CN" w:bidi="ar-SA"/>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2728" w:type="pct"/>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val="en-US" w:eastAsia="zh-CN"/>
                    </w:rPr>
                    <w:t>氧化还原电位（mv）</w:t>
                  </w:r>
                </w:p>
              </w:tc>
              <w:tc>
                <w:tcPr>
                  <w:tcW w:w="2271" w:type="pct"/>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default" w:ascii="Times New Roman" w:hAnsi="Times New Roman" w:eastAsia="宋体" w:cs="Times New Roman"/>
                      <w:b w:val="0"/>
                      <w:bCs/>
                      <w:color w:val="000000"/>
                      <w:kern w:val="2"/>
                      <w:sz w:val="21"/>
                      <w:szCs w:val="21"/>
                      <w:highlight w:val="none"/>
                      <w:vertAlign w:val="baseline"/>
                      <w:lang w:val="en-US" w:eastAsia="zh-CN" w:bidi="ar-SA"/>
                    </w:rPr>
                    <w:t>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2728" w:type="pct"/>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val="en-US" w:eastAsia="zh-CN"/>
                    </w:rPr>
                    <w:t>渗透率（cm/s）</w:t>
                  </w:r>
                </w:p>
              </w:tc>
              <w:tc>
                <w:tcPr>
                  <w:tcW w:w="2271" w:type="pct"/>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eastAsia="zh-CN" w:bidi="ar-SA"/>
                    </w:rPr>
                  </w:pPr>
                  <w:r>
                    <w:rPr>
                      <w:rFonts w:hint="default" w:ascii="Times New Roman" w:hAnsi="Times New Roman" w:eastAsia="宋体" w:cs="Times New Roman"/>
                      <w:b w:val="0"/>
                      <w:bCs/>
                      <w:color w:val="000000"/>
                      <w:kern w:val="2"/>
                      <w:sz w:val="21"/>
                      <w:szCs w:val="21"/>
                      <w:highlight w:val="none"/>
                      <w:vertAlign w:val="baseline"/>
                      <w:lang w:val="en-US" w:eastAsia="zh-CN" w:bidi="ar-SA"/>
                    </w:rPr>
                    <w:t>9.77×10</w:t>
                  </w:r>
                  <w:r>
                    <w:rPr>
                      <w:rFonts w:hint="default" w:ascii="Times New Roman" w:hAnsi="Times New Roman" w:eastAsia="宋体" w:cs="Times New Roman"/>
                      <w:b w:val="0"/>
                      <w:bCs/>
                      <w:color w:val="000000"/>
                      <w:kern w:val="2"/>
                      <w:sz w:val="21"/>
                      <w:szCs w:val="21"/>
                      <w:highlight w:val="none"/>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2728" w:type="pct"/>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val="en-US" w:eastAsia="zh-CN"/>
                    </w:rPr>
                    <w:t>土壤容重（g/cm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2271" w:type="pct"/>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default" w:ascii="Times New Roman" w:hAnsi="Times New Roman" w:eastAsia="宋体" w:cs="Times New Roman"/>
                      <w:b w:val="0"/>
                      <w:bCs/>
                      <w:color w:val="000000"/>
                      <w:kern w:val="2"/>
                      <w:sz w:val="21"/>
                      <w:szCs w:val="21"/>
                      <w:highlight w:val="none"/>
                      <w:vertAlign w:val="baseline"/>
                      <w:lang w:val="en-US" w:eastAsia="zh-CN" w:bidi="ar-SA"/>
                    </w:rP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28" w:type="pct"/>
                  <w:gridSpan w:val="2"/>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val="en-US" w:eastAsia="zh-CN"/>
                    </w:rPr>
                    <w:t>孔隙率（%）</w:t>
                  </w:r>
                </w:p>
              </w:tc>
              <w:tc>
                <w:tcPr>
                  <w:tcW w:w="2271" w:type="pct"/>
                </w:tcPr>
                <w:p>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color w:val="000000"/>
                      <w:kern w:val="2"/>
                      <w:sz w:val="21"/>
                      <w:szCs w:val="21"/>
                      <w:highlight w:val="none"/>
                      <w:vertAlign w:val="baseline"/>
                      <w:lang w:val="en-US" w:eastAsia="zh-CN" w:bidi="ar-SA"/>
                    </w:rPr>
                  </w:pPr>
                  <w:r>
                    <w:rPr>
                      <w:rFonts w:hint="default" w:ascii="Times New Roman" w:hAnsi="Times New Roman" w:eastAsia="宋体" w:cs="Times New Roman"/>
                      <w:b w:val="0"/>
                      <w:bCs/>
                      <w:color w:val="000000"/>
                      <w:kern w:val="2"/>
                      <w:sz w:val="21"/>
                      <w:szCs w:val="21"/>
                      <w:highlight w:val="none"/>
                      <w:vertAlign w:val="baseline"/>
                      <w:lang w:val="en-US" w:eastAsia="zh-CN" w:bidi="ar-SA"/>
                    </w:rPr>
                    <w:t>48</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通过对监测点位的土壤质量分析可知，pH、砷、镉、</w:t>
            </w:r>
            <w:r>
              <w:rPr>
                <w:rFonts w:hint="default" w:ascii="Times New Roman" w:hAnsi="Times New Roman" w:eastAsia="宋体" w:cs="Times New Roman"/>
                <w:sz w:val="24"/>
                <w:szCs w:val="24"/>
                <w:lang w:eastAsia="zh-CN"/>
              </w:rPr>
              <w:t>铬、</w:t>
            </w:r>
            <w:r>
              <w:rPr>
                <w:rFonts w:hint="default" w:ascii="Times New Roman" w:hAnsi="Times New Roman" w:eastAsia="宋体" w:cs="Times New Roman"/>
                <w:sz w:val="24"/>
                <w:szCs w:val="24"/>
              </w:rPr>
              <w:t>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石油烃（C</w:t>
            </w:r>
            <w:r>
              <w:rPr>
                <w:rFonts w:hint="default" w:ascii="Times New Roman" w:hAnsi="Times New Roman" w:eastAsia="宋体" w:cs="Times New Roman"/>
                <w:sz w:val="24"/>
                <w:szCs w:val="24"/>
                <w:vertAlign w:val="subscript"/>
              </w:rPr>
              <w:t>10</w:t>
            </w:r>
            <w:r>
              <w:rPr>
                <w:rFonts w:hint="default" w:ascii="Times New Roman" w:hAnsi="Times New Roman" w:eastAsia="宋体" w:cs="Times New Roman"/>
                <w:sz w:val="24"/>
                <w:szCs w:val="24"/>
              </w:rPr>
              <w:t>-C</w:t>
            </w:r>
            <w:r>
              <w:rPr>
                <w:rFonts w:hint="default" w:ascii="Times New Roman" w:hAnsi="Times New Roman" w:eastAsia="宋体" w:cs="Times New Roman"/>
                <w:sz w:val="24"/>
                <w:szCs w:val="24"/>
                <w:vertAlign w:val="subscript"/>
              </w:rPr>
              <w:t>40</w:t>
            </w:r>
            <w:r>
              <w:rPr>
                <w:rFonts w:hint="default" w:ascii="Times New Roman" w:hAnsi="Times New Roman" w:eastAsia="宋体" w:cs="Times New Roman"/>
                <w:sz w:val="24"/>
                <w:szCs w:val="24"/>
              </w:rPr>
              <w:t>）满足《土壤环境质量 建设用地土壤污染风险管控标准（试行）》</w:t>
            </w:r>
            <w:r>
              <w:rPr>
                <w:rFonts w:hint="default" w:ascii="Times New Roman" w:hAnsi="Times New Roman" w:eastAsia="宋体" w:cs="Times New Roman"/>
                <w:sz w:val="24"/>
                <w:szCs w:val="24"/>
                <w:lang w:eastAsia="zh-CN"/>
              </w:rPr>
              <w:t>）（GB 36600-2018）表1中第一类用地风险筛选值的要求；</w:t>
            </w:r>
            <w:r>
              <w:rPr>
                <w:rFonts w:hint="default" w:ascii="Times New Roman" w:hAnsi="Times New Roman" w:eastAsia="宋体" w:cs="Times New Roman"/>
                <w:sz w:val="24"/>
                <w:szCs w:val="24"/>
                <w:lang w:val="en-US" w:eastAsia="zh-CN"/>
              </w:rPr>
              <w:t>锌、钼、硒、铊、钡、银、锡、氟化物、氨氮满足《建设用地土壤污染风险筛选值》（DB13/T5216-2022）表1中第一类用地风险筛选值要求</w:t>
            </w:r>
            <w:r>
              <w:rPr>
                <w:rFonts w:hint="default" w:ascii="Times New Roman" w:hAnsi="Times New Roman" w:eastAsia="宋体" w:cs="Times New Roman"/>
                <w:sz w:val="24"/>
                <w:szCs w:val="24"/>
              </w:rPr>
              <w:t>，项目区域土壤环境质量较好</w:t>
            </w:r>
            <w:r>
              <w:rPr>
                <w:rFonts w:hint="default" w:ascii="Times New Roman" w:hAnsi="Times New Roman" w:eastAsia="宋体" w:cs="Times New Roman"/>
                <w:sz w:val="24"/>
                <w:szCs w:val="24"/>
                <w:lang w:eastAsia="zh-CN"/>
              </w:rPr>
              <w:t>。</w:t>
            </w:r>
          </w:p>
          <w:p>
            <w:pPr>
              <w:adjustRightInd w:val="0"/>
              <w:snapToGrid w:val="0"/>
              <w:spacing w:line="360" w:lineRule="auto"/>
              <w:ind w:firstLine="482" w:firstLineChars="200"/>
              <w:rPr>
                <w:rFonts w:hint="default" w:ascii="Times New Roman" w:hAnsi="Times New Roman" w:cs="Times New Roman"/>
                <w:b/>
                <w:bCs/>
                <w:kern w:val="0"/>
                <w:sz w:val="24"/>
              </w:rPr>
            </w:pPr>
            <w:r>
              <w:rPr>
                <w:rFonts w:hint="default" w:ascii="Times New Roman" w:hAnsi="Times New Roman" w:cs="Times New Roman"/>
                <w:b/>
                <w:bCs/>
                <w:kern w:val="0"/>
                <w:sz w:val="24"/>
              </w:rPr>
              <w:t>6、生态环境</w:t>
            </w:r>
          </w:p>
          <w:p>
            <w:pPr>
              <w:adjustRightInd w:val="0"/>
              <w:snapToGrid w:val="0"/>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sz w:val="24"/>
              </w:rPr>
              <w:t>本项目位于</w:t>
            </w:r>
            <w:r>
              <w:rPr>
                <w:rFonts w:hint="eastAsia" w:ascii="Times New Roman" w:hAnsi="Times New Roman" w:cs="Times New Roman"/>
                <w:sz w:val="24"/>
                <w:lang w:eastAsia="zh-CN"/>
              </w:rPr>
              <w:t>承德富龙现代农业发展有限公司</w:t>
            </w:r>
            <w:r>
              <w:rPr>
                <w:rFonts w:hint="default" w:ascii="Times New Roman" w:hAnsi="Times New Roman" w:cs="Times New Roman"/>
                <w:sz w:val="24"/>
              </w:rPr>
              <w:t>院内，项目周边不存在生态环境保护目标，</w:t>
            </w:r>
            <w:r>
              <w:rPr>
                <w:rFonts w:hint="default" w:ascii="Times New Roman" w:hAnsi="Times New Roman" w:cs="Times New Roman"/>
                <w:kern w:val="0"/>
                <w:sz w:val="24"/>
              </w:rPr>
              <w:t>不开展生态现状调查</w:t>
            </w:r>
            <w:r>
              <w:rPr>
                <w:rFonts w:hint="default" w:ascii="Times New Roman" w:hAnsi="Times New Roman" w:cs="Times New Roman"/>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78" w:hRule="atLeast"/>
          <w:jc w:val="center"/>
        </w:trPr>
        <w:tc>
          <w:tcPr>
            <w:tcW w:w="280" w:type="pct"/>
            <w:tcBorders>
              <w:top w:val="single" w:color="auto" w:sz="4" w:space="0"/>
              <w:left w:val="single" w:color="auto" w:sz="8" w:space="0"/>
              <w:bottom w:val="single" w:color="auto" w:sz="4"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lang w:bidi="ar"/>
              </w:rPr>
              <w:t>环境</w:t>
            </w:r>
          </w:p>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lang w:bidi="ar"/>
              </w:rPr>
              <w:t>保护</w:t>
            </w:r>
          </w:p>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lang w:bidi="ar"/>
              </w:rPr>
              <w:t>目标</w:t>
            </w:r>
          </w:p>
        </w:tc>
        <w:tc>
          <w:tcPr>
            <w:tcW w:w="4719" w:type="pct"/>
            <w:tcBorders>
              <w:top w:val="single" w:color="auto" w:sz="4" w:space="0"/>
              <w:left w:val="single" w:color="auto" w:sz="4" w:space="0"/>
              <w:bottom w:val="single" w:color="auto" w:sz="4" w:space="0"/>
              <w:right w:val="single" w:color="auto" w:sz="8" w:space="0"/>
            </w:tcBorders>
            <w:shd w:val="clear" w:color="auto" w:fill="auto"/>
            <w:vAlign w:val="center"/>
          </w:tcPr>
          <w:p>
            <w:pPr>
              <w:widowControl/>
              <w:adjustRightInd w:val="0"/>
              <w:snapToGrid w:val="0"/>
              <w:spacing w:before="156" w:beforeLines="50"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项目周边500m范围内无自然保护区、风景名胜区、文化区</w:t>
            </w:r>
            <w:r>
              <w:rPr>
                <w:rFonts w:hint="default" w:ascii="Times New Roman" w:hAnsi="Times New Roman" w:cs="Times New Roman"/>
                <w:sz w:val="24"/>
                <w:lang w:eastAsia="zh-CN"/>
              </w:rPr>
              <w:t>，项目东侧</w:t>
            </w:r>
            <w:r>
              <w:rPr>
                <w:rFonts w:hint="default" w:ascii="Times New Roman" w:hAnsi="Times New Roman" w:cs="Times New Roman"/>
                <w:sz w:val="24"/>
                <w:lang w:val="en-US" w:eastAsia="zh-CN"/>
              </w:rPr>
              <w:t>18m为司家窝铺、西南侧410m为燕格柏沟门；</w:t>
            </w:r>
            <w:r>
              <w:rPr>
                <w:rFonts w:hint="default" w:ascii="Times New Roman" w:hAnsi="Times New Roman" w:cs="Times New Roman"/>
                <w:color w:val="000000" w:themeColor="text1"/>
                <w:sz w:val="24"/>
                <w14:textFill>
                  <w14:solidFill>
                    <w14:schemeClr w14:val="tx1"/>
                  </w14:solidFill>
                </w14:textFill>
              </w:rPr>
              <w:t>项目</w:t>
            </w:r>
            <w:r>
              <w:rPr>
                <w:rFonts w:hint="default" w:ascii="Times New Roman" w:hAnsi="Times New Roman" w:cs="Times New Roman"/>
                <w:color w:val="000000" w:themeColor="text1"/>
                <w:sz w:val="24"/>
                <w:lang w:val="en-US" w:eastAsia="zh-CN"/>
                <w14:textFill>
                  <w14:solidFill>
                    <w14:schemeClr w14:val="tx1"/>
                  </w14:solidFill>
                </w14:textFill>
              </w:rPr>
              <w:t>厂界外</w:t>
            </w:r>
            <w:r>
              <w:rPr>
                <w:rFonts w:hint="default" w:ascii="Times New Roman" w:hAnsi="Times New Roman" w:cs="Times New Roman"/>
                <w:color w:val="000000" w:themeColor="text1"/>
                <w:sz w:val="24"/>
                <w14:textFill>
                  <w14:solidFill>
                    <w14:schemeClr w14:val="tx1"/>
                  </w14:solidFill>
                </w14:textFill>
              </w:rPr>
              <w:t>50m范围内</w:t>
            </w:r>
            <w:r>
              <w:rPr>
                <w:rFonts w:hint="default" w:ascii="Times New Roman" w:hAnsi="Times New Roman" w:cs="Times New Roman"/>
                <w:color w:val="000000" w:themeColor="text1"/>
                <w:sz w:val="24"/>
                <w:lang w:val="en-US" w:eastAsia="zh-CN"/>
                <w14:textFill>
                  <w14:solidFill>
                    <w14:schemeClr w14:val="tx1"/>
                  </w14:solidFill>
                </w14:textFill>
              </w:rPr>
              <w:t>有</w:t>
            </w:r>
            <w:r>
              <w:rPr>
                <w:rFonts w:hint="default" w:ascii="Times New Roman" w:hAnsi="Times New Roman" w:cs="Times New Roman"/>
                <w:color w:val="000000" w:themeColor="text1"/>
                <w:sz w:val="24"/>
                <w14:textFill>
                  <w14:solidFill>
                    <w14:schemeClr w14:val="tx1"/>
                  </w14:solidFill>
                </w14:textFill>
              </w:rPr>
              <w:t>声环境保护目标</w:t>
            </w:r>
            <w:r>
              <w:rPr>
                <w:rFonts w:hint="default" w:ascii="Times New Roman" w:hAnsi="Times New Roman" w:cs="Times New Roman"/>
                <w:color w:val="000000" w:themeColor="text1"/>
                <w:sz w:val="24"/>
                <w:lang w:eastAsia="zh-CN"/>
                <w14:textFill>
                  <w14:solidFill>
                    <w14:schemeClr w14:val="tx1"/>
                  </w14:solidFill>
                </w14:textFill>
              </w:rPr>
              <w:t>：项目东侧</w:t>
            </w:r>
            <w:r>
              <w:rPr>
                <w:rFonts w:hint="default" w:ascii="Times New Roman" w:hAnsi="Times New Roman" w:cs="Times New Roman"/>
                <w:color w:val="000000" w:themeColor="text1"/>
                <w:sz w:val="24"/>
                <w:lang w:val="en-US" w:eastAsia="zh-CN"/>
                <w14:textFill>
                  <w14:solidFill>
                    <w14:schemeClr w14:val="tx1"/>
                  </w14:solidFill>
                </w14:textFill>
              </w:rPr>
              <w:t>18m为司家窝铺</w:t>
            </w:r>
            <w:r>
              <w:rPr>
                <w:rFonts w:hint="default" w:ascii="Times New Roman" w:hAnsi="Times New Roman" w:cs="Times New Roman"/>
                <w:sz w:val="24"/>
              </w:rPr>
              <w:t>；项目厂界外500m范围内无地下水集中式饮用水水源和热水、矿泉水、温泉等特殊地下水资源；项目周边生态环境不涉及自然保护区、世界文化和自然遗产地等特殊生态敏感区，也不涉及风景名胜区、森林公园、地质公园、重要湿地、原始天然森林、珍稀濒危野生动植物天然集中分布区、重要水生生物的自然产卵场及索饵场、越冬场和洄游通道、天然渔场等重要生态敏感区。</w:t>
            </w:r>
          </w:p>
          <w:p>
            <w:pPr>
              <w:adjustRightInd w:val="0"/>
              <w:snapToGrid w:val="0"/>
              <w:spacing w:line="360" w:lineRule="auto"/>
              <w:jc w:val="center"/>
              <w:rPr>
                <w:rFonts w:hint="default" w:ascii="Times New Roman" w:hAnsi="Times New Roman" w:cs="Times New Roman"/>
                <w:b/>
                <w:color w:val="FF0000"/>
                <w:szCs w:val="20"/>
              </w:rPr>
            </w:pPr>
            <w:r>
              <w:rPr>
                <w:rFonts w:hint="default" w:ascii="Times New Roman" w:hAnsi="Times New Roman" w:cs="Times New Roman"/>
                <w:b/>
                <w:szCs w:val="20"/>
              </w:rPr>
              <w:t>表3-</w:t>
            </w:r>
            <w:r>
              <w:rPr>
                <w:rFonts w:hint="default" w:ascii="Times New Roman" w:hAnsi="Times New Roman" w:cs="Times New Roman"/>
                <w:b/>
                <w:szCs w:val="20"/>
                <w:lang w:val="en-US" w:eastAsia="zh-CN"/>
              </w:rPr>
              <w:t>8</w:t>
            </w:r>
            <w:r>
              <w:rPr>
                <w:rFonts w:hint="default" w:ascii="Times New Roman" w:hAnsi="Times New Roman" w:cs="Times New Roman"/>
                <w:b/>
                <w:szCs w:val="20"/>
              </w:rPr>
              <w:t xml:space="preserve">  大气环境保护目标</w:t>
            </w:r>
          </w:p>
          <w:tbl>
            <w:tblPr>
              <w:tblStyle w:val="24"/>
              <w:tblpPr w:leftFromText="180" w:rightFromText="180" w:vertAnchor="text" w:tblpXSpec="center" w:tblpY="1"/>
              <w:tblOverlap w:val="never"/>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7"/>
              <w:gridCol w:w="1228"/>
              <w:gridCol w:w="803"/>
              <w:gridCol w:w="746"/>
              <w:gridCol w:w="1067"/>
              <w:gridCol w:w="3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648" w:type="pct"/>
                  <w:vAlign w:val="center"/>
                </w:tcPr>
                <w:p>
                  <w:pPr>
                    <w:topLinePunct/>
                    <w:jc w:val="center"/>
                    <w:textAlignment w:val="center"/>
                    <w:rPr>
                      <w:rFonts w:hint="default" w:ascii="Times New Roman" w:hAnsi="Times New Roman" w:cs="Times New Roman"/>
                      <w:b/>
                      <w:snapToGrid w:val="0"/>
                      <w:color w:val="000000"/>
                      <w:kern w:val="0"/>
                      <w:szCs w:val="21"/>
                    </w:rPr>
                  </w:pPr>
                  <w:r>
                    <w:rPr>
                      <w:rFonts w:hint="default" w:ascii="Times New Roman" w:hAnsi="Times New Roman" w:cs="Times New Roman"/>
                      <w:b/>
                      <w:snapToGrid w:val="0"/>
                      <w:color w:val="000000"/>
                      <w:kern w:val="0"/>
                      <w:szCs w:val="21"/>
                    </w:rPr>
                    <w:t>环境要素</w:t>
                  </w:r>
                </w:p>
              </w:tc>
              <w:tc>
                <w:tcPr>
                  <w:tcW w:w="732" w:type="pct"/>
                  <w:vAlign w:val="center"/>
                </w:tcPr>
                <w:p>
                  <w:pPr>
                    <w:topLinePunct/>
                    <w:jc w:val="center"/>
                    <w:textAlignment w:val="center"/>
                    <w:rPr>
                      <w:rFonts w:hint="default" w:ascii="Times New Roman" w:hAnsi="Times New Roman" w:cs="Times New Roman"/>
                      <w:b/>
                      <w:snapToGrid w:val="0"/>
                      <w:color w:val="000000"/>
                      <w:kern w:val="0"/>
                      <w:szCs w:val="21"/>
                    </w:rPr>
                  </w:pPr>
                  <w:r>
                    <w:rPr>
                      <w:rFonts w:hint="default" w:ascii="Times New Roman" w:hAnsi="Times New Roman" w:cs="Times New Roman"/>
                      <w:b/>
                      <w:snapToGrid w:val="0"/>
                      <w:color w:val="000000"/>
                      <w:kern w:val="0"/>
                      <w:szCs w:val="21"/>
                    </w:rPr>
                    <w:t>保护目标</w:t>
                  </w:r>
                </w:p>
              </w:tc>
              <w:tc>
                <w:tcPr>
                  <w:tcW w:w="479" w:type="pct"/>
                  <w:vAlign w:val="center"/>
                </w:tcPr>
                <w:p>
                  <w:pPr>
                    <w:topLinePunct/>
                    <w:jc w:val="center"/>
                    <w:textAlignment w:val="center"/>
                    <w:rPr>
                      <w:rFonts w:hint="default" w:ascii="Times New Roman" w:hAnsi="Times New Roman" w:cs="Times New Roman"/>
                      <w:b/>
                      <w:snapToGrid w:val="0"/>
                      <w:color w:val="000000"/>
                      <w:kern w:val="0"/>
                      <w:szCs w:val="21"/>
                    </w:rPr>
                  </w:pPr>
                  <w:r>
                    <w:rPr>
                      <w:rFonts w:hint="default" w:ascii="Times New Roman" w:hAnsi="Times New Roman" w:cs="Times New Roman"/>
                      <w:b/>
                      <w:snapToGrid w:val="0"/>
                      <w:color w:val="000000"/>
                      <w:kern w:val="0"/>
                      <w:szCs w:val="21"/>
                    </w:rPr>
                    <w:t>功能</w:t>
                  </w:r>
                </w:p>
              </w:tc>
              <w:tc>
                <w:tcPr>
                  <w:tcW w:w="445" w:type="pct"/>
                  <w:vAlign w:val="center"/>
                </w:tcPr>
                <w:p>
                  <w:pPr>
                    <w:topLinePunct/>
                    <w:jc w:val="center"/>
                    <w:textAlignment w:val="center"/>
                    <w:rPr>
                      <w:rFonts w:hint="default" w:ascii="Times New Roman" w:hAnsi="Times New Roman" w:cs="Times New Roman"/>
                      <w:b/>
                      <w:snapToGrid w:val="0"/>
                      <w:color w:val="000000"/>
                      <w:kern w:val="0"/>
                      <w:szCs w:val="21"/>
                    </w:rPr>
                  </w:pPr>
                  <w:r>
                    <w:rPr>
                      <w:rFonts w:hint="default" w:ascii="Times New Roman" w:hAnsi="Times New Roman" w:cs="Times New Roman"/>
                      <w:b/>
                      <w:snapToGrid w:val="0"/>
                      <w:color w:val="000000"/>
                      <w:kern w:val="0"/>
                      <w:szCs w:val="21"/>
                    </w:rPr>
                    <w:t>方向</w:t>
                  </w:r>
                </w:p>
              </w:tc>
              <w:tc>
                <w:tcPr>
                  <w:tcW w:w="636" w:type="pct"/>
                  <w:vAlign w:val="center"/>
                </w:tcPr>
                <w:p>
                  <w:pPr>
                    <w:topLinePunct/>
                    <w:jc w:val="center"/>
                    <w:textAlignment w:val="center"/>
                    <w:rPr>
                      <w:rFonts w:hint="default" w:ascii="Times New Roman" w:hAnsi="Times New Roman" w:eastAsia="宋体" w:cs="Times New Roman"/>
                      <w:b/>
                      <w:snapToGrid w:val="0"/>
                      <w:color w:val="000000"/>
                      <w:kern w:val="0"/>
                      <w:szCs w:val="21"/>
                    </w:rPr>
                  </w:pPr>
                  <w:r>
                    <w:rPr>
                      <w:rFonts w:hint="default" w:ascii="Times New Roman" w:hAnsi="Times New Roman" w:cs="Times New Roman"/>
                      <w:b/>
                      <w:snapToGrid w:val="0"/>
                      <w:color w:val="000000"/>
                      <w:kern w:val="0"/>
                      <w:szCs w:val="21"/>
                    </w:rPr>
                    <w:t>距离（m）</w:t>
                  </w:r>
                </w:p>
              </w:tc>
              <w:tc>
                <w:tcPr>
                  <w:tcW w:w="2058" w:type="pct"/>
                  <w:vAlign w:val="center"/>
                </w:tcPr>
                <w:p>
                  <w:pPr>
                    <w:topLinePunct/>
                    <w:jc w:val="center"/>
                    <w:textAlignment w:val="center"/>
                    <w:rPr>
                      <w:rFonts w:hint="default" w:ascii="Times New Roman" w:hAnsi="Times New Roman" w:cs="Times New Roman"/>
                      <w:b/>
                      <w:snapToGrid w:val="0"/>
                      <w:color w:val="000000"/>
                      <w:kern w:val="0"/>
                      <w:szCs w:val="21"/>
                    </w:rPr>
                  </w:pPr>
                  <w:r>
                    <w:rPr>
                      <w:rFonts w:hint="default" w:ascii="Times New Roman" w:hAnsi="Times New Roman" w:cs="Times New Roman"/>
                      <w:b/>
                      <w:snapToGrid w:val="0"/>
                      <w:color w:val="000000"/>
                      <w:kern w:val="0"/>
                      <w:szCs w:val="21"/>
                    </w:rPr>
                    <w:t>环境质量标准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exact"/>
                <w:jc w:val="center"/>
              </w:trPr>
              <w:tc>
                <w:tcPr>
                  <w:tcW w:w="648" w:type="pct"/>
                  <w:vMerge w:val="restart"/>
                  <w:vAlign w:val="center"/>
                </w:tcPr>
                <w:p>
                  <w:pPr>
                    <w:keepNext w:val="0"/>
                    <w:keepLines w:val="0"/>
                    <w:pageBreakBefore w:val="0"/>
                    <w:widowControl w:val="0"/>
                    <w:kinsoku/>
                    <w:wordWrap/>
                    <w:overflowPunct/>
                    <w:topLinePunct/>
                    <w:autoSpaceDE/>
                    <w:autoSpaceDN/>
                    <w:bidi w:val="0"/>
                    <w:adjustRightInd/>
                    <w:spacing w:line="240" w:lineRule="auto"/>
                    <w:ind w:right="0" w:rightChars="0"/>
                    <w:jc w:val="center"/>
                    <w:textAlignment w:val="center"/>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napToGrid w:val="0"/>
                      <w:color w:val="000000"/>
                      <w:kern w:val="0"/>
                      <w:sz w:val="21"/>
                      <w:szCs w:val="21"/>
                    </w:rPr>
                    <w:t>大气环境</w:t>
                  </w:r>
                </w:p>
              </w:tc>
              <w:tc>
                <w:tcPr>
                  <w:tcW w:w="732" w:type="pct"/>
                  <w:vAlign w:val="center"/>
                </w:tcPr>
                <w:p>
                  <w:pPr>
                    <w:bidi w:val="0"/>
                    <w:jc w:val="center"/>
                    <w:rPr>
                      <w:rFonts w:hint="default" w:ascii="Times New Roman" w:hAnsi="Times New Roman" w:cs="Times New Roman"/>
                    </w:rPr>
                  </w:pPr>
                  <w:r>
                    <w:rPr>
                      <w:rFonts w:hint="default" w:ascii="Times New Roman" w:hAnsi="Times New Roman" w:cs="Times New Roman"/>
                      <w:lang w:val="en-US" w:eastAsia="zh-CN"/>
                    </w:rPr>
                    <w:t>司家窝铺</w:t>
                  </w:r>
                </w:p>
              </w:tc>
              <w:tc>
                <w:tcPr>
                  <w:tcW w:w="479" w:type="pct"/>
                  <w:vAlign w:val="center"/>
                </w:tcPr>
                <w:p>
                  <w:pPr>
                    <w:keepNext w:val="0"/>
                    <w:keepLines w:val="0"/>
                    <w:pageBreakBefore w:val="0"/>
                    <w:widowControl w:val="0"/>
                    <w:kinsoku/>
                    <w:wordWrap/>
                    <w:overflowPunct/>
                    <w:autoSpaceDE/>
                    <w:autoSpaceDN/>
                    <w:bidi w:val="0"/>
                    <w:adjustRightInd/>
                    <w:snapToGrid w:val="0"/>
                    <w:spacing w:line="240" w:lineRule="auto"/>
                    <w:ind w:right="0" w:right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napToGrid w:val="0"/>
                      <w:color w:val="000000"/>
                      <w:kern w:val="0"/>
                      <w:sz w:val="21"/>
                      <w:szCs w:val="21"/>
                    </w:rPr>
                    <w:t>居住</w:t>
                  </w:r>
                </w:p>
              </w:tc>
              <w:tc>
                <w:tcPr>
                  <w:tcW w:w="445" w:type="pct"/>
                  <w:vAlign w:val="center"/>
                </w:tcPr>
                <w:p>
                  <w:pPr>
                    <w:keepNext w:val="0"/>
                    <w:keepLines w:val="0"/>
                    <w:pageBreakBefore w:val="0"/>
                    <w:widowControl w:val="0"/>
                    <w:kinsoku/>
                    <w:wordWrap/>
                    <w:overflowPunct/>
                    <w:autoSpaceDE/>
                    <w:autoSpaceDN/>
                    <w:bidi w:val="0"/>
                    <w:adjustRightInd/>
                    <w:snapToGrid w:val="0"/>
                    <w:spacing w:line="240" w:lineRule="auto"/>
                    <w:ind w:right="0" w:right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东</w:t>
                  </w:r>
                </w:p>
              </w:tc>
              <w:tc>
                <w:tcPr>
                  <w:tcW w:w="636" w:type="pct"/>
                  <w:vAlign w:val="center"/>
                </w:tcPr>
                <w:p>
                  <w:pPr>
                    <w:keepNext w:val="0"/>
                    <w:keepLines w:val="0"/>
                    <w:pageBreakBefore w:val="0"/>
                    <w:widowControl w:val="0"/>
                    <w:kinsoku/>
                    <w:wordWrap/>
                    <w:overflowPunct/>
                    <w:autoSpaceDE/>
                    <w:autoSpaceDN/>
                    <w:bidi w:val="0"/>
                    <w:adjustRightInd/>
                    <w:snapToGrid w:val="0"/>
                    <w:spacing w:line="240" w:lineRule="auto"/>
                    <w:ind w:right="0" w:right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18</w:t>
                  </w:r>
                </w:p>
              </w:tc>
              <w:tc>
                <w:tcPr>
                  <w:tcW w:w="2058" w:type="pct"/>
                  <w:vMerge w:val="restart"/>
                  <w:vAlign w:val="center"/>
                </w:tcPr>
                <w:p>
                  <w:pPr>
                    <w:keepNext w:val="0"/>
                    <w:keepLines w:val="0"/>
                    <w:pageBreakBefore w:val="0"/>
                    <w:widowControl w:val="0"/>
                    <w:kinsoku/>
                    <w:wordWrap/>
                    <w:overflowPunct/>
                    <w:topLinePunct/>
                    <w:autoSpaceDE/>
                    <w:autoSpaceDN/>
                    <w:bidi w:val="0"/>
                    <w:adjustRightInd/>
                    <w:spacing w:line="240" w:lineRule="auto"/>
                    <w:ind w:right="0" w:rightChars="0"/>
                    <w:jc w:val="center"/>
                    <w:textAlignment w:val="center"/>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z w:val="21"/>
                      <w:szCs w:val="21"/>
                    </w:rPr>
                    <w:t>《大气环境质量标准》(GB3095-2012)二级标准</w:t>
                  </w:r>
                  <w:r>
                    <w:rPr>
                      <w:rFonts w:hint="default" w:ascii="Times New Roman" w:hAnsi="Times New Roman" w:eastAsia="宋体" w:cs="Times New Roman"/>
                      <w:sz w:val="21"/>
                      <w:szCs w:val="21"/>
                      <w:lang w:val="en-US" w:eastAsia="zh-CN"/>
                    </w:rPr>
                    <w:t>及其修改单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exact"/>
                <w:jc w:val="center"/>
              </w:trPr>
              <w:tc>
                <w:tcPr>
                  <w:tcW w:w="648" w:type="pct"/>
                  <w:vMerge w:val="continue"/>
                  <w:vAlign w:val="center"/>
                </w:tcPr>
                <w:p>
                  <w:pPr>
                    <w:keepNext w:val="0"/>
                    <w:keepLines w:val="0"/>
                    <w:pageBreakBefore w:val="0"/>
                    <w:widowControl w:val="0"/>
                    <w:kinsoku/>
                    <w:wordWrap/>
                    <w:overflowPunct/>
                    <w:topLinePunct/>
                    <w:autoSpaceDE/>
                    <w:autoSpaceDN/>
                    <w:bidi w:val="0"/>
                    <w:adjustRightInd/>
                    <w:spacing w:line="240" w:lineRule="auto"/>
                    <w:ind w:right="0" w:rightChars="0"/>
                    <w:jc w:val="center"/>
                    <w:textAlignment w:val="center"/>
                    <w:rPr>
                      <w:rFonts w:hint="default" w:ascii="Times New Roman" w:hAnsi="Times New Roman" w:eastAsia="宋体" w:cs="Times New Roman"/>
                      <w:snapToGrid w:val="0"/>
                      <w:color w:val="000000"/>
                      <w:kern w:val="0"/>
                      <w:sz w:val="21"/>
                      <w:szCs w:val="21"/>
                    </w:rPr>
                  </w:pPr>
                </w:p>
              </w:tc>
              <w:tc>
                <w:tcPr>
                  <w:tcW w:w="732" w:type="pct"/>
                  <w:vAlign w:val="center"/>
                </w:tcPr>
                <w:p>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燕格柏沟门</w:t>
                  </w:r>
                </w:p>
              </w:tc>
              <w:tc>
                <w:tcPr>
                  <w:tcW w:w="479" w:type="pct"/>
                  <w:vAlign w:val="center"/>
                </w:tcPr>
                <w:p>
                  <w:pPr>
                    <w:keepNext w:val="0"/>
                    <w:keepLines w:val="0"/>
                    <w:pageBreakBefore w:val="0"/>
                    <w:widowControl w:val="0"/>
                    <w:kinsoku/>
                    <w:wordWrap/>
                    <w:overflowPunct/>
                    <w:autoSpaceDE/>
                    <w:autoSpaceDN/>
                    <w:bidi w:val="0"/>
                    <w:adjustRightInd/>
                    <w:snapToGrid w:val="0"/>
                    <w:spacing w:line="240" w:lineRule="auto"/>
                    <w:ind w:right="0" w:rightChars="0"/>
                    <w:jc w:val="center"/>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napToGrid w:val="0"/>
                      <w:color w:val="000000"/>
                      <w:kern w:val="0"/>
                      <w:sz w:val="21"/>
                      <w:szCs w:val="21"/>
                    </w:rPr>
                    <w:t>居住</w:t>
                  </w:r>
                </w:p>
              </w:tc>
              <w:tc>
                <w:tcPr>
                  <w:tcW w:w="445" w:type="pct"/>
                  <w:vAlign w:val="center"/>
                </w:tcPr>
                <w:p>
                  <w:pPr>
                    <w:keepNext w:val="0"/>
                    <w:keepLines w:val="0"/>
                    <w:pageBreakBefore w:val="0"/>
                    <w:widowControl w:val="0"/>
                    <w:kinsoku/>
                    <w:wordWrap/>
                    <w:overflowPunct/>
                    <w:autoSpaceDE/>
                    <w:autoSpaceDN/>
                    <w:bidi w:val="0"/>
                    <w:adjustRightInd/>
                    <w:snapToGrid w:val="0"/>
                    <w:spacing w:line="240" w:lineRule="auto"/>
                    <w:ind w:right="0" w:right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西南</w:t>
                  </w:r>
                </w:p>
              </w:tc>
              <w:tc>
                <w:tcPr>
                  <w:tcW w:w="636" w:type="pct"/>
                  <w:vAlign w:val="center"/>
                </w:tcPr>
                <w:p>
                  <w:pPr>
                    <w:keepNext w:val="0"/>
                    <w:keepLines w:val="0"/>
                    <w:pageBreakBefore w:val="0"/>
                    <w:widowControl w:val="0"/>
                    <w:kinsoku/>
                    <w:wordWrap/>
                    <w:overflowPunct/>
                    <w:autoSpaceDE/>
                    <w:autoSpaceDN/>
                    <w:bidi w:val="0"/>
                    <w:adjustRightInd/>
                    <w:snapToGrid w:val="0"/>
                    <w:spacing w:line="240" w:lineRule="auto"/>
                    <w:ind w:right="0" w:right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410</w:t>
                  </w:r>
                </w:p>
              </w:tc>
              <w:tc>
                <w:tcPr>
                  <w:tcW w:w="2058" w:type="pct"/>
                  <w:vMerge w:val="continue"/>
                  <w:vAlign w:val="center"/>
                </w:tcPr>
                <w:p>
                  <w:pPr>
                    <w:keepNext w:val="0"/>
                    <w:keepLines w:val="0"/>
                    <w:pageBreakBefore w:val="0"/>
                    <w:widowControl w:val="0"/>
                    <w:kinsoku/>
                    <w:wordWrap/>
                    <w:overflowPunct/>
                    <w:topLinePunct/>
                    <w:autoSpaceDE/>
                    <w:autoSpaceDN/>
                    <w:bidi w:val="0"/>
                    <w:adjustRightInd/>
                    <w:spacing w:line="240" w:lineRule="auto"/>
                    <w:ind w:right="0" w:rightChars="0"/>
                    <w:jc w:val="center"/>
                    <w:textAlignment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exact"/>
                <w:jc w:val="center"/>
              </w:trPr>
              <w:tc>
                <w:tcPr>
                  <w:tcW w:w="648" w:type="pct"/>
                  <w:vAlign w:val="center"/>
                </w:tcPr>
                <w:p>
                  <w:pPr>
                    <w:keepNext w:val="0"/>
                    <w:keepLines w:val="0"/>
                    <w:pageBreakBefore w:val="0"/>
                    <w:widowControl w:val="0"/>
                    <w:kinsoku/>
                    <w:wordWrap/>
                    <w:overflowPunct/>
                    <w:topLinePunct/>
                    <w:autoSpaceDE/>
                    <w:autoSpaceDN/>
                    <w:bidi w:val="0"/>
                    <w:adjustRightInd/>
                    <w:spacing w:line="240" w:lineRule="auto"/>
                    <w:ind w:right="0" w:rightChars="0"/>
                    <w:jc w:val="center"/>
                    <w:textAlignment w:val="center"/>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napToGrid w:val="0"/>
                      <w:color w:val="000000"/>
                      <w:kern w:val="0"/>
                      <w:sz w:val="21"/>
                      <w:szCs w:val="21"/>
                      <w:lang w:val="en-US" w:eastAsia="zh-CN"/>
                    </w:rPr>
                    <w:t>声环境</w:t>
                  </w:r>
                </w:p>
              </w:tc>
              <w:tc>
                <w:tcPr>
                  <w:tcW w:w="732" w:type="pct"/>
                  <w:vAlign w:val="center"/>
                </w:tcPr>
                <w:p>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司家窝铺</w:t>
                  </w:r>
                </w:p>
              </w:tc>
              <w:tc>
                <w:tcPr>
                  <w:tcW w:w="479" w:type="pct"/>
                  <w:vAlign w:val="center"/>
                </w:tcPr>
                <w:p>
                  <w:pPr>
                    <w:keepNext w:val="0"/>
                    <w:keepLines w:val="0"/>
                    <w:pageBreakBefore w:val="0"/>
                    <w:widowControl w:val="0"/>
                    <w:kinsoku/>
                    <w:wordWrap/>
                    <w:overflowPunct/>
                    <w:autoSpaceDE/>
                    <w:autoSpaceDN/>
                    <w:bidi w:val="0"/>
                    <w:adjustRightInd/>
                    <w:snapToGrid w:val="0"/>
                    <w:spacing w:line="240" w:lineRule="auto"/>
                    <w:ind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snapToGrid w:val="0"/>
                      <w:color w:val="000000"/>
                      <w:kern w:val="0"/>
                      <w:sz w:val="21"/>
                      <w:szCs w:val="21"/>
                    </w:rPr>
                    <w:t>居住</w:t>
                  </w:r>
                </w:p>
              </w:tc>
              <w:tc>
                <w:tcPr>
                  <w:tcW w:w="445" w:type="pct"/>
                  <w:vAlign w:val="center"/>
                </w:tcPr>
                <w:p>
                  <w:pPr>
                    <w:keepNext w:val="0"/>
                    <w:keepLines w:val="0"/>
                    <w:pageBreakBefore w:val="0"/>
                    <w:widowControl w:val="0"/>
                    <w:kinsoku/>
                    <w:wordWrap/>
                    <w:overflowPunct/>
                    <w:autoSpaceDE/>
                    <w:autoSpaceDN/>
                    <w:bidi w:val="0"/>
                    <w:adjustRightInd/>
                    <w:snapToGrid w:val="0"/>
                    <w:spacing w:line="240" w:lineRule="auto"/>
                    <w:ind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东</w:t>
                  </w:r>
                </w:p>
              </w:tc>
              <w:tc>
                <w:tcPr>
                  <w:tcW w:w="636" w:type="pct"/>
                  <w:vAlign w:val="center"/>
                </w:tcPr>
                <w:p>
                  <w:pPr>
                    <w:keepNext w:val="0"/>
                    <w:keepLines w:val="0"/>
                    <w:pageBreakBefore w:val="0"/>
                    <w:widowControl w:val="0"/>
                    <w:kinsoku/>
                    <w:wordWrap/>
                    <w:overflowPunct/>
                    <w:autoSpaceDE/>
                    <w:autoSpaceDN/>
                    <w:bidi w:val="0"/>
                    <w:adjustRightInd/>
                    <w:snapToGrid w:val="0"/>
                    <w:spacing w:line="240" w:lineRule="auto"/>
                    <w:ind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18</w:t>
                  </w:r>
                </w:p>
              </w:tc>
              <w:tc>
                <w:tcPr>
                  <w:tcW w:w="2058" w:type="pct"/>
                  <w:vAlign w:val="center"/>
                </w:tcPr>
                <w:p>
                  <w:pPr>
                    <w:keepNext w:val="0"/>
                    <w:keepLines w:val="0"/>
                    <w:pageBreakBefore w:val="0"/>
                    <w:widowControl w:val="0"/>
                    <w:kinsoku/>
                    <w:wordWrap/>
                    <w:overflowPunct/>
                    <w:topLinePunct/>
                    <w:autoSpaceDE/>
                    <w:autoSpaceDN/>
                    <w:bidi w:val="0"/>
                    <w:adjustRightInd/>
                    <w:spacing w:line="240" w:lineRule="auto"/>
                    <w:ind w:right="0" w:rightChars="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声环境执行《声环境质量标准》（GB3096-2008）2类区标准</w:t>
                  </w:r>
                </w:p>
              </w:tc>
            </w:tr>
          </w:tbl>
          <w:p>
            <w:pPr>
              <w:widowControl/>
              <w:adjustRightInd w:val="0"/>
              <w:snapToGrid w:val="0"/>
              <w:spacing w:line="360" w:lineRule="auto"/>
              <w:rPr>
                <w:rFonts w:hint="default" w:ascii="Times New Roman" w:hAnsi="Times New Roman" w:cs="Times New Roman"/>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09" w:hRule="atLeast"/>
          <w:jc w:val="center"/>
        </w:trPr>
        <w:tc>
          <w:tcPr>
            <w:tcW w:w="280" w:type="pct"/>
            <w:tcBorders>
              <w:top w:val="single" w:color="auto" w:sz="4" w:space="0"/>
              <w:left w:val="single" w:color="auto" w:sz="8" w:space="0"/>
              <w:bottom w:val="single" w:color="auto" w:sz="4" w:space="0"/>
              <w:right w:val="single" w:color="auto" w:sz="4" w:space="0"/>
            </w:tcBorders>
            <w:shd w:val="clear" w:color="auto" w:fill="auto"/>
            <w:tcMar>
              <w:left w:w="28" w:type="dxa"/>
              <w:right w:w="28" w:type="dxa"/>
            </w:tcMar>
            <w:vAlign w:val="center"/>
          </w:tcPr>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lang w:bidi="ar"/>
              </w:rPr>
              <w:t>污染</w:t>
            </w:r>
          </w:p>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lang w:bidi="ar"/>
              </w:rPr>
              <w:t>物排</w:t>
            </w:r>
          </w:p>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lang w:bidi="ar"/>
              </w:rPr>
              <w:t>放控</w:t>
            </w:r>
          </w:p>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lang w:bidi="ar"/>
              </w:rPr>
              <w:t>制标</w:t>
            </w:r>
          </w:p>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lang w:bidi="ar"/>
              </w:rPr>
              <w:t>准</w:t>
            </w:r>
          </w:p>
        </w:tc>
        <w:tc>
          <w:tcPr>
            <w:tcW w:w="4719" w:type="pct"/>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pageBreakBefore w:val="0"/>
              <w:widowControl w:val="0"/>
              <w:numPr>
                <w:ilvl w:val="0"/>
                <w:numId w:val="8"/>
              </w:numPr>
              <w:kinsoku/>
              <w:wordWrap/>
              <w:overflowPunct/>
              <w:topLinePunct w:val="0"/>
              <w:autoSpaceDE/>
              <w:autoSpaceDN/>
              <w:bidi w:val="0"/>
              <w:adjustRightInd w:val="0"/>
              <w:snapToGrid w:val="0"/>
              <w:spacing w:before="157" w:beforeLines="50" w:line="360" w:lineRule="auto"/>
              <w:ind w:firstLine="482" w:firstLineChars="200"/>
              <w:textAlignment w:val="auto"/>
              <w:outlineLvl w:val="0"/>
              <w:rPr>
                <w:rFonts w:hint="default" w:ascii="Times New Roman" w:hAnsi="Times New Roman" w:cs="Times New Roman"/>
                <w:b/>
                <w:sz w:val="24"/>
              </w:rPr>
            </w:pPr>
            <w:r>
              <w:rPr>
                <w:rFonts w:hint="default" w:ascii="Times New Roman" w:hAnsi="Times New Roman" w:cs="Times New Roman"/>
                <w:b/>
                <w:sz w:val="24"/>
              </w:rPr>
              <w:t>大气污染物排放标准</w:t>
            </w:r>
          </w:p>
          <w:p>
            <w:pPr>
              <w:adjustRightInd w:val="0"/>
              <w:snapToGrid w:val="0"/>
              <w:spacing w:line="360" w:lineRule="auto"/>
              <w:ind w:firstLine="480" w:firstLineChars="200"/>
              <w:rPr>
                <w:rFonts w:hint="default" w:ascii="Times New Roman" w:hAnsi="Times New Roman" w:cs="Times New Roman"/>
                <w:color w:val="FF0000"/>
                <w:sz w:val="24"/>
              </w:rPr>
            </w:pPr>
            <w:r>
              <w:rPr>
                <w:rFonts w:hint="default" w:ascii="Times New Roman" w:hAnsi="Times New Roman" w:cs="Times New Roman"/>
                <w:kern w:val="0"/>
                <w:sz w:val="24"/>
              </w:rPr>
              <w:t>施工期</w:t>
            </w:r>
            <w:r>
              <w:rPr>
                <w:rFonts w:hint="default" w:ascii="Times New Roman" w:hAnsi="Times New Roman" w:cs="Times New Roman"/>
                <w:sz w:val="24"/>
              </w:rPr>
              <w:t>大气污染物中PM</w:t>
            </w:r>
            <w:r>
              <w:rPr>
                <w:rFonts w:hint="default" w:ascii="Times New Roman" w:hAnsi="Times New Roman" w:cs="Times New Roman"/>
                <w:sz w:val="24"/>
                <w:vertAlign w:val="subscript"/>
              </w:rPr>
              <w:t>10</w:t>
            </w:r>
            <w:r>
              <w:rPr>
                <w:rFonts w:hint="default" w:ascii="Times New Roman" w:hAnsi="Times New Roman" w:cs="Times New Roman"/>
                <w:sz w:val="24"/>
              </w:rPr>
              <w:t>执行《施工场地扬尘排放标准》(DB13/2934-2019)表1中的扬尘排放浓度限值</w:t>
            </w:r>
            <w:r>
              <w:rPr>
                <w:rFonts w:hint="default" w:ascii="Times New Roman" w:hAnsi="Times New Roman" w:cs="Times New Roman"/>
                <w:kern w:val="0"/>
                <w:sz w:val="24"/>
              </w:rPr>
              <w:t>；</w:t>
            </w:r>
            <w:r>
              <w:rPr>
                <w:rFonts w:hint="default" w:ascii="Times New Roman" w:hAnsi="Times New Roman" w:cs="Times New Roman"/>
                <w:color w:val="auto"/>
                <w:kern w:val="0"/>
                <w:sz w:val="24"/>
              </w:rPr>
              <w:t>运营期</w:t>
            </w:r>
            <w:r>
              <w:rPr>
                <w:rFonts w:hint="default" w:ascii="Times New Roman" w:hAnsi="Times New Roman" w:cs="Times New Roman"/>
                <w:color w:val="auto"/>
                <w:kern w:val="0"/>
                <w:sz w:val="24"/>
                <w:lang w:val="en-US" w:eastAsia="zh-CN"/>
              </w:rPr>
              <w:t>40t/h循环流化床燃煤锅炉排放的</w:t>
            </w:r>
            <w:r>
              <w:rPr>
                <w:rFonts w:hint="default" w:ascii="Times New Roman" w:hAnsi="Times New Roman" w:eastAsia="宋体" w:cs="Times New Roman"/>
                <w:color w:val="auto"/>
                <w:kern w:val="0"/>
                <w:sz w:val="24"/>
              </w:rPr>
              <w:t>废气中</w:t>
            </w:r>
            <w:r>
              <w:rPr>
                <w:rFonts w:hint="default" w:ascii="Times New Roman" w:hAnsi="Times New Roman" w:cs="Times New Roman" w:eastAsiaTheme="minorEastAsia"/>
                <w:color w:val="auto"/>
                <w:kern w:val="0"/>
                <w:sz w:val="24"/>
                <w:szCs w:val="20"/>
              </w:rPr>
              <w:t>颗粒物、</w:t>
            </w:r>
            <w:r>
              <w:rPr>
                <w:rFonts w:hint="default" w:ascii="Times New Roman" w:hAnsi="Times New Roman" w:cs="Times New Roman" w:eastAsiaTheme="minorEastAsia"/>
                <w:color w:val="auto"/>
                <w:kern w:val="0"/>
                <w:sz w:val="24"/>
                <w:szCs w:val="20"/>
                <w:lang w:val="en-US" w:eastAsia="zh-CN"/>
              </w:rPr>
              <w:t>汞及其化合物（以Hg计）</w:t>
            </w:r>
            <w:r>
              <w:rPr>
                <w:rFonts w:hint="default" w:ascii="Times New Roman" w:hAnsi="Times New Roman" w:cs="Times New Roman" w:eastAsiaTheme="minorEastAsia"/>
                <w:color w:val="auto"/>
                <w:kern w:val="0"/>
                <w:sz w:val="24"/>
                <w:szCs w:val="20"/>
                <w:lang w:eastAsia="zh-CN"/>
              </w:rPr>
              <w:t>、</w:t>
            </w:r>
            <w:r>
              <w:rPr>
                <w:rFonts w:hint="default" w:ascii="Times New Roman" w:hAnsi="Times New Roman" w:cs="Times New Roman" w:eastAsiaTheme="minorEastAsia"/>
                <w:color w:val="auto"/>
                <w:kern w:val="0"/>
                <w:sz w:val="24"/>
                <w:szCs w:val="20"/>
              </w:rPr>
              <w:t>SO</w:t>
            </w:r>
            <w:r>
              <w:rPr>
                <w:rFonts w:hint="default" w:ascii="Times New Roman" w:hAnsi="Times New Roman" w:cs="Times New Roman" w:eastAsiaTheme="minorEastAsia"/>
                <w:color w:val="auto"/>
                <w:kern w:val="0"/>
                <w:sz w:val="24"/>
                <w:szCs w:val="20"/>
                <w:vertAlign w:val="subscript"/>
              </w:rPr>
              <w:t>2</w:t>
            </w:r>
            <w:r>
              <w:rPr>
                <w:rFonts w:hint="default" w:ascii="Times New Roman" w:hAnsi="Times New Roman" w:cs="Times New Roman" w:eastAsiaTheme="minorEastAsia"/>
                <w:color w:val="auto"/>
                <w:kern w:val="0"/>
                <w:sz w:val="24"/>
                <w:szCs w:val="20"/>
              </w:rPr>
              <w:t>、NO</w:t>
            </w:r>
            <w:r>
              <w:rPr>
                <w:rFonts w:hint="default" w:ascii="Times New Roman" w:hAnsi="Times New Roman" w:cs="Times New Roman" w:eastAsiaTheme="minorEastAsia"/>
                <w:color w:val="auto"/>
                <w:kern w:val="0"/>
                <w:sz w:val="24"/>
                <w:szCs w:val="20"/>
                <w:vertAlign w:val="subscript"/>
              </w:rPr>
              <w:t>X</w:t>
            </w:r>
            <w:r>
              <w:rPr>
                <w:rFonts w:hint="default" w:ascii="Times New Roman" w:hAnsi="Times New Roman" w:eastAsia="宋体" w:cs="Times New Roman"/>
                <w:color w:val="auto"/>
                <w:kern w:val="0"/>
                <w:sz w:val="24"/>
              </w:rPr>
              <w:t>执行</w:t>
            </w:r>
            <w:r>
              <w:rPr>
                <w:rFonts w:hint="default" w:ascii="Times New Roman" w:hAnsi="Times New Roman" w:eastAsia="宋体" w:cs="Times New Roman"/>
                <w:color w:val="auto"/>
                <w:kern w:val="0"/>
                <w:sz w:val="24"/>
                <w:lang w:val="en-US" w:eastAsia="zh-CN"/>
              </w:rPr>
              <w:t>《锅炉大气污染物排放标准》（DB 13/ 5161—2020）中表1大气污染物排放限值的要求；</w:t>
            </w:r>
            <w:r>
              <w:rPr>
                <w:rFonts w:hint="default" w:ascii="Times New Roman" w:hAnsi="Times New Roman" w:eastAsia="宋体" w:cs="Times New Roman"/>
                <w:kern w:val="0"/>
                <w:sz w:val="24"/>
                <w:lang w:val="en-US" w:eastAsia="zh-CN"/>
              </w:rPr>
              <w:t>40t/h循环流化床燃煤锅炉锅炉制煤系统上料、破碎废气中的颗粒物</w:t>
            </w:r>
            <w:r>
              <w:rPr>
                <w:rFonts w:hint="default" w:ascii="Times New Roman" w:hAnsi="Times New Roman" w:eastAsia="宋体" w:cs="Times New Roman"/>
                <w:kern w:val="0"/>
                <w:sz w:val="24"/>
              </w:rPr>
              <w:t>执行《大气污染物综合排放标准》（GB16297-1996）表2</w:t>
            </w:r>
            <w:r>
              <w:rPr>
                <w:rFonts w:hint="default" w:ascii="Times New Roman" w:hAnsi="Times New Roman" w:eastAsia="宋体" w:cs="Times New Roman"/>
                <w:kern w:val="0"/>
                <w:sz w:val="24"/>
                <w:lang w:val="en-US" w:eastAsia="zh-CN"/>
              </w:rPr>
              <w:t>中相关限值</w:t>
            </w:r>
            <w:r>
              <w:rPr>
                <w:rFonts w:hint="default" w:ascii="Times New Roman" w:hAnsi="Times New Roman" w:eastAsia="宋体" w:cs="Times New Roman"/>
                <w:kern w:val="0"/>
                <w:sz w:val="24"/>
              </w:rPr>
              <w:t>的要求</w:t>
            </w:r>
            <w:r>
              <w:rPr>
                <w:rFonts w:hint="default" w:ascii="Times New Roman" w:hAnsi="Times New Roman" w:eastAsia="宋体" w:cs="Times New Roman"/>
                <w:kern w:val="0"/>
                <w:sz w:val="24"/>
                <w:lang w:eastAsia="zh-CN"/>
              </w:rPr>
              <w:t>；</w:t>
            </w:r>
            <w:r>
              <w:rPr>
                <w:rFonts w:hint="default" w:ascii="Times New Roman" w:hAnsi="Times New Roman" w:eastAsia="宋体" w:cs="Times New Roman"/>
                <w:color w:val="auto"/>
                <w:kern w:val="0"/>
                <w:sz w:val="24"/>
                <w:lang w:val="en-US" w:eastAsia="zh-CN"/>
              </w:rPr>
              <w:t>20t/h生物质锅炉废气中颗粒物、SO</w:t>
            </w:r>
            <w:r>
              <w:rPr>
                <w:rFonts w:hint="default" w:ascii="Times New Roman" w:hAnsi="Times New Roman" w:eastAsia="宋体" w:cs="Times New Roman"/>
                <w:color w:val="auto"/>
                <w:kern w:val="0"/>
                <w:sz w:val="24"/>
                <w:vertAlign w:val="subscript"/>
                <w:lang w:val="en-US" w:eastAsia="zh-CN"/>
              </w:rPr>
              <w:t>2</w:t>
            </w:r>
            <w:r>
              <w:rPr>
                <w:rFonts w:hint="default" w:ascii="Times New Roman" w:hAnsi="Times New Roman" w:eastAsia="宋体" w:cs="Times New Roman"/>
                <w:color w:val="auto"/>
                <w:kern w:val="0"/>
                <w:sz w:val="24"/>
                <w:lang w:val="en-US" w:eastAsia="zh-CN"/>
              </w:rPr>
              <w:t>、NO</w:t>
            </w:r>
            <w:r>
              <w:rPr>
                <w:rFonts w:hint="default" w:ascii="Times New Roman" w:hAnsi="Times New Roman" w:eastAsia="宋体" w:cs="Times New Roman"/>
                <w:color w:val="auto"/>
                <w:kern w:val="0"/>
                <w:sz w:val="24"/>
                <w:vertAlign w:val="subscript"/>
                <w:lang w:val="en-US" w:eastAsia="zh-CN"/>
              </w:rPr>
              <w:t>X</w:t>
            </w:r>
            <w:r>
              <w:rPr>
                <w:rFonts w:hint="default" w:ascii="Times New Roman" w:hAnsi="Times New Roman" w:eastAsia="宋体" w:cs="Times New Roman"/>
                <w:color w:val="auto"/>
                <w:kern w:val="0"/>
                <w:sz w:val="24"/>
                <w:lang w:eastAsia="zh-CN"/>
              </w:rPr>
              <w:t>执行《锅炉大气污染物排放标准》(DB13/5161—2020)中表1大气污染物排放</w:t>
            </w:r>
            <w:r>
              <w:rPr>
                <w:rFonts w:hint="default" w:ascii="Times New Roman" w:hAnsi="Times New Roman" w:eastAsia="宋体" w:cs="Times New Roman"/>
                <w:color w:val="auto"/>
                <w:kern w:val="0"/>
                <w:sz w:val="24"/>
                <w:lang w:val="en-US" w:eastAsia="zh-CN"/>
              </w:rPr>
              <w:t>相关</w:t>
            </w:r>
            <w:r>
              <w:rPr>
                <w:rFonts w:hint="default" w:ascii="Times New Roman" w:hAnsi="Times New Roman" w:eastAsia="宋体" w:cs="Times New Roman"/>
                <w:color w:val="auto"/>
                <w:kern w:val="0"/>
                <w:sz w:val="24"/>
                <w:lang w:eastAsia="zh-CN"/>
              </w:rPr>
              <w:t>限值</w:t>
            </w:r>
            <w:r>
              <w:rPr>
                <w:rFonts w:hint="default" w:ascii="Times New Roman" w:hAnsi="Times New Roman" w:eastAsia="宋体" w:cs="Times New Roman"/>
                <w:color w:val="auto"/>
                <w:kern w:val="0"/>
                <w:sz w:val="24"/>
                <w:lang w:val="en-US" w:eastAsia="zh-CN"/>
              </w:rPr>
              <w:t>要求</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lang w:val="en-US" w:eastAsia="zh-CN"/>
              </w:rPr>
              <w:t>灰仓粉尘有组织排放执行《大气污染物综合排放标准》 （GB16297-1996）表2中相关限值的要求；</w:t>
            </w:r>
            <w:r>
              <w:rPr>
                <w:rFonts w:hint="default" w:ascii="Times New Roman" w:hAnsi="Times New Roman" w:eastAsia="宋体" w:cs="Times New Roman"/>
                <w:color w:val="auto"/>
                <w:kern w:val="0"/>
                <w:sz w:val="24"/>
                <w:lang w:eastAsia="zh-CN"/>
              </w:rPr>
              <w:t>破碎楼</w:t>
            </w:r>
            <w:r>
              <w:rPr>
                <w:rFonts w:hint="default" w:ascii="Times New Roman" w:hAnsi="Times New Roman" w:eastAsia="宋体" w:cs="Times New Roman"/>
                <w:kern w:val="0"/>
                <w:sz w:val="24"/>
                <w:lang w:val="en-US" w:eastAsia="zh-CN"/>
              </w:rPr>
              <w:t>制煤系统破碎废气、煤棚、渣库产生的无组织颗粒物执行《大气污染物综合排放标准》（GB16297-1996）表2中无组织排放监控限值</w:t>
            </w:r>
            <w:r>
              <w:rPr>
                <w:rFonts w:hint="default" w:ascii="Times New Roman" w:hAnsi="Times New Roman" w:eastAsia="宋体" w:cs="Times New Roman"/>
                <w:kern w:val="0"/>
                <w:sz w:val="24"/>
              </w:rPr>
              <w:t>。</w:t>
            </w:r>
            <w:r>
              <w:rPr>
                <w:rFonts w:hint="default" w:ascii="Times New Roman" w:hAnsi="Times New Roman" w:cs="Times New Roman"/>
                <w:sz w:val="24"/>
              </w:rPr>
              <w:t>具体标准限值详见下表：</w:t>
            </w:r>
          </w:p>
          <w:p>
            <w:pPr>
              <w:widowControl/>
              <w:adjustRightInd w:val="0"/>
              <w:snapToGrid w:val="0"/>
              <w:spacing w:line="360" w:lineRule="auto"/>
              <w:jc w:val="center"/>
              <w:rPr>
                <w:rFonts w:hint="default" w:ascii="Times New Roman" w:hAnsi="Times New Roman" w:cs="Times New Roman"/>
                <w:b/>
                <w:kern w:val="44"/>
                <w:szCs w:val="21"/>
              </w:rPr>
            </w:pPr>
            <w:r>
              <w:rPr>
                <w:rFonts w:hint="default" w:ascii="Times New Roman" w:hAnsi="Times New Roman" w:cs="Times New Roman"/>
                <w:b/>
                <w:kern w:val="44"/>
                <w:szCs w:val="21"/>
              </w:rPr>
              <w:t>表3-</w:t>
            </w:r>
            <w:r>
              <w:rPr>
                <w:rFonts w:hint="default" w:ascii="Times New Roman" w:hAnsi="Times New Roman" w:cs="Times New Roman"/>
                <w:b/>
                <w:kern w:val="44"/>
                <w:szCs w:val="21"/>
                <w:lang w:val="en-US" w:eastAsia="zh-CN"/>
              </w:rPr>
              <w:t>9</w:t>
            </w:r>
            <w:r>
              <w:rPr>
                <w:rFonts w:hint="default" w:ascii="Times New Roman" w:hAnsi="Times New Roman" w:cs="Times New Roman"/>
                <w:b/>
                <w:kern w:val="44"/>
                <w:szCs w:val="21"/>
              </w:rPr>
              <w:t xml:space="preserve">  大气污染物排放标准</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6"/>
              <w:gridCol w:w="1968"/>
              <w:gridCol w:w="1176"/>
              <w:gridCol w:w="802"/>
              <w:gridCol w:w="980"/>
              <w:gridCol w:w="1030"/>
              <w:gridCol w:w="1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4" w:type="pct"/>
                  <w:vAlign w:val="center"/>
                </w:tcPr>
                <w:p>
                  <w:pPr>
                    <w:topLinePunct/>
                    <w:adjustRightInd w:val="0"/>
                    <w:spacing w:line="0" w:lineRule="atLeast"/>
                    <w:jc w:val="center"/>
                    <w:textAlignment w:val="center"/>
                    <w:rPr>
                      <w:rFonts w:hint="default" w:ascii="Times New Roman" w:hAnsi="Times New Roman" w:eastAsia="宋体" w:cs="Times New Roman"/>
                      <w:b/>
                      <w:szCs w:val="21"/>
                    </w:rPr>
                  </w:pPr>
                  <w:r>
                    <w:rPr>
                      <w:rFonts w:hint="default" w:ascii="Times New Roman" w:hAnsi="Times New Roman" w:eastAsia="宋体" w:cs="Times New Roman"/>
                      <w:b/>
                      <w:szCs w:val="21"/>
                    </w:rPr>
                    <w:t>污染源类别</w:t>
                  </w:r>
                </w:p>
              </w:tc>
              <w:tc>
                <w:tcPr>
                  <w:tcW w:w="1173" w:type="pct"/>
                  <w:vAlign w:val="center"/>
                </w:tcPr>
                <w:p>
                  <w:pPr>
                    <w:wordWrap w:val="0"/>
                    <w:topLinePunct/>
                    <w:adjustRightInd w:val="0"/>
                    <w:spacing w:line="0" w:lineRule="atLeast"/>
                    <w:jc w:val="center"/>
                    <w:textAlignment w:val="center"/>
                    <w:rPr>
                      <w:rFonts w:hint="default" w:ascii="Times New Roman" w:hAnsi="Times New Roman" w:eastAsia="宋体" w:cs="Times New Roman"/>
                      <w:b/>
                      <w:szCs w:val="21"/>
                    </w:rPr>
                  </w:pPr>
                  <w:r>
                    <w:rPr>
                      <w:rFonts w:hint="default" w:ascii="Times New Roman" w:hAnsi="Times New Roman" w:eastAsia="宋体" w:cs="Times New Roman"/>
                      <w:b/>
                      <w:szCs w:val="21"/>
                    </w:rPr>
                    <w:t>标准名称</w:t>
                  </w:r>
                </w:p>
              </w:tc>
              <w:tc>
                <w:tcPr>
                  <w:tcW w:w="701" w:type="pct"/>
                  <w:vAlign w:val="center"/>
                </w:tcPr>
                <w:p>
                  <w:pPr>
                    <w:wordWrap w:val="0"/>
                    <w:topLinePunct/>
                    <w:adjustRightInd w:val="0"/>
                    <w:spacing w:line="0" w:lineRule="atLeast"/>
                    <w:jc w:val="center"/>
                    <w:textAlignment w:val="center"/>
                    <w:rPr>
                      <w:rFonts w:hint="default" w:ascii="Times New Roman" w:hAnsi="Times New Roman" w:eastAsia="宋体" w:cs="Times New Roman"/>
                      <w:b/>
                      <w:szCs w:val="21"/>
                      <w:lang w:eastAsia="zh-CN"/>
                    </w:rPr>
                  </w:pPr>
                  <w:r>
                    <w:rPr>
                      <w:rFonts w:hint="default" w:ascii="Times New Roman" w:hAnsi="Times New Roman" w:eastAsia="宋体" w:cs="Times New Roman"/>
                      <w:b/>
                      <w:szCs w:val="21"/>
                      <w:lang w:eastAsia="zh-CN"/>
                    </w:rPr>
                    <w:t>排放类型</w:t>
                  </w:r>
                </w:p>
              </w:tc>
              <w:tc>
                <w:tcPr>
                  <w:tcW w:w="478" w:type="pct"/>
                  <w:vAlign w:val="center"/>
                </w:tcPr>
                <w:p>
                  <w:pPr>
                    <w:wordWrap w:val="0"/>
                    <w:topLinePunct/>
                    <w:adjustRightInd w:val="0"/>
                    <w:spacing w:line="0" w:lineRule="atLeast"/>
                    <w:jc w:val="center"/>
                    <w:textAlignment w:val="center"/>
                    <w:rPr>
                      <w:rFonts w:hint="default" w:ascii="Times New Roman" w:hAnsi="Times New Roman" w:eastAsia="宋体" w:cs="Times New Roman"/>
                      <w:b/>
                      <w:szCs w:val="21"/>
                    </w:rPr>
                  </w:pPr>
                  <w:r>
                    <w:rPr>
                      <w:rFonts w:hint="default" w:ascii="Times New Roman" w:hAnsi="Times New Roman" w:eastAsia="宋体" w:cs="Times New Roman"/>
                      <w:b/>
                      <w:szCs w:val="21"/>
                    </w:rPr>
                    <w:t>污染物</w:t>
                  </w:r>
                </w:p>
              </w:tc>
              <w:tc>
                <w:tcPr>
                  <w:tcW w:w="584" w:type="pct"/>
                  <w:vAlign w:val="center"/>
                </w:tcPr>
                <w:p>
                  <w:pPr>
                    <w:topLinePunct/>
                    <w:adjustRightInd w:val="0"/>
                    <w:spacing w:line="0" w:lineRule="atLeast"/>
                    <w:jc w:val="center"/>
                    <w:textAlignment w:val="center"/>
                    <w:rPr>
                      <w:rFonts w:hint="default" w:ascii="Times New Roman" w:hAnsi="Times New Roman" w:eastAsia="宋体" w:cs="Times New Roman"/>
                      <w:b/>
                      <w:szCs w:val="21"/>
                    </w:rPr>
                  </w:pPr>
                  <w:r>
                    <w:rPr>
                      <w:rFonts w:hint="default" w:ascii="Times New Roman" w:hAnsi="Times New Roman" w:eastAsia="宋体" w:cs="Times New Roman"/>
                      <w:b/>
                      <w:szCs w:val="21"/>
                    </w:rPr>
                    <w:t>浓度限值</w:t>
                  </w:r>
                </w:p>
              </w:tc>
              <w:tc>
                <w:tcPr>
                  <w:tcW w:w="614" w:type="pct"/>
                  <w:vAlign w:val="center"/>
                </w:tcPr>
                <w:p>
                  <w:pPr>
                    <w:topLinePunct/>
                    <w:adjustRightInd w:val="0"/>
                    <w:spacing w:line="0" w:lineRule="atLeast"/>
                    <w:jc w:val="center"/>
                    <w:textAlignment w:val="center"/>
                    <w:rPr>
                      <w:rFonts w:hint="default" w:ascii="Times New Roman" w:hAnsi="Times New Roman" w:eastAsia="宋体" w:cs="Times New Roman"/>
                      <w:b/>
                      <w:szCs w:val="21"/>
                    </w:rPr>
                  </w:pPr>
                  <w:r>
                    <w:rPr>
                      <w:rFonts w:hint="default" w:ascii="Times New Roman" w:hAnsi="Times New Roman" w:eastAsia="宋体" w:cs="Times New Roman"/>
                      <w:b/>
                      <w:szCs w:val="21"/>
                    </w:rPr>
                    <w:t>单位</w:t>
                  </w:r>
                </w:p>
              </w:tc>
              <w:tc>
                <w:tcPr>
                  <w:tcW w:w="883" w:type="pct"/>
                  <w:vAlign w:val="center"/>
                </w:tcPr>
                <w:p>
                  <w:pPr>
                    <w:topLinePunct/>
                    <w:adjustRightInd w:val="0"/>
                    <w:spacing w:line="0" w:lineRule="atLeast"/>
                    <w:jc w:val="center"/>
                    <w:textAlignment w:val="center"/>
                    <w:rPr>
                      <w:rFonts w:hint="default" w:ascii="Times New Roman" w:hAnsi="Times New Roman" w:eastAsia="宋体" w:cs="Times New Roman"/>
                      <w:b/>
                      <w:szCs w:val="21"/>
                      <w:lang w:eastAsia="zh-CN"/>
                    </w:rPr>
                  </w:pPr>
                  <w:r>
                    <w:rPr>
                      <w:rFonts w:hint="default" w:ascii="Times New Roman" w:hAnsi="Times New Roman" w:eastAsia="宋体" w:cs="Times New Roman"/>
                      <w:b/>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564" w:type="pct"/>
                  <w:vMerge w:val="restart"/>
                  <w:vAlign w:val="center"/>
                </w:tcPr>
                <w:p>
                  <w:pPr>
                    <w:topLinePunct/>
                    <w:adjustRightInd w:val="0"/>
                    <w:spacing w:line="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173" w:type="pct"/>
                  <w:vMerge w:val="restart"/>
                  <w:vAlign w:val="center"/>
                </w:tcPr>
                <w:p>
                  <w:pPr>
                    <w:topLinePunct/>
                    <w:adjustRightInd w:val="0"/>
                    <w:spacing w:line="0" w:lineRule="atLeast"/>
                    <w:jc w:val="center"/>
                    <w:textAlignment w:val="center"/>
                    <w:rPr>
                      <w:rFonts w:hint="default" w:ascii="Times New Roman" w:hAnsi="Times New Roman" w:eastAsia="宋体" w:cs="Times New Roman"/>
                      <w:szCs w:val="21"/>
                    </w:rPr>
                  </w:pPr>
                  <w:r>
                    <w:rPr>
                      <w:rFonts w:hint="default" w:ascii="Times New Roman" w:hAnsi="Times New Roman" w:cs="Times New Roman"/>
                      <w:szCs w:val="21"/>
                    </w:rPr>
                    <w:t>《施工场地扬尘排放标准》(DB13/2934-2019)</w:t>
                  </w:r>
                </w:p>
              </w:tc>
              <w:tc>
                <w:tcPr>
                  <w:tcW w:w="701" w:type="pct"/>
                  <w:vMerge w:val="restart"/>
                  <w:vAlign w:val="center"/>
                </w:tcPr>
                <w:p>
                  <w:pPr>
                    <w:topLinePunct/>
                    <w:adjustRightInd w:val="0"/>
                    <w:spacing w:line="0" w:lineRule="atLeast"/>
                    <w:jc w:val="center"/>
                    <w:textAlignment w:val="center"/>
                    <w:rPr>
                      <w:rFonts w:hint="default" w:ascii="Times New Roman" w:hAnsi="Times New Roman" w:cs="Times New Roman"/>
                      <w:szCs w:val="21"/>
                    </w:rPr>
                  </w:pPr>
                  <w:r>
                    <w:rPr>
                      <w:rFonts w:hint="default" w:ascii="Times New Roman" w:hAnsi="Times New Roman" w:cs="Times New Roman"/>
                      <w:szCs w:val="21"/>
                    </w:rPr>
                    <w:t>无组织排放</w:t>
                  </w:r>
                </w:p>
              </w:tc>
              <w:tc>
                <w:tcPr>
                  <w:tcW w:w="478" w:type="pct"/>
                  <w:vMerge w:val="restart"/>
                  <w:vAlign w:val="center"/>
                </w:tcPr>
                <w:p>
                  <w:pPr>
                    <w:topLinePunct/>
                    <w:adjustRightInd w:val="0"/>
                    <w:spacing w:line="0" w:lineRule="atLeast"/>
                    <w:jc w:val="center"/>
                    <w:textAlignment w:val="center"/>
                    <w:rPr>
                      <w:rFonts w:hint="default" w:ascii="Times New Roman" w:hAnsi="Times New Roman" w:eastAsia="宋体" w:cs="Times New Roman"/>
                      <w:szCs w:val="21"/>
                    </w:rPr>
                  </w:pPr>
                  <w:r>
                    <w:rPr>
                      <w:rFonts w:hint="default" w:ascii="Times New Roman" w:hAnsi="Times New Roman" w:cs="Times New Roman"/>
                      <w:szCs w:val="21"/>
                    </w:rPr>
                    <w:t>PM</w:t>
                  </w:r>
                  <w:r>
                    <w:rPr>
                      <w:rFonts w:hint="default" w:ascii="Times New Roman" w:hAnsi="Times New Roman" w:cs="Times New Roman"/>
                      <w:szCs w:val="21"/>
                      <w:vertAlign w:val="subscript"/>
                    </w:rPr>
                    <w:t>10</w:t>
                  </w:r>
                  <w:r>
                    <w:rPr>
                      <w:rFonts w:hint="default" w:ascii="Times New Roman" w:hAnsi="Times New Roman" w:cs="Times New Roman"/>
                      <w:b/>
                      <w:bCs/>
                      <w:szCs w:val="21"/>
                    </w:rPr>
                    <w:t>*</w:t>
                  </w:r>
                </w:p>
              </w:tc>
              <w:tc>
                <w:tcPr>
                  <w:tcW w:w="584" w:type="pct"/>
                  <w:vAlign w:val="center"/>
                </w:tcPr>
                <w:p>
                  <w:pPr>
                    <w:topLinePunct/>
                    <w:adjustRightInd w:val="0"/>
                    <w:spacing w:line="0" w:lineRule="atLeast"/>
                    <w:jc w:val="center"/>
                    <w:textAlignment w:val="center"/>
                    <w:rPr>
                      <w:rFonts w:hint="default" w:ascii="Times New Roman" w:hAnsi="Times New Roman" w:eastAsia="宋体" w:cs="Times New Roman"/>
                      <w:szCs w:val="21"/>
                    </w:rPr>
                  </w:pPr>
                  <w:r>
                    <w:rPr>
                      <w:rFonts w:hint="default" w:ascii="Times New Roman" w:hAnsi="Times New Roman" w:cs="Times New Roman"/>
                      <w:szCs w:val="21"/>
                    </w:rPr>
                    <w:t>80</w:t>
                  </w:r>
                </w:p>
              </w:tc>
              <w:tc>
                <w:tcPr>
                  <w:tcW w:w="614" w:type="pct"/>
                  <w:vAlign w:val="center"/>
                </w:tcPr>
                <w:p>
                  <w:pPr>
                    <w:topLinePunct/>
                    <w:adjustRightInd w:val="0"/>
                    <w:spacing w:line="0" w:lineRule="atLeast"/>
                    <w:jc w:val="center"/>
                    <w:textAlignment w:val="center"/>
                    <w:rPr>
                      <w:rFonts w:hint="default" w:ascii="Times New Roman" w:hAnsi="Times New Roman" w:eastAsia="宋体" w:cs="Times New Roman"/>
                      <w:szCs w:val="21"/>
                    </w:rPr>
                  </w:pPr>
                  <w:r>
                    <w:rPr>
                      <w:rFonts w:hint="default" w:ascii="Times New Roman" w:hAnsi="Times New Roman" w:cs="Times New Roman"/>
                      <w:szCs w:val="21"/>
                    </w:rPr>
                    <w:t>μg/m³</w:t>
                  </w:r>
                </w:p>
              </w:tc>
              <w:tc>
                <w:tcPr>
                  <w:tcW w:w="883" w:type="pct"/>
                  <w:vAlign w:val="center"/>
                </w:tcPr>
                <w:p>
                  <w:pPr>
                    <w:topLinePunct/>
                    <w:adjustRightInd w:val="0"/>
                    <w:spacing w:line="0" w:lineRule="atLeast"/>
                    <w:jc w:val="center"/>
                    <w:textAlignment w:val="cente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564" w:type="pct"/>
                  <w:vMerge w:val="continue"/>
                  <w:vAlign w:val="center"/>
                </w:tcPr>
                <w:p>
                  <w:pPr>
                    <w:topLinePunct/>
                    <w:adjustRightInd w:val="0"/>
                    <w:spacing w:line="0" w:lineRule="atLeast"/>
                    <w:jc w:val="center"/>
                    <w:textAlignment w:val="center"/>
                    <w:rPr>
                      <w:rFonts w:hint="default" w:ascii="Times New Roman" w:hAnsi="Times New Roman" w:eastAsia="宋体" w:cs="Times New Roman"/>
                      <w:szCs w:val="21"/>
                    </w:rPr>
                  </w:pPr>
                </w:p>
              </w:tc>
              <w:tc>
                <w:tcPr>
                  <w:tcW w:w="1173" w:type="pct"/>
                  <w:vMerge w:val="continue"/>
                  <w:vAlign w:val="center"/>
                </w:tcPr>
                <w:p>
                  <w:pPr>
                    <w:topLinePunct/>
                    <w:adjustRightInd w:val="0"/>
                    <w:spacing w:line="0" w:lineRule="atLeast"/>
                    <w:jc w:val="center"/>
                    <w:textAlignment w:val="center"/>
                    <w:rPr>
                      <w:rFonts w:hint="default" w:ascii="Times New Roman" w:hAnsi="Times New Roman" w:cs="Times New Roman"/>
                      <w:szCs w:val="21"/>
                    </w:rPr>
                  </w:pPr>
                </w:p>
              </w:tc>
              <w:tc>
                <w:tcPr>
                  <w:tcW w:w="701" w:type="pct"/>
                  <w:vMerge w:val="continue"/>
                  <w:vAlign w:val="center"/>
                </w:tcPr>
                <w:p>
                  <w:pPr>
                    <w:topLinePunct/>
                    <w:adjustRightInd w:val="0"/>
                    <w:spacing w:line="0" w:lineRule="atLeast"/>
                    <w:jc w:val="center"/>
                    <w:textAlignment w:val="center"/>
                    <w:rPr>
                      <w:rFonts w:hint="default" w:ascii="Times New Roman" w:hAnsi="Times New Roman" w:cs="Times New Roman"/>
                      <w:szCs w:val="21"/>
                    </w:rPr>
                  </w:pPr>
                </w:p>
              </w:tc>
              <w:tc>
                <w:tcPr>
                  <w:tcW w:w="478" w:type="pct"/>
                  <w:vMerge w:val="continue"/>
                  <w:vAlign w:val="center"/>
                </w:tcPr>
                <w:p>
                  <w:pPr>
                    <w:topLinePunct/>
                    <w:adjustRightInd w:val="0"/>
                    <w:spacing w:line="0" w:lineRule="atLeast"/>
                    <w:jc w:val="center"/>
                    <w:textAlignment w:val="center"/>
                    <w:rPr>
                      <w:rFonts w:hint="default" w:ascii="Times New Roman" w:hAnsi="Times New Roman" w:cs="Times New Roman"/>
                      <w:szCs w:val="21"/>
                    </w:rPr>
                  </w:pPr>
                </w:p>
              </w:tc>
              <w:tc>
                <w:tcPr>
                  <w:tcW w:w="584" w:type="pct"/>
                  <w:vAlign w:val="center"/>
                </w:tcPr>
                <w:p>
                  <w:pPr>
                    <w:topLinePunct/>
                    <w:adjustRightInd w:val="0"/>
                    <w:spacing w:line="0" w:lineRule="atLeast"/>
                    <w:jc w:val="center"/>
                    <w:textAlignment w:val="center"/>
                    <w:rPr>
                      <w:rFonts w:hint="default" w:ascii="Times New Roman" w:hAnsi="Times New Roman" w:cs="Times New Roman"/>
                      <w:szCs w:val="21"/>
                    </w:rPr>
                  </w:pPr>
                  <w:r>
                    <w:rPr>
                      <w:rFonts w:hint="default" w:ascii="Times New Roman" w:hAnsi="Times New Roman" w:cs="Times New Roman"/>
                      <w:szCs w:val="21"/>
                    </w:rPr>
                    <w:t>≤2</w:t>
                  </w:r>
                </w:p>
              </w:tc>
              <w:tc>
                <w:tcPr>
                  <w:tcW w:w="614" w:type="pct"/>
                  <w:vAlign w:val="center"/>
                </w:tcPr>
                <w:p>
                  <w:pPr>
                    <w:topLinePunct/>
                    <w:adjustRightInd w:val="0"/>
                    <w:spacing w:line="0" w:lineRule="atLeast"/>
                    <w:jc w:val="center"/>
                    <w:textAlignment w:val="center"/>
                    <w:rPr>
                      <w:rFonts w:hint="default" w:ascii="Times New Roman" w:hAnsi="Times New Roman" w:cs="Times New Roman"/>
                      <w:szCs w:val="21"/>
                    </w:rPr>
                  </w:pPr>
                  <w:r>
                    <w:rPr>
                      <w:rFonts w:hint="default" w:ascii="Times New Roman" w:hAnsi="Times New Roman" w:cs="Times New Roman"/>
                      <w:szCs w:val="21"/>
                    </w:rPr>
                    <w:t>次/天</w:t>
                  </w:r>
                </w:p>
              </w:tc>
              <w:tc>
                <w:tcPr>
                  <w:tcW w:w="883" w:type="pct"/>
                  <w:vAlign w:val="center"/>
                </w:tcPr>
                <w:p>
                  <w:pPr>
                    <w:topLinePunct/>
                    <w:adjustRightInd w:val="0"/>
                    <w:spacing w:line="0" w:lineRule="atLeast"/>
                    <w:jc w:val="center"/>
                    <w:textAlignment w:val="cente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4" w:type="pct"/>
                  <w:vMerge w:val="continue"/>
                  <w:vAlign w:val="center"/>
                </w:tcPr>
                <w:p>
                  <w:pPr>
                    <w:topLinePunct/>
                    <w:adjustRightInd w:val="0"/>
                    <w:spacing w:line="0" w:lineRule="atLeast"/>
                    <w:jc w:val="center"/>
                    <w:textAlignment w:val="center"/>
                    <w:rPr>
                      <w:rFonts w:hint="default" w:ascii="Times New Roman" w:hAnsi="Times New Roman" w:eastAsia="宋体" w:cs="Times New Roman"/>
                      <w:szCs w:val="21"/>
                    </w:rPr>
                  </w:pPr>
                </w:p>
              </w:tc>
              <w:tc>
                <w:tcPr>
                  <w:tcW w:w="1173" w:type="pct"/>
                  <w:vMerge w:val="restart"/>
                  <w:vAlign w:val="center"/>
                </w:tcPr>
                <w:p>
                  <w:pPr>
                    <w:topLinePunct/>
                    <w:adjustRightInd w:val="0"/>
                    <w:spacing w:line="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《锅炉大气污染物排放标准》（DB 13/ 5161—2020）中表1大气污染物排放限值的要求</w:t>
                  </w:r>
                </w:p>
              </w:tc>
              <w:tc>
                <w:tcPr>
                  <w:tcW w:w="701" w:type="pct"/>
                  <w:vMerge w:val="restart"/>
                  <w:vAlign w:val="center"/>
                </w:tcPr>
                <w:p>
                  <w:pPr>
                    <w:topLinePunct/>
                    <w:adjustRightInd w:val="0"/>
                    <w:spacing w:line="260" w:lineRule="exac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lang w:eastAsia="zh-CN"/>
                    </w:rPr>
                    <w:t>有组织排放</w:t>
                  </w:r>
                </w:p>
              </w:tc>
              <w:tc>
                <w:tcPr>
                  <w:tcW w:w="478" w:type="pct"/>
                  <w:vAlign w:val="center"/>
                </w:tcPr>
                <w:p>
                  <w:pPr>
                    <w:topLinePunct/>
                    <w:adjustRightInd w:val="0"/>
                    <w:spacing w:line="260" w:lineRule="exac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颗粒物</w:t>
                  </w:r>
                </w:p>
              </w:tc>
              <w:tc>
                <w:tcPr>
                  <w:tcW w:w="584" w:type="pct"/>
                  <w:vAlign w:val="center"/>
                </w:tcPr>
                <w:p>
                  <w:pPr>
                    <w:topLinePunct/>
                    <w:adjustRightInd w:val="0"/>
                    <w:spacing w:line="0" w:lineRule="atLeast"/>
                    <w:jc w:val="center"/>
                    <w:textAlignment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10</w:t>
                  </w:r>
                </w:p>
              </w:tc>
              <w:tc>
                <w:tcPr>
                  <w:tcW w:w="614" w:type="pct"/>
                  <w:vAlign w:val="center"/>
                </w:tcPr>
                <w:p>
                  <w:pPr>
                    <w:topLinePunct/>
                    <w:adjustRightInd w:val="0"/>
                    <w:spacing w:line="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mg/m</w:t>
                  </w:r>
                  <w:r>
                    <w:rPr>
                      <w:rFonts w:hint="default" w:ascii="Times New Roman" w:hAnsi="Times New Roman" w:eastAsia="宋体" w:cs="Times New Roman"/>
                      <w:szCs w:val="21"/>
                      <w:vertAlign w:val="superscript"/>
                    </w:rPr>
                    <w:t>3</w:t>
                  </w:r>
                </w:p>
              </w:tc>
              <w:tc>
                <w:tcPr>
                  <w:tcW w:w="883" w:type="pct"/>
                  <w:vAlign w:val="center"/>
                </w:tcPr>
                <w:p>
                  <w:pPr>
                    <w:topLinePunct/>
                    <w:adjustRightInd w:val="0"/>
                    <w:spacing w:line="0" w:lineRule="atLeast"/>
                    <w:jc w:val="center"/>
                    <w:textAlignment w:val="cente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4" w:type="pct"/>
                  <w:vMerge w:val="continue"/>
                  <w:vAlign w:val="center"/>
                </w:tcPr>
                <w:p>
                  <w:pPr>
                    <w:topLinePunct/>
                    <w:adjustRightInd w:val="0"/>
                    <w:spacing w:line="0" w:lineRule="atLeast"/>
                    <w:jc w:val="center"/>
                    <w:textAlignment w:val="center"/>
                    <w:rPr>
                      <w:rFonts w:hint="default" w:ascii="Times New Roman" w:hAnsi="Times New Roman" w:eastAsia="宋体" w:cs="Times New Roman"/>
                      <w:szCs w:val="21"/>
                    </w:rPr>
                  </w:pPr>
                </w:p>
              </w:tc>
              <w:tc>
                <w:tcPr>
                  <w:tcW w:w="1173" w:type="pct"/>
                  <w:vMerge w:val="continue"/>
                  <w:vAlign w:val="center"/>
                </w:tcPr>
                <w:p>
                  <w:pPr>
                    <w:topLinePunct/>
                    <w:adjustRightInd w:val="0"/>
                    <w:spacing w:line="0" w:lineRule="atLeast"/>
                    <w:jc w:val="center"/>
                    <w:textAlignment w:val="center"/>
                    <w:rPr>
                      <w:rFonts w:hint="default" w:ascii="Times New Roman" w:hAnsi="Times New Roman" w:eastAsia="宋体" w:cs="Times New Roman"/>
                      <w:szCs w:val="21"/>
                    </w:rPr>
                  </w:pPr>
                </w:p>
              </w:tc>
              <w:tc>
                <w:tcPr>
                  <w:tcW w:w="701" w:type="pct"/>
                  <w:vMerge w:val="continue"/>
                  <w:vAlign w:val="center"/>
                </w:tcPr>
                <w:p>
                  <w:pPr>
                    <w:topLinePunct/>
                    <w:adjustRightInd w:val="0"/>
                    <w:spacing w:line="260" w:lineRule="exact"/>
                    <w:jc w:val="center"/>
                    <w:textAlignment w:val="center"/>
                    <w:rPr>
                      <w:rFonts w:hint="default" w:ascii="Times New Roman" w:hAnsi="Times New Roman" w:eastAsia="宋体" w:cs="Times New Roman"/>
                      <w:kern w:val="0"/>
                      <w:szCs w:val="21"/>
                    </w:rPr>
                  </w:pPr>
                </w:p>
              </w:tc>
              <w:tc>
                <w:tcPr>
                  <w:tcW w:w="478" w:type="pct"/>
                  <w:vAlign w:val="center"/>
                </w:tcPr>
                <w:p>
                  <w:pPr>
                    <w:topLinePunct/>
                    <w:adjustRightInd w:val="0"/>
                    <w:spacing w:line="260" w:lineRule="exac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rPr>
                    <w:t>SO</w:t>
                  </w:r>
                  <w:r>
                    <w:rPr>
                      <w:rFonts w:hint="default" w:ascii="Times New Roman" w:hAnsi="Times New Roman" w:eastAsia="宋体" w:cs="Times New Roman"/>
                      <w:kern w:val="0"/>
                      <w:szCs w:val="21"/>
                      <w:vertAlign w:val="subscript"/>
                    </w:rPr>
                    <w:t>2</w:t>
                  </w:r>
                </w:p>
              </w:tc>
              <w:tc>
                <w:tcPr>
                  <w:tcW w:w="584" w:type="pct"/>
                  <w:vAlign w:val="center"/>
                </w:tcPr>
                <w:p>
                  <w:pPr>
                    <w:topLinePunct/>
                    <w:adjustRightInd w:val="0"/>
                    <w:spacing w:line="0" w:lineRule="atLeast"/>
                    <w:jc w:val="center"/>
                    <w:textAlignment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35</w:t>
                  </w:r>
                </w:p>
              </w:tc>
              <w:tc>
                <w:tcPr>
                  <w:tcW w:w="614" w:type="pct"/>
                  <w:vAlign w:val="center"/>
                </w:tcPr>
                <w:p>
                  <w:pPr>
                    <w:topLinePunct/>
                    <w:adjustRightInd w:val="0"/>
                    <w:spacing w:line="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mg/m</w:t>
                  </w:r>
                  <w:r>
                    <w:rPr>
                      <w:rFonts w:hint="default" w:ascii="Times New Roman" w:hAnsi="Times New Roman" w:eastAsia="宋体" w:cs="Times New Roman"/>
                      <w:szCs w:val="21"/>
                      <w:vertAlign w:val="superscript"/>
                    </w:rPr>
                    <w:t>3</w:t>
                  </w:r>
                </w:p>
              </w:tc>
              <w:tc>
                <w:tcPr>
                  <w:tcW w:w="883" w:type="pct"/>
                  <w:vAlign w:val="center"/>
                </w:tcPr>
                <w:p>
                  <w:pPr>
                    <w:topLinePunct/>
                    <w:adjustRightInd w:val="0"/>
                    <w:spacing w:line="0" w:lineRule="atLeast"/>
                    <w:jc w:val="center"/>
                    <w:textAlignment w:val="cente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4" w:type="pct"/>
                  <w:vMerge w:val="continue"/>
                  <w:vAlign w:val="center"/>
                </w:tcPr>
                <w:p>
                  <w:pPr>
                    <w:topLinePunct/>
                    <w:adjustRightInd w:val="0"/>
                    <w:spacing w:line="0" w:lineRule="atLeast"/>
                    <w:jc w:val="center"/>
                    <w:textAlignment w:val="center"/>
                    <w:rPr>
                      <w:rFonts w:hint="default" w:ascii="Times New Roman" w:hAnsi="Times New Roman" w:eastAsia="宋体" w:cs="Times New Roman"/>
                      <w:szCs w:val="21"/>
                    </w:rPr>
                  </w:pPr>
                </w:p>
              </w:tc>
              <w:tc>
                <w:tcPr>
                  <w:tcW w:w="1173" w:type="pct"/>
                  <w:vMerge w:val="continue"/>
                  <w:vAlign w:val="center"/>
                </w:tcPr>
                <w:p>
                  <w:pPr>
                    <w:topLinePunct/>
                    <w:adjustRightInd w:val="0"/>
                    <w:spacing w:line="0" w:lineRule="atLeast"/>
                    <w:jc w:val="center"/>
                    <w:textAlignment w:val="center"/>
                    <w:rPr>
                      <w:rFonts w:hint="default" w:ascii="Times New Roman" w:hAnsi="Times New Roman" w:eastAsia="宋体" w:cs="Times New Roman"/>
                      <w:szCs w:val="21"/>
                    </w:rPr>
                  </w:pPr>
                </w:p>
              </w:tc>
              <w:tc>
                <w:tcPr>
                  <w:tcW w:w="701" w:type="pct"/>
                  <w:vMerge w:val="continue"/>
                  <w:vAlign w:val="center"/>
                </w:tcPr>
                <w:p>
                  <w:pPr>
                    <w:topLinePunct/>
                    <w:adjustRightInd w:val="0"/>
                    <w:spacing w:line="260" w:lineRule="exact"/>
                    <w:jc w:val="center"/>
                    <w:textAlignment w:val="center"/>
                    <w:rPr>
                      <w:rFonts w:hint="default" w:ascii="Times New Roman" w:hAnsi="Times New Roman" w:eastAsia="宋体" w:cs="Times New Roman"/>
                      <w:kern w:val="0"/>
                      <w:szCs w:val="21"/>
                    </w:rPr>
                  </w:pPr>
                </w:p>
              </w:tc>
              <w:tc>
                <w:tcPr>
                  <w:tcW w:w="478" w:type="pct"/>
                  <w:vAlign w:val="center"/>
                </w:tcPr>
                <w:p>
                  <w:pPr>
                    <w:topLinePunct/>
                    <w:adjustRightInd w:val="0"/>
                    <w:spacing w:line="260" w:lineRule="exac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rPr>
                    <w:t>NO</w:t>
                  </w:r>
                  <w:r>
                    <w:rPr>
                      <w:rFonts w:hint="default" w:ascii="Times New Roman" w:hAnsi="Times New Roman" w:eastAsia="宋体" w:cs="Times New Roman"/>
                      <w:kern w:val="0"/>
                      <w:szCs w:val="21"/>
                      <w:vertAlign w:val="subscript"/>
                    </w:rPr>
                    <w:t>x</w:t>
                  </w:r>
                </w:p>
              </w:tc>
              <w:tc>
                <w:tcPr>
                  <w:tcW w:w="584" w:type="pct"/>
                  <w:vAlign w:val="center"/>
                </w:tcPr>
                <w:p>
                  <w:pPr>
                    <w:topLinePunct/>
                    <w:adjustRightInd w:val="0"/>
                    <w:spacing w:line="0" w:lineRule="atLeast"/>
                    <w:jc w:val="center"/>
                    <w:textAlignment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50</w:t>
                  </w:r>
                </w:p>
              </w:tc>
              <w:tc>
                <w:tcPr>
                  <w:tcW w:w="614" w:type="pct"/>
                  <w:vAlign w:val="center"/>
                </w:tcPr>
                <w:p>
                  <w:pPr>
                    <w:topLinePunct/>
                    <w:adjustRightInd w:val="0"/>
                    <w:spacing w:line="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mg/m</w:t>
                  </w:r>
                  <w:r>
                    <w:rPr>
                      <w:rFonts w:hint="default" w:ascii="Times New Roman" w:hAnsi="Times New Roman" w:eastAsia="宋体" w:cs="Times New Roman"/>
                      <w:szCs w:val="21"/>
                      <w:vertAlign w:val="superscript"/>
                    </w:rPr>
                    <w:t>3</w:t>
                  </w:r>
                </w:p>
              </w:tc>
              <w:tc>
                <w:tcPr>
                  <w:tcW w:w="883" w:type="pct"/>
                  <w:vAlign w:val="center"/>
                </w:tcPr>
                <w:p>
                  <w:pPr>
                    <w:topLinePunct/>
                    <w:adjustRightInd w:val="0"/>
                    <w:spacing w:line="0" w:lineRule="atLeast"/>
                    <w:jc w:val="center"/>
                    <w:textAlignment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t>本项目为循环流化床锅炉，不属于层燃炉或抛煤机炉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4" w:type="pct"/>
                  <w:vMerge w:val="continue"/>
                  <w:vAlign w:val="center"/>
                </w:tcPr>
                <w:p>
                  <w:pPr>
                    <w:topLinePunct/>
                    <w:adjustRightInd w:val="0"/>
                    <w:spacing w:line="0" w:lineRule="atLeast"/>
                    <w:jc w:val="center"/>
                    <w:textAlignment w:val="center"/>
                    <w:rPr>
                      <w:rFonts w:hint="default" w:ascii="Times New Roman" w:hAnsi="Times New Roman" w:eastAsia="宋体" w:cs="Times New Roman"/>
                      <w:szCs w:val="21"/>
                    </w:rPr>
                  </w:pPr>
                </w:p>
              </w:tc>
              <w:tc>
                <w:tcPr>
                  <w:tcW w:w="1173" w:type="pct"/>
                  <w:vMerge w:val="continue"/>
                  <w:vAlign w:val="center"/>
                </w:tcPr>
                <w:p>
                  <w:pPr>
                    <w:topLinePunct/>
                    <w:adjustRightInd w:val="0"/>
                    <w:spacing w:line="0" w:lineRule="atLeast"/>
                    <w:jc w:val="center"/>
                    <w:textAlignment w:val="center"/>
                    <w:rPr>
                      <w:rFonts w:hint="default" w:ascii="Times New Roman" w:hAnsi="Times New Roman" w:eastAsia="宋体" w:cs="Times New Roman"/>
                      <w:szCs w:val="21"/>
                    </w:rPr>
                  </w:pPr>
                </w:p>
              </w:tc>
              <w:tc>
                <w:tcPr>
                  <w:tcW w:w="701" w:type="pct"/>
                  <w:vMerge w:val="continue"/>
                  <w:vAlign w:val="center"/>
                </w:tcPr>
                <w:p>
                  <w:pPr>
                    <w:topLinePunct/>
                    <w:adjustRightInd w:val="0"/>
                    <w:spacing w:line="260" w:lineRule="exact"/>
                    <w:jc w:val="center"/>
                    <w:textAlignment w:val="center"/>
                    <w:rPr>
                      <w:rFonts w:hint="default" w:ascii="Times New Roman" w:hAnsi="Times New Roman" w:eastAsia="宋体" w:cs="Times New Roman"/>
                      <w:kern w:val="0"/>
                      <w:szCs w:val="21"/>
                    </w:rPr>
                  </w:pPr>
                </w:p>
              </w:tc>
              <w:tc>
                <w:tcPr>
                  <w:tcW w:w="478" w:type="pct"/>
                  <w:vAlign w:val="center"/>
                </w:tcPr>
                <w:p>
                  <w:pPr>
                    <w:topLinePunct/>
                    <w:adjustRightInd w:val="0"/>
                    <w:spacing w:line="260" w:lineRule="exact"/>
                    <w:jc w:val="center"/>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 xml:space="preserve">汞及其化合物（以Hg计） </w:t>
                  </w:r>
                </w:p>
              </w:tc>
              <w:tc>
                <w:tcPr>
                  <w:tcW w:w="584" w:type="pct"/>
                  <w:vAlign w:val="center"/>
                </w:tcPr>
                <w:p>
                  <w:pPr>
                    <w:topLinePunct/>
                    <w:adjustRightInd w:val="0"/>
                    <w:spacing w:line="0" w:lineRule="atLeast"/>
                    <w:jc w:val="center"/>
                    <w:textAlignment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0.03</w:t>
                  </w:r>
                </w:p>
              </w:tc>
              <w:tc>
                <w:tcPr>
                  <w:tcW w:w="614" w:type="pct"/>
                  <w:vAlign w:val="center"/>
                </w:tcPr>
                <w:p>
                  <w:pPr>
                    <w:topLinePunct/>
                    <w:adjustRightInd w:val="0"/>
                    <w:spacing w:line="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mg/m</w:t>
                  </w:r>
                  <w:r>
                    <w:rPr>
                      <w:rFonts w:hint="default" w:ascii="Times New Roman" w:hAnsi="Times New Roman" w:eastAsia="宋体" w:cs="Times New Roman"/>
                      <w:szCs w:val="21"/>
                      <w:vertAlign w:val="superscript"/>
                    </w:rPr>
                    <w:t>3</w:t>
                  </w:r>
                </w:p>
              </w:tc>
              <w:tc>
                <w:tcPr>
                  <w:tcW w:w="883" w:type="pct"/>
                  <w:vAlign w:val="center"/>
                </w:tcPr>
                <w:p>
                  <w:pPr>
                    <w:topLinePunct/>
                    <w:adjustRightInd w:val="0"/>
                    <w:spacing w:line="0" w:lineRule="atLeast"/>
                    <w:jc w:val="center"/>
                    <w:textAlignment w:val="cente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4" w:type="pct"/>
                  <w:vMerge w:val="continue"/>
                  <w:vAlign w:val="center"/>
                </w:tcPr>
                <w:p>
                  <w:pPr>
                    <w:topLinePunct/>
                    <w:adjustRightInd w:val="0"/>
                    <w:spacing w:line="0" w:lineRule="atLeast"/>
                    <w:jc w:val="center"/>
                    <w:textAlignment w:val="center"/>
                    <w:rPr>
                      <w:rFonts w:hint="default" w:ascii="Times New Roman" w:hAnsi="Times New Roman" w:eastAsia="宋体" w:cs="Times New Roman"/>
                      <w:szCs w:val="21"/>
                    </w:rPr>
                  </w:pPr>
                </w:p>
              </w:tc>
              <w:tc>
                <w:tcPr>
                  <w:tcW w:w="1173" w:type="pct"/>
                  <w:vMerge w:val="continue"/>
                  <w:vAlign w:val="center"/>
                </w:tcPr>
                <w:p>
                  <w:pPr>
                    <w:topLinePunct/>
                    <w:adjustRightInd w:val="0"/>
                    <w:spacing w:line="0" w:lineRule="atLeast"/>
                    <w:jc w:val="center"/>
                    <w:textAlignment w:val="center"/>
                    <w:rPr>
                      <w:rFonts w:hint="default" w:ascii="Times New Roman" w:hAnsi="Times New Roman" w:eastAsia="宋体" w:cs="Times New Roman"/>
                      <w:szCs w:val="21"/>
                    </w:rPr>
                  </w:pPr>
                </w:p>
              </w:tc>
              <w:tc>
                <w:tcPr>
                  <w:tcW w:w="701" w:type="pct"/>
                  <w:vMerge w:val="continue"/>
                  <w:vAlign w:val="center"/>
                </w:tcPr>
                <w:p>
                  <w:pPr>
                    <w:topLinePunct/>
                    <w:adjustRightInd w:val="0"/>
                    <w:spacing w:line="260" w:lineRule="exact"/>
                    <w:jc w:val="center"/>
                    <w:textAlignment w:val="center"/>
                    <w:rPr>
                      <w:rFonts w:hint="default" w:ascii="Times New Roman" w:hAnsi="Times New Roman" w:eastAsia="宋体" w:cs="Times New Roman"/>
                      <w:kern w:val="0"/>
                      <w:szCs w:val="21"/>
                    </w:rPr>
                  </w:pPr>
                </w:p>
              </w:tc>
              <w:tc>
                <w:tcPr>
                  <w:tcW w:w="478" w:type="pct"/>
                  <w:vAlign w:val="center"/>
                </w:tcPr>
                <w:p>
                  <w:pPr>
                    <w:topLinePunct/>
                    <w:adjustRightInd w:val="0"/>
                    <w:spacing w:line="260" w:lineRule="exact"/>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烟气黑度</w:t>
                  </w:r>
                </w:p>
              </w:tc>
              <w:tc>
                <w:tcPr>
                  <w:tcW w:w="1198" w:type="pct"/>
                  <w:gridSpan w:val="2"/>
                  <w:vAlign w:val="center"/>
                </w:tcPr>
                <w:p>
                  <w:pPr>
                    <w:topLinePunct/>
                    <w:adjustRightInd w:val="0"/>
                    <w:spacing w:line="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b w:val="0"/>
                      <w:bCs/>
                      <w:sz w:val="21"/>
                      <w:szCs w:val="21"/>
                      <w:vertAlign w:val="baseline"/>
                      <w:lang w:val="en-US" w:eastAsia="zh-CN"/>
                    </w:rPr>
                    <w:t>≤1</w:t>
                  </w:r>
                </w:p>
              </w:tc>
              <w:tc>
                <w:tcPr>
                  <w:tcW w:w="883" w:type="pct"/>
                  <w:vAlign w:val="center"/>
                </w:tcPr>
                <w:p>
                  <w:pPr>
                    <w:topLinePunct/>
                    <w:adjustRightInd w:val="0"/>
                    <w:spacing w:line="0" w:lineRule="atLeast"/>
                    <w:jc w:val="center"/>
                    <w:textAlignment w:val="center"/>
                    <w:rPr>
                      <w:rFonts w:hint="default"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jc w:val="center"/>
              </w:trPr>
              <w:tc>
                <w:tcPr>
                  <w:tcW w:w="564" w:type="pct"/>
                  <w:vMerge w:val="continue"/>
                  <w:vAlign w:val="center"/>
                </w:tcPr>
                <w:p>
                  <w:pPr>
                    <w:topLinePunct/>
                    <w:adjustRightInd w:val="0"/>
                    <w:spacing w:line="0" w:lineRule="atLeast"/>
                    <w:jc w:val="center"/>
                    <w:textAlignment w:val="center"/>
                    <w:rPr>
                      <w:rFonts w:hint="default" w:ascii="Times New Roman" w:hAnsi="Times New Roman" w:eastAsia="宋体" w:cs="Times New Roman"/>
                      <w:szCs w:val="21"/>
                    </w:rPr>
                  </w:pPr>
                </w:p>
              </w:tc>
              <w:tc>
                <w:tcPr>
                  <w:tcW w:w="1173" w:type="pct"/>
                  <w:vAlign w:val="center"/>
                </w:tcPr>
                <w:p>
                  <w:pPr>
                    <w:topLinePunct/>
                    <w:adjustRightInd w:val="0"/>
                    <w:spacing w:line="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《大气污染物综合排放标准》（GB16297-1996）</w:t>
                  </w:r>
                </w:p>
              </w:tc>
              <w:tc>
                <w:tcPr>
                  <w:tcW w:w="701" w:type="pct"/>
                  <w:vAlign w:val="center"/>
                </w:tcPr>
                <w:p>
                  <w:pPr>
                    <w:topLinePunct/>
                    <w:adjustRightInd w:val="0"/>
                    <w:spacing w:line="260" w:lineRule="exact"/>
                    <w:jc w:val="center"/>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eastAsia="zh-CN"/>
                    </w:rPr>
                    <w:t>有组织排放</w:t>
                  </w:r>
                </w:p>
              </w:tc>
              <w:tc>
                <w:tcPr>
                  <w:tcW w:w="478" w:type="pct"/>
                  <w:vAlign w:val="center"/>
                </w:tcPr>
                <w:p>
                  <w:pPr>
                    <w:topLinePunct/>
                    <w:adjustRightInd w:val="0"/>
                    <w:spacing w:line="260" w:lineRule="exact"/>
                    <w:jc w:val="center"/>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颗粒物</w:t>
                  </w:r>
                </w:p>
              </w:tc>
              <w:tc>
                <w:tcPr>
                  <w:tcW w:w="584" w:type="pct"/>
                  <w:vAlign w:val="center"/>
                </w:tcPr>
                <w:p>
                  <w:pPr>
                    <w:topLinePunct/>
                    <w:adjustRightInd w:val="0"/>
                    <w:spacing w:line="0" w:lineRule="atLeast"/>
                    <w:jc w:val="center"/>
                    <w:textAlignment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120</w:t>
                  </w:r>
                </w:p>
                <w:p>
                  <w:pPr>
                    <w:topLinePunct/>
                    <w:adjustRightInd w:val="0"/>
                    <w:spacing w:line="0" w:lineRule="atLeast"/>
                    <w:jc w:val="center"/>
                    <w:textAlignment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1.75</w:t>
                  </w:r>
                </w:p>
              </w:tc>
              <w:tc>
                <w:tcPr>
                  <w:tcW w:w="614" w:type="pct"/>
                  <w:vAlign w:val="center"/>
                </w:tcPr>
                <w:p>
                  <w:pPr>
                    <w:topLinePunct/>
                    <w:adjustRightInd w:val="0"/>
                    <w:spacing w:line="0" w:lineRule="atLeast"/>
                    <w:jc w:val="center"/>
                    <w:textAlignment w:val="center"/>
                    <w:rPr>
                      <w:rFonts w:hint="default" w:ascii="Times New Roman" w:hAnsi="Times New Roman" w:eastAsia="宋体" w:cs="Times New Roman"/>
                      <w:szCs w:val="21"/>
                      <w:vertAlign w:val="superscript"/>
                    </w:rPr>
                  </w:pPr>
                  <w:r>
                    <w:rPr>
                      <w:rFonts w:hint="default" w:ascii="Times New Roman" w:hAnsi="Times New Roman" w:eastAsia="宋体" w:cs="Times New Roman"/>
                      <w:szCs w:val="21"/>
                    </w:rPr>
                    <w:t>mg/m</w:t>
                  </w:r>
                  <w:r>
                    <w:rPr>
                      <w:rFonts w:hint="default" w:ascii="Times New Roman" w:hAnsi="Times New Roman" w:eastAsia="宋体" w:cs="Times New Roman"/>
                      <w:szCs w:val="21"/>
                      <w:vertAlign w:val="superscript"/>
                    </w:rPr>
                    <w:t>3</w:t>
                  </w:r>
                </w:p>
                <w:p>
                  <w:pPr>
                    <w:topLinePunct/>
                    <w:adjustRightInd w:val="0"/>
                    <w:spacing w:line="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kg/h</w:t>
                  </w:r>
                </w:p>
              </w:tc>
              <w:tc>
                <w:tcPr>
                  <w:tcW w:w="883" w:type="pct"/>
                  <w:vAlign w:val="center"/>
                </w:tcPr>
                <w:p>
                  <w:pPr>
                    <w:topLinePunct/>
                    <w:adjustRightInd w:val="0"/>
                    <w:spacing w:line="0" w:lineRule="atLeast"/>
                    <w:jc w:val="center"/>
                    <w:textAlignment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eastAsia="zh-CN"/>
                    </w:rPr>
                    <w:t>排气筒高度未高出周围</w:t>
                  </w:r>
                  <w:r>
                    <w:rPr>
                      <w:rFonts w:hint="default" w:ascii="Times New Roman" w:hAnsi="Times New Roman" w:eastAsia="宋体" w:cs="Times New Roman"/>
                      <w:szCs w:val="21"/>
                      <w:lang w:val="en-US" w:eastAsia="zh-CN"/>
                    </w:rPr>
                    <w:t>200m半径范围的建筑物5m以上，按照其高度对应的列表排放速率标准值严格50%执行，因此速率为1.75kg/h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64" w:type="pct"/>
                  <w:vMerge w:val="continue"/>
                  <w:vAlign w:val="center"/>
                </w:tcPr>
                <w:p>
                  <w:pPr>
                    <w:topLinePunct/>
                    <w:adjustRightInd w:val="0"/>
                    <w:spacing w:line="0" w:lineRule="atLeast"/>
                    <w:jc w:val="center"/>
                    <w:textAlignment w:val="center"/>
                    <w:rPr>
                      <w:rFonts w:hint="default" w:ascii="Times New Roman" w:hAnsi="Times New Roman" w:eastAsia="宋体" w:cs="Times New Roman"/>
                      <w:szCs w:val="21"/>
                    </w:rPr>
                  </w:pPr>
                </w:p>
              </w:tc>
              <w:tc>
                <w:tcPr>
                  <w:tcW w:w="1173" w:type="pct"/>
                  <w:vMerge w:val="restart"/>
                  <w:vAlign w:val="center"/>
                </w:tcPr>
                <w:p>
                  <w:pPr>
                    <w:topLinePunct/>
                    <w:adjustRightInd w:val="0"/>
                    <w:spacing w:line="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lang w:eastAsia="zh-CN"/>
                    </w:rPr>
                    <w:t>《锅炉大气污染物排放标准》(DB13/5161—2020)中表1大气污染物排放</w:t>
                  </w:r>
                  <w:r>
                    <w:rPr>
                      <w:rFonts w:hint="default" w:ascii="Times New Roman" w:hAnsi="Times New Roman" w:eastAsia="宋体" w:cs="Times New Roman"/>
                      <w:szCs w:val="21"/>
                      <w:lang w:val="en-US" w:eastAsia="zh-CN"/>
                    </w:rPr>
                    <w:t>相关</w:t>
                  </w:r>
                  <w:r>
                    <w:rPr>
                      <w:rFonts w:hint="default" w:ascii="Times New Roman" w:hAnsi="Times New Roman" w:eastAsia="宋体" w:cs="Times New Roman"/>
                      <w:szCs w:val="21"/>
                      <w:lang w:eastAsia="zh-CN"/>
                    </w:rPr>
                    <w:t>限值</w:t>
                  </w:r>
                  <w:r>
                    <w:rPr>
                      <w:rFonts w:hint="default" w:ascii="Times New Roman" w:hAnsi="Times New Roman" w:eastAsia="宋体" w:cs="Times New Roman"/>
                      <w:szCs w:val="21"/>
                      <w:lang w:val="en-US" w:eastAsia="zh-CN"/>
                    </w:rPr>
                    <w:t>要求</w:t>
                  </w:r>
                </w:p>
              </w:tc>
              <w:tc>
                <w:tcPr>
                  <w:tcW w:w="701" w:type="pct"/>
                  <w:vMerge w:val="restart"/>
                  <w:vAlign w:val="center"/>
                </w:tcPr>
                <w:p>
                  <w:pPr>
                    <w:topLinePunct/>
                    <w:adjustRightInd w:val="0"/>
                    <w:spacing w:line="260" w:lineRule="exact"/>
                    <w:jc w:val="center"/>
                    <w:textAlignment w:val="center"/>
                    <w:rPr>
                      <w:rFonts w:hint="default" w:ascii="Times New Roman" w:hAnsi="Times New Roman" w:eastAsia="宋体" w:cs="Times New Roman"/>
                      <w:kern w:val="0"/>
                      <w:szCs w:val="21"/>
                      <w:lang w:eastAsia="zh-CN"/>
                    </w:rPr>
                  </w:pPr>
                  <w:r>
                    <w:rPr>
                      <w:rFonts w:hint="default" w:ascii="Times New Roman" w:hAnsi="Times New Roman" w:eastAsia="宋体" w:cs="Times New Roman"/>
                      <w:kern w:val="0"/>
                      <w:szCs w:val="21"/>
                      <w:lang w:eastAsia="zh-CN"/>
                    </w:rPr>
                    <w:t>有组织排放</w:t>
                  </w:r>
                </w:p>
              </w:tc>
              <w:tc>
                <w:tcPr>
                  <w:tcW w:w="478" w:type="pct"/>
                  <w:vAlign w:val="center"/>
                </w:tcPr>
                <w:p>
                  <w:pPr>
                    <w:topLinePunct/>
                    <w:adjustRightInd w:val="0"/>
                    <w:spacing w:line="260" w:lineRule="exact"/>
                    <w:jc w:val="center"/>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lang w:val="en-US" w:eastAsia="zh-CN"/>
                    </w:rPr>
                    <w:t>颗粒物</w:t>
                  </w:r>
                </w:p>
              </w:tc>
              <w:tc>
                <w:tcPr>
                  <w:tcW w:w="584" w:type="pct"/>
                  <w:vAlign w:val="center"/>
                </w:tcPr>
                <w:p>
                  <w:pPr>
                    <w:topLinePunct/>
                    <w:adjustRightInd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0</w:t>
                  </w:r>
                </w:p>
              </w:tc>
              <w:tc>
                <w:tcPr>
                  <w:tcW w:w="614" w:type="pct"/>
                  <w:vAlign w:val="center"/>
                </w:tcPr>
                <w:p>
                  <w:pPr>
                    <w:topLinePunct/>
                    <w:adjustRightInd w:val="0"/>
                    <w:spacing w:line="0" w:lineRule="atLeast"/>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mg/m</w:t>
                  </w:r>
                  <w:r>
                    <w:rPr>
                      <w:rFonts w:hint="default" w:ascii="Times New Roman" w:hAnsi="Times New Roman" w:eastAsia="宋体" w:cs="Times New Roman"/>
                      <w:szCs w:val="21"/>
                      <w:vertAlign w:val="superscript"/>
                    </w:rPr>
                    <w:t>3</w:t>
                  </w:r>
                </w:p>
              </w:tc>
              <w:tc>
                <w:tcPr>
                  <w:tcW w:w="883" w:type="pct"/>
                  <w:vMerge w:val="restart"/>
                  <w:vAlign w:val="center"/>
                </w:tcPr>
                <w:p>
                  <w:pPr>
                    <w:topLinePunct/>
                    <w:adjustRightInd w:val="0"/>
                    <w:spacing w:line="0" w:lineRule="atLeast"/>
                    <w:jc w:val="center"/>
                    <w:textAlignment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生物质锅炉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64" w:type="pct"/>
                  <w:vMerge w:val="continue"/>
                  <w:vAlign w:val="center"/>
                </w:tcPr>
                <w:p>
                  <w:pPr>
                    <w:topLinePunct/>
                    <w:adjustRightInd w:val="0"/>
                    <w:spacing w:line="260" w:lineRule="exact"/>
                    <w:jc w:val="center"/>
                    <w:textAlignment w:val="center"/>
                    <w:rPr>
                      <w:rFonts w:hint="default" w:ascii="Times New Roman" w:hAnsi="Times New Roman" w:cs="Times New Roman"/>
                    </w:rPr>
                  </w:pPr>
                </w:p>
              </w:tc>
              <w:tc>
                <w:tcPr>
                  <w:tcW w:w="1173" w:type="pct"/>
                  <w:vMerge w:val="continue"/>
                  <w:vAlign w:val="center"/>
                </w:tcPr>
                <w:p>
                  <w:pPr>
                    <w:topLinePunct/>
                    <w:adjustRightInd w:val="0"/>
                    <w:spacing w:line="260" w:lineRule="exact"/>
                    <w:jc w:val="center"/>
                    <w:textAlignment w:val="center"/>
                    <w:rPr>
                      <w:rFonts w:hint="default" w:ascii="Times New Roman" w:hAnsi="Times New Roman" w:cs="Times New Roman"/>
                    </w:rPr>
                  </w:pPr>
                </w:p>
              </w:tc>
              <w:tc>
                <w:tcPr>
                  <w:tcW w:w="701" w:type="pct"/>
                  <w:vMerge w:val="continue"/>
                  <w:vAlign w:val="center"/>
                </w:tcPr>
                <w:p>
                  <w:pPr>
                    <w:topLinePunct/>
                    <w:adjustRightInd w:val="0"/>
                    <w:spacing w:line="260" w:lineRule="exact"/>
                    <w:jc w:val="center"/>
                    <w:textAlignment w:val="center"/>
                    <w:rPr>
                      <w:rFonts w:hint="default" w:ascii="Times New Roman" w:hAnsi="Times New Roman" w:cs="Times New Roman"/>
                    </w:rPr>
                  </w:pPr>
                </w:p>
              </w:tc>
              <w:tc>
                <w:tcPr>
                  <w:tcW w:w="478" w:type="pct"/>
                  <w:vAlign w:val="center"/>
                </w:tcPr>
                <w:p>
                  <w:pPr>
                    <w:topLinePunct/>
                    <w:adjustRightInd w:val="0"/>
                    <w:spacing w:line="260" w:lineRule="exact"/>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Cs w:val="21"/>
                    </w:rPr>
                    <w:t>SO</w:t>
                  </w:r>
                  <w:r>
                    <w:rPr>
                      <w:rFonts w:hint="default" w:ascii="Times New Roman" w:hAnsi="Times New Roman" w:eastAsia="宋体" w:cs="Times New Roman"/>
                      <w:kern w:val="0"/>
                      <w:szCs w:val="21"/>
                      <w:vertAlign w:val="subscript"/>
                    </w:rPr>
                    <w:t>2</w:t>
                  </w:r>
                </w:p>
              </w:tc>
              <w:tc>
                <w:tcPr>
                  <w:tcW w:w="584" w:type="pct"/>
                  <w:vAlign w:val="center"/>
                </w:tcPr>
                <w:p>
                  <w:pPr>
                    <w:topLinePunct/>
                    <w:adjustRightIn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30</w:t>
                  </w:r>
                </w:p>
              </w:tc>
              <w:tc>
                <w:tcPr>
                  <w:tcW w:w="614" w:type="pct"/>
                  <w:vAlign w:val="center"/>
                </w:tcPr>
                <w:p>
                  <w:pPr>
                    <w:topLinePunct/>
                    <w:adjustRightInd w:val="0"/>
                    <w:spacing w:line="0" w:lineRule="atLeast"/>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mg/m</w:t>
                  </w:r>
                  <w:r>
                    <w:rPr>
                      <w:rFonts w:hint="default" w:ascii="Times New Roman" w:hAnsi="Times New Roman" w:eastAsia="宋体" w:cs="Times New Roman"/>
                      <w:szCs w:val="21"/>
                      <w:vertAlign w:val="superscript"/>
                    </w:rPr>
                    <w:t>3</w:t>
                  </w:r>
                </w:p>
              </w:tc>
              <w:tc>
                <w:tcPr>
                  <w:tcW w:w="883" w:type="pct"/>
                  <w:vMerge w:val="continue"/>
                  <w:vAlign w:val="center"/>
                </w:tcPr>
                <w:p>
                  <w:pPr>
                    <w:topLinePunct/>
                    <w:adjustRightInd w:val="0"/>
                    <w:spacing w:line="260" w:lineRule="exact"/>
                    <w:jc w:val="center"/>
                    <w:textAlignment w:val="center"/>
                    <w:rPr>
                      <w:rFonts w:hint="default"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64" w:type="pct"/>
                  <w:vMerge w:val="continue"/>
                  <w:vAlign w:val="center"/>
                </w:tcPr>
                <w:p>
                  <w:pPr>
                    <w:topLinePunct/>
                    <w:adjustRightInd w:val="0"/>
                    <w:spacing w:line="260" w:lineRule="exact"/>
                    <w:jc w:val="center"/>
                    <w:textAlignment w:val="center"/>
                    <w:rPr>
                      <w:rFonts w:hint="default" w:ascii="Times New Roman" w:hAnsi="Times New Roman" w:cs="Times New Roman"/>
                    </w:rPr>
                  </w:pPr>
                </w:p>
              </w:tc>
              <w:tc>
                <w:tcPr>
                  <w:tcW w:w="1173" w:type="pct"/>
                  <w:vMerge w:val="continue"/>
                  <w:vAlign w:val="center"/>
                </w:tcPr>
                <w:p>
                  <w:pPr>
                    <w:topLinePunct/>
                    <w:adjustRightInd w:val="0"/>
                    <w:spacing w:line="260" w:lineRule="exact"/>
                    <w:jc w:val="center"/>
                    <w:textAlignment w:val="center"/>
                    <w:rPr>
                      <w:rFonts w:hint="default" w:ascii="Times New Roman" w:hAnsi="Times New Roman" w:cs="Times New Roman"/>
                    </w:rPr>
                  </w:pPr>
                </w:p>
              </w:tc>
              <w:tc>
                <w:tcPr>
                  <w:tcW w:w="701" w:type="pct"/>
                  <w:vMerge w:val="continue"/>
                  <w:vAlign w:val="center"/>
                </w:tcPr>
                <w:p>
                  <w:pPr>
                    <w:topLinePunct/>
                    <w:adjustRightInd w:val="0"/>
                    <w:spacing w:line="260" w:lineRule="exact"/>
                    <w:jc w:val="center"/>
                    <w:textAlignment w:val="center"/>
                    <w:rPr>
                      <w:rFonts w:hint="default" w:ascii="Times New Roman" w:hAnsi="Times New Roman" w:cs="Times New Roman"/>
                    </w:rPr>
                  </w:pPr>
                </w:p>
              </w:tc>
              <w:tc>
                <w:tcPr>
                  <w:tcW w:w="478" w:type="pct"/>
                  <w:vAlign w:val="center"/>
                </w:tcPr>
                <w:p>
                  <w:pPr>
                    <w:topLinePunct/>
                    <w:adjustRightInd w:val="0"/>
                    <w:spacing w:line="260" w:lineRule="exact"/>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Cs w:val="21"/>
                    </w:rPr>
                    <w:t>NO</w:t>
                  </w:r>
                  <w:r>
                    <w:rPr>
                      <w:rFonts w:hint="default" w:ascii="Times New Roman" w:hAnsi="Times New Roman" w:eastAsia="宋体" w:cs="Times New Roman"/>
                      <w:kern w:val="0"/>
                      <w:szCs w:val="21"/>
                      <w:vertAlign w:val="subscript"/>
                    </w:rPr>
                    <w:t>x</w:t>
                  </w:r>
                </w:p>
              </w:tc>
              <w:tc>
                <w:tcPr>
                  <w:tcW w:w="584" w:type="pct"/>
                  <w:vAlign w:val="center"/>
                </w:tcPr>
                <w:p>
                  <w:pPr>
                    <w:topLinePunct/>
                    <w:adjustRightIn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80</w:t>
                  </w:r>
                </w:p>
              </w:tc>
              <w:tc>
                <w:tcPr>
                  <w:tcW w:w="614" w:type="pct"/>
                  <w:vAlign w:val="center"/>
                </w:tcPr>
                <w:p>
                  <w:pPr>
                    <w:topLinePunct/>
                    <w:adjustRightInd w:val="0"/>
                    <w:spacing w:line="0" w:lineRule="atLeast"/>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mg/m</w:t>
                  </w:r>
                  <w:r>
                    <w:rPr>
                      <w:rFonts w:hint="default" w:ascii="Times New Roman" w:hAnsi="Times New Roman" w:eastAsia="宋体" w:cs="Times New Roman"/>
                      <w:szCs w:val="21"/>
                      <w:vertAlign w:val="superscript"/>
                    </w:rPr>
                    <w:t>3</w:t>
                  </w:r>
                </w:p>
              </w:tc>
              <w:tc>
                <w:tcPr>
                  <w:tcW w:w="883" w:type="pct"/>
                  <w:vMerge w:val="continue"/>
                  <w:vAlign w:val="center"/>
                </w:tcPr>
                <w:p>
                  <w:pPr>
                    <w:topLinePunct/>
                    <w:adjustRightInd w:val="0"/>
                    <w:spacing w:line="260" w:lineRule="exact"/>
                    <w:jc w:val="center"/>
                    <w:textAlignment w:val="center"/>
                    <w:rPr>
                      <w:rFonts w:hint="default"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64" w:type="pct"/>
                  <w:vMerge w:val="continue"/>
                  <w:vAlign w:val="center"/>
                </w:tcPr>
                <w:p>
                  <w:pPr>
                    <w:topLinePunct/>
                    <w:adjustRightInd w:val="0"/>
                    <w:spacing w:line="260" w:lineRule="exact"/>
                    <w:jc w:val="center"/>
                    <w:textAlignment w:val="center"/>
                    <w:rPr>
                      <w:rFonts w:hint="default" w:ascii="Times New Roman" w:hAnsi="Times New Roman" w:eastAsia="宋体" w:cs="Times New Roman"/>
                      <w:kern w:val="0"/>
                      <w:szCs w:val="21"/>
                    </w:rPr>
                  </w:pPr>
                </w:p>
              </w:tc>
              <w:tc>
                <w:tcPr>
                  <w:tcW w:w="1173" w:type="pct"/>
                  <w:vMerge w:val="continue"/>
                  <w:vAlign w:val="center"/>
                </w:tcPr>
                <w:p>
                  <w:pPr>
                    <w:topLinePunct/>
                    <w:adjustRightInd w:val="0"/>
                    <w:spacing w:line="260" w:lineRule="exact"/>
                    <w:jc w:val="center"/>
                    <w:textAlignment w:val="center"/>
                    <w:rPr>
                      <w:rFonts w:hint="default" w:ascii="Times New Roman" w:hAnsi="Times New Roman" w:eastAsia="宋体" w:cs="Times New Roman"/>
                      <w:kern w:val="0"/>
                      <w:szCs w:val="21"/>
                    </w:rPr>
                  </w:pPr>
                </w:p>
              </w:tc>
              <w:tc>
                <w:tcPr>
                  <w:tcW w:w="701" w:type="pct"/>
                  <w:vMerge w:val="continue"/>
                  <w:vAlign w:val="center"/>
                </w:tcPr>
                <w:p>
                  <w:pPr>
                    <w:topLinePunct/>
                    <w:adjustRightInd w:val="0"/>
                    <w:spacing w:line="260" w:lineRule="exact"/>
                    <w:jc w:val="center"/>
                    <w:textAlignment w:val="center"/>
                    <w:rPr>
                      <w:rFonts w:hint="default" w:ascii="Times New Roman" w:hAnsi="Times New Roman" w:eastAsia="宋体" w:cs="Times New Roman"/>
                      <w:kern w:val="0"/>
                      <w:szCs w:val="21"/>
                    </w:rPr>
                  </w:pPr>
                </w:p>
              </w:tc>
              <w:tc>
                <w:tcPr>
                  <w:tcW w:w="478" w:type="pct"/>
                  <w:vAlign w:val="center"/>
                </w:tcPr>
                <w:p>
                  <w:pPr>
                    <w:topLinePunct/>
                    <w:adjustRightInd w:val="0"/>
                    <w:spacing w:line="260" w:lineRule="exact"/>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烟气黑度</w:t>
                  </w:r>
                </w:p>
              </w:tc>
              <w:tc>
                <w:tcPr>
                  <w:tcW w:w="1198" w:type="pct"/>
                  <w:gridSpan w:val="2"/>
                  <w:vAlign w:val="center"/>
                </w:tcPr>
                <w:p>
                  <w:pPr>
                    <w:topLinePunct/>
                    <w:adjustRightInd w:val="0"/>
                    <w:spacing w:line="0" w:lineRule="atLeast"/>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sz w:val="21"/>
                      <w:szCs w:val="21"/>
                      <w:vertAlign w:val="baseline"/>
                      <w:lang w:val="en-US" w:eastAsia="zh-CN"/>
                    </w:rPr>
                    <w:t>≤1</w:t>
                  </w:r>
                </w:p>
              </w:tc>
              <w:tc>
                <w:tcPr>
                  <w:tcW w:w="883" w:type="pct"/>
                  <w:vMerge w:val="continue"/>
                  <w:vAlign w:val="center"/>
                </w:tcPr>
                <w:p>
                  <w:pPr>
                    <w:topLinePunct/>
                    <w:adjustRightInd w:val="0"/>
                    <w:spacing w:line="260" w:lineRule="exact"/>
                    <w:jc w:val="center"/>
                    <w:textAlignment w:val="center"/>
                    <w:rPr>
                      <w:rFonts w:hint="default"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4" w:type="pct"/>
                  <w:vMerge w:val="continue"/>
                  <w:vAlign w:val="center"/>
                </w:tcPr>
                <w:p>
                  <w:pPr>
                    <w:topLinePunct/>
                    <w:adjustRightInd w:val="0"/>
                    <w:spacing w:line="0" w:lineRule="atLeast"/>
                    <w:jc w:val="center"/>
                    <w:textAlignment w:val="center"/>
                    <w:rPr>
                      <w:rFonts w:hint="default" w:ascii="Times New Roman" w:hAnsi="Times New Roman" w:eastAsia="宋体" w:cs="Times New Roman"/>
                      <w:szCs w:val="21"/>
                    </w:rPr>
                  </w:pPr>
                </w:p>
              </w:tc>
              <w:tc>
                <w:tcPr>
                  <w:tcW w:w="1173" w:type="pct"/>
                  <w:vAlign w:val="center"/>
                </w:tcPr>
                <w:p>
                  <w:pPr>
                    <w:topLinePunct/>
                    <w:adjustRightInd w:val="0"/>
                    <w:spacing w:line="0" w:lineRule="atLeast"/>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《大气污染物综合排放标准》（GB16297-1996）</w:t>
                  </w:r>
                </w:p>
              </w:tc>
              <w:tc>
                <w:tcPr>
                  <w:tcW w:w="701" w:type="pct"/>
                  <w:vAlign w:val="center"/>
                </w:tcPr>
                <w:p>
                  <w:pPr>
                    <w:topLinePunct/>
                    <w:adjustRightInd w:val="0"/>
                    <w:spacing w:line="260" w:lineRule="exact"/>
                    <w:jc w:val="center"/>
                    <w:textAlignment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无组织排放</w:t>
                  </w:r>
                </w:p>
              </w:tc>
              <w:tc>
                <w:tcPr>
                  <w:tcW w:w="478" w:type="pct"/>
                  <w:vAlign w:val="center"/>
                </w:tcPr>
                <w:p>
                  <w:pPr>
                    <w:topLinePunct/>
                    <w:adjustRightInd w:val="0"/>
                    <w:spacing w:line="260" w:lineRule="exact"/>
                    <w:jc w:val="center"/>
                    <w:textAlignment w:val="center"/>
                    <w:rPr>
                      <w:rFonts w:hint="default" w:ascii="Times New Roman" w:hAnsi="Times New Roman" w:eastAsia="宋体" w:cs="Times New Roman"/>
                      <w:kern w:val="0"/>
                      <w:szCs w:val="21"/>
                      <w:lang w:eastAsia="zh-CN"/>
                    </w:rPr>
                  </w:pPr>
                  <w:r>
                    <w:rPr>
                      <w:rFonts w:hint="default" w:ascii="Times New Roman" w:hAnsi="Times New Roman" w:eastAsia="宋体" w:cs="Times New Roman"/>
                      <w:kern w:val="0"/>
                      <w:szCs w:val="21"/>
                      <w:lang w:eastAsia="zh-CN"/>
                    </w:rPr>
                    <w:t>无组织粉尘</w:t>
                  </w:r>
                </w:p>
              </w:tc>
              <w:tc>
                <w:tcPr>
                  <w:tcW w:w="58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pacing w:val="-2"/>
                      <w:kern w:val="2"/>
                      <w:sz w:val="21"/>
                      <w:szCs w:val="21"/>
                      <w:lang w:val="en-US" w:eastAsia="zh-CN" w:bidi="ar-SA"/>
                    </w:rPr>
                  </w:pPr>
                  <w:r>
                    <w:rPr>
                      <w:rFonts w:hint="default" w:ascii="Times New Roman" w:hAnsi="Times New Roman" w:cs="Times New Roman"/>
                      <w:b w:val="0"/>
                      <w:bCs/>
                      <w:color w:val="auto"/>
                      <w:spacing w:val="-2"/>
                      <w:sz w:val="21"/>
                      <w:szCs w:val="21"/>
                      <w:lang w:val="en-US" w:eastAsia="zh-CN"/>
                    </w:rPr>
                    <w:t>1.0</w:t>
                  </w:r>
                </w:p>
              </w:tc>
              <w:tc>
                <w:tcPr>
                  <w:tcW w:w="61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b w:val="0"/>
                      <w:bCs/>
                      <w:color w:val="auto"/>
                      <w:sz w:val="21"/>
                      <w:szCs w:val="21"/>
                    </w:rPr>
                    <w:t>mg/</w:t>
                  </w:r>
                  <w:r>
                    <w:rPr>
                      <w:rFonts w:hint="default" w:ascii="Times New Roman" w:hAnsi="Times New Roman" w:cs="Times New Roman"/>
                      <w:b w:val="0"/>
                      <w:bCs/>
                      <w:strike w:val="0"/>
                      <w:dstrike w:val="0"/>
                      <w:color w:val="auto"/>
                      <w:sz w:val="21"/>
                      <w:szCs w:val="21"/>
                      <w:vertAlign w:val="baseline"/>
                      <w:lang w:eastAsia="zh-CN"/>
                    </w:rPr>
                    <w:t>m</w:t>
                  </w:r>
                  <w:r>
                    <w:rPr>
                      <w:rFonts w:hint="default" w:ascii="Times New Roman" w:hAnsi="Times New Roman" w:cs="Times New Roman"/>
                      <w:b w:val="0"/>
                      <w:bCs/>
                      <w:strike w:val="0"/>
                      <w:dstrike w:val="0"/>
                      <w:color w:val="auto"/>
                      <w:sz w:val="21"/>
                      <w:szCs w:val="21"/>
                      <w:vertAlign w:val="superscript"/>
                      <w:lang w:eastAsia="zh-CN"/>
                    </w:rPr>
                    <w:t>3</w:t>
                  </w:r>
                </w:p>
              </w:tc>
              <w:tc>
                <w:tcPr>
                  <w:tcW w:w="883" w:type="pct"/>
                  <w:vAlign w:val="center"/>
                </w:tcPr>
                <w:p>
                  <w:pPr>
                    <w:topLinePunct/>
                    <w:adjustRightInd w:val="0"/>
                    <w:spacing w:line="0" w:lineRule="atLeast"/>
                    <w:jc w:val="center"/>
                    <w:textAlignment w:val="center"/>
                    <w:rPr>
                      <w:rFonts w:hint="default" w:ascii="Times New Roman" w:hAnsi="Times New Roman" w:eastAsia="宋体" w:cs="Times New Roman"/>
                      <w:szCs w:val="21"/>
                    </w:rPr>
                  </w:pPr>
                </w:p>
              </w:tc>
            </w:tr>
          </w:tbl>
          <w:p>
            <w:pPr>
              <w:adjustRightInd w:val="0"/>
              <w:snapToGrid w:val="0"/>
              <w:ind w:firstLine="402" w:firstLineChars="200"/>
              <w:jc w:val="left"/>
              <w:rPr>
                <w:rFonts w:hint="default" w:ascii="Times New Roman" w:hAnsi="Times New Roman" w:cs="Times New Roman"/>
                <w:sz w:val="24"/>
              </w:rPr>
            </w:pPr>
            <w:r>
              <w:rPr>
                <w:rFonts w:hint="default" w:ascii="Times New Roman" w:hAnsi="Times New Roman" w:cs="Times New Roman"/>
                <w:b/>
                <w:kern w:val="44"/>
                <w:sz w:val="20"/>
                <w:szCs w:val="21"/>
              </w:rPr>
              <w:t>备注：PM</w:t>
            </w:r>
            <w:r>
              <w:rPr>
                <w:rFonts w:hint="default" w:ascii="Times New Roman" w:hAnsi="Times New Roman" w:cs="Times New Roman"/>
                <w:b/>
                <w:kern w:val="44"/>
                <w:sz w:val="20"/>
                <w:szCs w:val="21"/>
                <w:vertAlign w:val="subscript"/>
              </w:rPr>
              <w:t>10</w:t>
            </w:r>
            <w:r>
              <w:rPr>
                <w:rFonts w:hint="default" w:ascii="Times New Roman" w:hAnsi="Times New Roman" w:cs="Times New Roman"/>
                <w:b/>
                <w:kern w:val="44"/>
                <w:sz w:val="20"/>
                <w:szCs w:val="21"/>
              </w:rPr>
              <w:t>排放</w:t>
            </w:r>
            <w:r>
              <w:rPr>
                <w:rFonts w:hint="default" w:ascii="Times New Roman" w:hAnsi="Times New Roman" w:cs="Times New Roman"/>
                <w:b/>
                <w:szCs w:val="21"/>
              </w:rPr>
              <w:t>标准为</w:t>
            </w:r>
            <w:r>
              <w:rPr>
                <w:rFonts w:hint="default" w:ascii="Times New Roman" w:hAnsi="Times New Roman" w:cs="Times New Roman"/>
                <w:b/>
                <w:kern w:val="44"/>
                <w:sz w:val="20"/>
                <w:szCs w:val="21"/>
              </w:rPr>
              <w:t>监测点浓度限值，指监测点PM</w:t>
            </w:r>
            <w:r>
              <w:rPr>
                <w:rFonts w:hint="default" w:ascii="Times New Roman" w:hAnsi="Times New Roman" w:cs="Times New Roman"/>
                <w:b/>
                <w:kern w:val="44"/>
                <w:sz w:val="20"/>
                <w:szCs w:val="21"/>
                <w:vertAlign w:val="subscript"/>
              </w:rPr>
              <w:t>10</w:t>
            </w:r>
            <w:r>
              <w:rPr>
                <w:rFonts w:hint="default" w:ascii="Times New Roman" w:hAnsi="Times New Roman" w:cs="Times New Roman"/>
                <w:b/>
                <w:kern w:val="44"/>
                <w:sz w:val="20"/>
                <w:szCs w:val="21"/>
              </w:rPr>
              <w:t>小时平均浓度实测值与同时段所属县（市、区）PM</w:t>
            </w:r>
            <w:r>
              <w:rPr>
                <w:rFonts w:hint="default" w:ascii="Times New Roman" w:hAnsi="Times New Roman" w:cs="Times New Roman"/>
                <w:b/>
                <w:kern w:val="44"/>
                <w:sz w:val="20"/>
                <w:szCs w:val="21"/>
                <w:vertAlign w:val="subscript"/>
              </w:rPr>
              <w:t>10</w:t>
            </w:r>
            <w:r>
              <w:rPr>
                <w:rFonts w:hint="default" w:ascii="Times New Roman" w:hAnsi="Times New Roman" w:cs="Times New Roman"/>
                <w:b/>
                <w:kern w:val="44"/>
                <w:sz w:val="20"/>
                <w:szCs w:val="21"/>
              </w:rPr>
              <w:t>小时平均浓度的差值。当县（市、区）PM</w:t>
            </w:r>
            <w:r>
              <w:rPr>
                <w:rFonts w:hint="default" w:ascii="Times New Roman" w:hAnsi="Times New Roman" w:cs="Times New Roman"/>
                <w:b/>
                <w:kern w:val="44"/>
                <w:sz w:val="20"/>
                <w:szCs w:val="21"/>
                <w:vertAlign w:val="subscript"/>
              </w:rPr>
              <w:t>10</w:t>
            </w:r>
            <w:r>
              <w:rPr>
                <w:rFonts w:hint="default" w:ascii="Times New Roman" w:hAnsi="Times New Roman" w:cs="Times New Roman"/>
                <w:b/>
                <w:kern w:val="44"/>
                <w:sz w:val="20"/>
                <w:szCs w:val="21"/>
              </w:rPr>
              <w:t>小时平均浓度值大于150μg/m³时，以150μg/m³计。</w:t>
            </w:r>
          </w:p>
          <w:p>
            <w:pPr>
              <w:numPr>
                <w:ilvl w:val="0"/>
                <w:numId w:val="0"/>
              </w:numPr>
              <w:adjustRightInd w:val="0"/>
              <w:snapToGrid w:val="0"/>
              <w:spacing w:before="156" w:beforeLines="50" w:line="360" w:lineRule="auto"/>
              <w:ind w:leftChars="200"/>
              <w:outlineLvl w:val="0"/>
              <w:rPr>
                <w:rFonts w:hint="default" w:ascii="Times New Roman" w:hAnsi="Times New Roman" w:cs="Times New Roman"/>
              </w:rPr>
            </w:pPr>
            <w:r>
              <w:rPr>
                <w:rFonts w:hint="default" w:ascii="Times New Roman" w:hAnsi="Times New Roman" w:cs="Times New Roman"/>
                <w:b/>
                <w:sz w:val="24"/>
                <w:lang w:val="en-US" w:eastAsia="zh-CN"/>
              </w:rPr>
              <w:t>2、</w:t>
            </w:r>
            <w:r>
              <w:rPr>
                <w:rFonts w:hint="default" w:ascii="Times New Roman" w:hAnsi="Times New Roman" w:cs="Times New Roman"/>
                <w:b/>
                <w:sz w:val="24"/>
              </w:rPr>
              <w:t>噪声排放标准</w:t>
            </w:r>
          </w:p>
          <w:p>
            <w:pPr>
              <w:adjustRightInd w:val="0"/>
              <w:snapToGrid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sz w:val="24"/>
              </w:rPr>
              <w:t>施工噪声执行《建筑施工场界环境噪声排放标准》（GB12523-2011）标准，</w:t>
            </w:r>
            <w:r>
              <w:rPr>
                <w:rFonts w:hint="default" w:ascii="Times New Roman" w:hAnsi="Times New Roman" w:cs="Times New Roman"/>
                <w:color w:val="000000"/>
                <w:sz w:val="24"/>
              </w:rPr>
              <w:t>运营期</w:t>
            </w:r>
            <w:r>
              <w:rPr>
                <w:rFonts w:hint="default" w:ascii="Times New Roman" w:hAnsi="Times New Roman" w:cs="Times New Roman"/>
                <w:color w:val="000000"/>
                <w:sz w:val="24"/>
                <w:lang w:val="en-US" w:eastAsia="zh-CN"/>
              </w:rPr>
              <w:t>厂界噪声执行《工业企业厂界环境噪声排放标准》（GB12348-2008）2类标准</w:t>
            </w:r>
            <w:r>
              <w:rPr>
                <w:rFonts w:hint="default" w:ascii="Times New Roman" w:hAnsi="Times New Roman" w:cs="Times New Roman"/>
                <w:color w:val="000000"/>
                <w:sz w:val="24"/>
              </w:rPr>
              <w:t>。具体标准限值详见下表：</w:t>
            </w:r>
          </w:p>
          <w:p>
            <w:pPr>
              <w:adjustRightInd w:val="0"/>
              <w:snapToGrid w:val="0"/>
              <w:spacing w:line="360" w:lineRule="auto"/>
              <w:jc w:val="center"/>
              <w:rPr>
                <w:rFonts w:hint="default" w:ascii="Times New Roman" w:hAnsi="Times New Roman" w:cs="Times New Roman"/>
                <w:b/>
                <w:szCs w:val="21"/>
                <w:vertAlign w:val="baseline"/>
              </w:rPr>
            </w:pPr>
            <w:r>
              <w:rPr>
                <w:rFonts w:hint="default" w:ascii="Times New Roman" w:hAnsi="Times New Roman" w:cs="Times New Roman"/>
                <w:b/>
                <w:szCs w:val="21"/>
              </w:rPr>
              <w:t>表3-</w:t>
            </w:r>
            <w:r>
              <w:rPr>
                <w:rFonts w:hint="default" w:ascii="Times New Roman" w:hAnsi="Times New Roman" w:cs="Times New Roman"/>
                <w:b/>
                <w:szCs w:val="21"/>
                <w:lang w:val="en-US" w:eastAsia="zh-CN"/>
              </w:rPr>
              <w:t>10</w:t>
            </w:r>
            <w:r>
              <w:rPr>
                <w:rFonts w:hint="default" w:ascii="Times New Roman" w:hAnsi="Times New Roman" w:cs="Times New Roman"/>
                <w:b/>
                <w:szCs w:val="21"/>
              </w:rPr>
              <w:t xml:space="preserve">  噪声排放标准</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8"/>
              <w:gridCol w:w="3690"/>
              <w:gridCol w:w="1800"/>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sz w:val="21"/>
                      <w:szCs w:val="21"/>
                      <w:vertAlign w:val="baseline"/>
                    </w:rPr>
                  </w:pPr>
                  <w:r>
                    <w:rPr>
                      <w:rFonts w:hint="default" w:ascii="Times New Roman" w:hAnsi="Times New Roman" w:eastAsia="宋体" w:cs="Times New Roman"/>
                      <w:b/>
                      <w:bCs w:val="0"/>
                      <w:sz w:val="21"/>
                      <w:szCs w:val="21"/>
                      <w:vertAlign w:val="baseline"/>
                    </w:rPr>
                    <w:t>污染源类别</w:t>
                  </w:r>
                </w:p>
              </w:tc>
              <w:tc>
                <w:tcPr>
                  <w:tcW w:w="369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sz w:val="21"/>
                      <w:szCs w:val="21"/>
                      <w:vertAlign w:val="baseline"/>
                    </w:rPr>
                  </w:pPr>
                  <w:r>
                    <w:rPr>
                      <w:rFonts w:hint="default" w:ascii="Times New Roman" w:hAnsi="Times New Roman" w:eastAsia="宋体" w:cs="Times New Roman"/>
                      <w:b/>
                      <w:bCs w:val="0"/>
                      <w:sz w:val="21"/>
                      <w:szCs w:val="21"/>
                      <w:vertAlign w:val="baseline"/>
                    </w:rPr>
                    <w:t>标准名称</w:t>
                  </w:r>
                </w:p>
              </w:tc>
              <w:tc>
                <w:tcPr>
                  <w:tcW w:w="18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sz w:val="21"/>
                      <w:szCs w:val="21"/>
                      <w:vertAlign w:val="baseline"/>
                    </w:rPr>
                  </w:pPr>
                  <w:r>
                    <w:rPr>
                      <w:rFonts w:hint="default" w:ascii="Times New Roman" w:hAnsi="Times New Roman" w:eastAsia="宋体" w:cs="Times New Roman"/>
                      <w:b/>
                      <w:bCs w:val="0"/>
                      <w:sz w:val="21"/>
                      <w:szCs w:val="21"/>
                      <w:vertAlign w:val="baseline"/>
                    </w:rPr>
                    <w:t>污染物</w:t>
                  </w:r>
                </w:p>
              </w:tc>
              <w:tc>
                <w:tcPr>
                  <w:tcW w:w="177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sz w:val="21"/>
                      <w:szCs w:val="21"/>
                      <w:vertAlign w:val="baseline"/>
                    </w:rPr>
                  </w:pPr>
                  <w:r>
                    <w:rPr>
                      <w:rFonts w:hint="default" w:ascii="Times New Roman" w:hAnsi="Times New Roman" w:eastAsia="宋体" w:cs="Times New Roman"/>
                      <w:b/>
                      <w:bCs w:val="0"/>
                      <w:sz w:val="21"/>
                      <w:szCs w:val="21"/>
                      <w:vertAlign w:val="baseline"/>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rPr>
                  </w:pPr>
                  <w:r>
                    <w:rPr>
                      <w:rFonts w:hint="default" w:ascii="Times New Roman" w:hAnsi="Times New Roman" w:eastAsia="宋体" w:cs="Times New Roman"/>
                      <w:b w:val="0"/>
                      <w:bCs/>
                      <w:sz w:val="21"/>
                      <w:szCs w:val="21"/>
                      <w:vertAlign w:val="baseline"/>
                    </w:rPr>
                    <w:t>噪声</w:t>
                  </w:r>
                </w:p>
              </w:tc>
              <w:tc>
                <w:tcPr>
                  <w:tcW w:w="369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rPr>
                  </w:pPr>
                  <w:r>
                    <w:rPr>
                      <w:rFonts w:hint="default" w:ascii="Times New Roman" w:hAnsi="Times New Roman" w:eastAsia="宋体" w:cs="Times New Roman"/>
                      <w:b w:val="0"/>
                      <w:bCs/>
                      <w:sz w:val="21"/>
                      <w:szCs w:val="21"/>
                      <w:vertAlign w:val="baseline"/>
                    </w:rPr>
                    <w:t>《建筑施工场界环境噪声排放标准》（GB12523-2011）标准</w:t>
                  </w:r>
                </w:p>
              </w:tc>
              <w:tc>
                <w:tcPr>
                  <w:tcW w:w="18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rPr>
                  </w:pPr>
                  <w:r>
                    <w:rPr>
                      <w:rFonts w:hint="default" w:ascii="Times New Roman" w:hAnsi="Times New Roman" w:eastAsia="宋体" w:cs="Times New Roman"/>
                      <w:b w:val="0"/>
                      <w:bCs/>
                      <w:sz w:val="21"/>
                      <w:szCs w:val="21"/>
                    </w:rPr>
                    <w:t>等效连续A声级</w:t>
                  </w:r>
                </w:p>
              </w:tc>
              <w:tc>
                <w:tcPr>
                  <w:tcW w:w="177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rPr>
                  </w:pPr>
                  <w:r>
                    <w:rPr>
                      <w:rFonts w:hint="default" w:ascii="Times New Roman" w:hAnsi="Times New Roman" w:eastAsia="宋体" w:cs="Times New Roman"/>
                      <w:b w:val="0"/>
                      <w:bCs/>
                      <w:sz w:val="21"/>
                      <w:szCs w:val="21"/>
                      <w:vertAlign w:val="baseline"/>
                    </w:rPr>
                    <w:t>昼间≤70dB(A)</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rPr>
                  </w:pPr>
                  <w:r>
                    <w:rPr>
                      <w:rFonts w:hint="default" w:ascii="Times New Roman" w:hAnsi="Times New Roman" w:eastAsia="宋体" w:cs="Times New Roman"/>
                      <w:b w:val="0"/>
                      <w:bCs/>
                      <w:sz w:val="21"/>
                      <w:szCs w:val="21"/>
                      <w:vertAlign w:val="baseline"/>
                    </w:rPr>
                    <w:t>夜间≤55dB(A)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rPr>
                  </w:pPr>
                </w:p>
              </w:tc>
              <w:tc>
                <w:tcPr>
                  <w:tcW w:w="369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rPr>
                  </w:pPr>
                  <w:r>
                    <w:rPr>
                      <w:rFonts w:hint="default" w:ascii="Times New Roman" w:hAnsi="Times New Roman" w:eastAsia="宋体" w:cs="Times New Roman"/>
                      <w:b w:val="0"/>
                      <w:bCs/>
                      <w:sz w:val="21"/>
                      <w:szCs w:val="21"/>
                      <w:vertAlign w:val="baseline"/>
                    </w:rPr>
                    <w:t>《工业企业厂界环境噪声排放标准》(GB12348-2008)2类标准</w:t>
                  </w:r>
                </w:p>
              </w:tc>
              <w:tc>
                <w:tcPr>
                  <w:tcW w:w="18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rPr>
                  </w:pPr>
                  <w:r>
                    <w:rPr>
                      <w:rFonts w:hint="default" w:ascii="Times New Roman" w:hAnsi="Times New Roman" w:eastAsia="宋体" w:cs="Times New Roman"/>
                      <w:b w:val="0"/>
                      <w:bCs/>
                      <w:sz w:val="21"/>
                      <w:szCs w:val="21"/>
                      <w:vertAlign w:val="baseline"/>
                    </w:rPr>
                    <w:t>等效连续A声级</w:t>
                  </w:r>
                </w:p>
              </w:tc>
              <w:tc>
                <w:tcPr>
                  <w:tcW w:w="177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rPr>
                  </w:pPr>
                  <w:r>
                    <w:rPr>
                      <w:rFonts w:hint="default" w:ascii="Times New Roman" w:hAnsi="Times New Roman" w:eastAsia="宋体" w:cs="Times New Roman"/>
                      <w:b w:val="0"/>
                      <w:bCs/>
                      <w:sz w:val="21"/>
                      <w:szCs w:val="21"/>
                      <w:vertAlign w:val="baseline"/>
                    </w:rPr>
                    <w:t>昼间≤60dB(A)</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rPr>
                  </w:pPr>
                  <w:r>
                    <w:rPr>
                      <w:rFonts w:hint="default" w:ascii="Times New Roman" w:hAnsi="Times New Roman" w:eastAsia="宋体" w:cs="Times New Roman"/>
                      <w:b w:val="0"/>
                      <w:bCs/>
                      <w:sz w:val="21"/>
                      <w:szCs w:val="21"/>
                      <w:vertAlign w:val="baseline"/>
                    </w:rPr>
                    <w:t>夜间≤50dB(A)</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157" w:beforeLines="50" w:beforeAutospacing="0" w:after="0" w:afterAutospacing="0" w:line="360" w:lineRule="auto"/>
              <w:ind w:leftChars="200" w:right="0" w:rightChars="0"/>
              <w:textAlignment w:val="auto"/>
              <w:outlineLvl w:val="0"/>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lang w:val="en-US" w:eastAsia="zh-CN"/>
              </w:rPr>
              <w:t>3、</w:t>
            </w:r>
            <w:r>
              <w:rPr>
                <w:rFonts w:hint="default" w:ascii="Times New Roman" w:hAnsi="Times New Roman" w:cs="Times New Roman"/>
                <w:b/>
                <w:color w:val="auto"/>
                <w:sz w:val="24"/>
                <w:szCs w:val="24"/>
                <w:highlight w:val="none"/>
                <w:lang w:eastAsia="zh-CN"/>
              </w:rPr>
              <w:t>废水排放</w:t>
            </w:r>
            <w:r>
              <w:rPr>
                <w:rFonts w:hint="default" w:ascii="Times New Roman" w:hAnsi="Times New Roman" w:cs="Times New Roman"/>
                <w:b/>
                <w:color w:val="auto"/>
                <w:sz w:val="24"/>
                <w:szCs w:val="24"/>
                <w:highlight w:val="none"/>
              </w:rPr>
              <w:t>标准</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Autospacing="0" w:after="0" w:afterAutospacing="0" w:line="360" w:lineRule="auto"/>
              <w:ind w:right="0" w:rightChars="0" w:firstLine="480" w:firstLineChars="200"/>
              <w:textAlignment w:val="auto"/>
              <w:outlineLvl w:val="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锅炉定期排水执行《城市污水再生利用—城市杂用水水质》（GB/T18920-2020）中道路清扫水质标准。</w:t>
            </w:r>
          </w:p>
          <w:p>
            <w:pPr>
              <w:adjustRightInd w:val="0"/>
              <w:snapToGrid w:val="0"/>
              <w:spacing w:line="360" w:lineRule="auto"/>
              <w:jc w:val="center"/>
              <w:rPr>
                <w:rFonts w:hint="default" w:ascii="Times New Roman" w:hAnsi="Times New Roman" w:cs="Times New Roman"/>
                <w:b/>
                <w:szCs w:val="21"/>
              </w:rPr>
            </w:pPr>
            <w:r>
              <w:rPr>
                <w:rFonts w:hint="default" w:ascii="Times New Roman" w:hAnsi="Times New Roman" w:cs="Times New Roman"/>
                <w:b/>
                <w:szCs w:val="21"/>
              </w:rPr>
              <w:t>表3-</w:t>
            </w:r>
            <w:r>
              <w:rPr>
                <w:rFonts w:hint="default" w:ascii="Times New Roman" w:hAnsi="Times New Roman" w:cs="Times New Roman"/>
                <w:b/>
                <w:szCs w:val="21"/>
                <w:lang w:val="en-US" w:eastAsia="zh-CN"/>
              </w:rPr>
              <w:t>11</w:t>
            </w:r>
            <w:r>
              <w:rPr>
                <w:rFonts w:hint="default" w:ascii="Times New Roman" w:hAnsi="Times New Roman" w:cs="Times New Roman"/>
                <w:b/>
                <w:szCs w:val="21"/>
              </w:rPr>
              <w:t xml:space="preserve">  </w:t>
            </w:r>
            <w:r>
              <w:rPr>
                <w:rFonts w:hint="default" w:ascii="Times New Roman" w:hAnsi="Times New Roman" w:cs="Times New Roman"/>
                <w:b/>
                <w:szCs w:val="21"/>
                <w:lang w:val="en-US" w:eastAsia="zh-CN"/>
              </w:rPr>
              <w:t>城市杂用水水质标准</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6"/>
              <w:gridCol w:w="2079"/>
              <w:gridCol w:w="3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sz w:val="21"/>
                      <w:szCs w:val="21"/>
                      <w:vertAlign w:val="baseline"/>
                      <w:lang w:eastAsia="zh-CN"/>
                    </w:rPr>
                  </w:pPr>
                  <w:r>
                    <w:rPr>
                      <w:rFonts w:hint="default" w:ascii="Times New Roman" w:hAnsi="Times New Roman" w:eastAsia="宋体" w:cs="Times New Roman"/>
                      <w:b/>
                      <w:bCs w:val="0"/>
                      <w:sz w:val="21"/>
                      <w:szCs w:val="21"/>
                      <w:vertAlign w:val="baseline"/>
                      <w:lang w:eastAsia="zh-CN"/>
                    </w:rPr>
                    <w:t>污染物</w:t>
                  </w:r>
                </w:p>
              </w:tc>
              <w:tc>
                <w:tcPr>
                  <w:tcW w:w="207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sz w:val="21"/>
                      <w:szCs w:val="21"/>
                      <w:vertAlign w:val="baseline"/>
                      <w:lang w:eastAsia="zh-CN"/>
                    </w:rPr>
                  </w:pPr>
                  <w:r>
                    <w:rPr>
                      <w:rFonts w:hint="default" w:ascii="Times New Roman" w:hAnsi="Times New Roman" w:eastAsia="宋体" w:cs="Times New Roman"/>
                      <w:b/>
                      <w:bCs w:val="0"/>
                      <w:sz w:val="21"/>
                      <w:szCs w:val="21"/>
                      <w:vertAlign w:val="baseline"/>
                      <w:lang w:eastAsia="zh-CN"/>
                    </w:rPr>
                    <w:t>单位</w:t>
                  </w:r>
                </w:p>
              </w:tc>
              <w:tc>
                <w:tcPr>
                  <w:tcW w:w="351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sz w:val="21"/>
                      <w:szCs w:val="21"/>
                      <w:vertAlign w:val="baseline"/>
                    </w:rPr>
                  </w:pPr>
                  <w:r>
                    <w:rPr>
                      <w:rFonts w:hint="default" w:ascii="Times New Roman" w:hAnsi="Times New Roman" w:eastAsia="宋体" w:cs="Times New Roman"/>
                      <w:b/>
                      <w:bCs w:val="0"/>
                      <w:sz w:val="21"/>
                      <w:szCs w:val="21"/>
                      <w:vertAlign w:val="baseline"/>
                      <w:lang w:val="en-US" w:eastAsia="zh-CN"/>
                    </w:rPr>
                    <w:t>城市绿化、道路清扫、消防、建筑施工标准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pH</w:t>
                  </w:r>
                </w:p>
              </w:tc>
              <w:tc>
                <w:tcPr>
                  <w:tcW w:w="207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eastAsia="zh-CN"/>
                    </w:rPr>
                  </w:pPr>
                  <w:r>
                    <w:rPr>
                      <w:rFonts w:hint="default" w:ascii="Times New Roman" w:hAnsi="Times New Roman" w:eastAsia="宋体" w:cs="Times New Roman"/>
                      <w:b w:val="0"/>
                      <w:bCs/>
                      <w:sz w:val="21"/>
                      <w:szCs w:val="21"/>
                      <w:vertAlign w:val="baseline"/>
                      <w:lang w:eastAsia="zh-CN"/>
                    </w:rPr>
                    <w:t>无量纲</w:t>
                  </w:r>
                </w:p>
              </w:tc>
              <w:tc>
                <w:tcPr>
                  <w:tcW w:w="351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eastAsia="zh-CN"/>
                    </w:rPr>
                  </w:pPr>
                  <w:r>
                    <w:rPr>
                      <w:rFonts w:hint="default" w:ascii="Times New Roman" w:hAnsi="Times New Roman" w:eastAsia="宋体" w:cs="Times New Roman"/>
                      <w:b w:val="0"/>
                      <w:bCs/>
                      <w:sz w:val="21"/>
                      <w:szCs w:val="21"/>
                      <w:vertAlign w:val="baseline"/>
                      <w:lang w:eastAsia="zh-CN"/>
                    </w:rPr>
                    <w:t>色度</w:t>
                  </w:r>
                </w:p>
              </w:tc>
              <w:tc>
                <w:tcPr>
                  <w:tcW w:w="207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eastAsia="zh-CN"/>
                    </w:rPr>
                  </w:pPr>
                  <w:r>
                    <w:rPr>
                      <w:rFonts w:hint="default" w:ascii="Times New Roman" w:hAnsi="Times New Roman" w:eastAsia="宋体" w:cs="Times New Roman"/>
                      <w:b w:val="0"/>
                      <w:bCs/>
                      <w:sz w:val="21"/>
                      <w:szCs w:val="21"/>
                      <w:vertAlign w:val="baseline"/>
                      <w:lang w:eastAsia="zh-CN"/>
                    </w:rPr>
                    <w:t>铂钴色度单位</w:t>
                  </w:r>
                </w:p>
              </w:tc>
              <w:tc>
                <w:tcPr>
                  <w:tcW w:w="351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rPr>
                  </w:pPr>
                  <w:r>
                    <w:rPr>
                      <w:rFonts w:hint="default" w:ascii="Times New Roman" w:hAnsi="Times New Roman" w:eastAsia="宋体" w:cs="Times New Roman"/>
                      <w:b w:val="0"/>
                      <w:bCs/>
                      <w:sz w:val="21"/>
                      <w:szCs w:val="21"/>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eastAsia="zh-CN"/>
                    </w:rPr>
                  </w:pPr>
                  <w:r>
                    <w:rPr>
                      <w:rFonts w:hint="default" w:ascii="Times New Roman" w:hAnsi="Times New Roman" w:eastAsia="宋体" w:cs="Times New Roman"/>
                      <w:b w:val="0"/>
                      <w:bCs/>
                      <w:sz w:val="21"/>
                      <w:szCs w:val="21"/>
                      <w:vertAlign w:val="baseline"/>
                      <w:lang w:eastAsia="zh-CN"/>
                    </w:rPr>
                    <w:t>嗅</w:t>
                  </w:r>
                </w:p>
              </w:tc>
              <w:tc>
                <w:tcPr>
                  <w:tcW w:w="207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w:t>
                  </w:r>
                </w:p>
              </w:tc>
              <w:tc>
                <w:tcPr>
                  <w:tcW w:w="351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eastAsia="zh-CN"/>
                    </w:rPr>
                  </w:pPr>
                  <w:r>
                    <w:rPr>
                      <w:rFonts w:hint="default" w:ascii="Times New Roman" w:hAnsi="Times New Roman" w:eastAsia="宋体" w:cs="Times New Roman"/>
                      <w:b w:val="0"/>
                      <w:bCs/>
                      <w:sz w:val="21"/>
                      <w:szCs w:val="21"/>
                      <w:vertAlign w:val="baseline"/>
                      <w:lang w:eastAsia="zh-CN"/>
                    </w:rPr>
                    <w:t>无不快感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27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eastAsia="zh-CN"/>
                    </w:rPr>
                  </w:pPr>
                  <w:r>
                    <w:rPr>
                      <w:rFonts w:hint="default" w:ascii="Times New Roman" w:hAnsi="Times New Roman" w:eastAsia="宋体" w:cs="Times New Roman"/>
                      <w:b w:val="0"/>
                      <w:bCs/>
                      <w:sz w:val="21"/>
                      <w:szCs w:val="21"/>
                      <w:vertAlign w:val="baseline"/>
                      <w:lang w:eastAsia="zh-CN"/>
                    </w:rPr>
                    <w:t>浊度</w:t>
                  </w:r>
                </w:p>
              </w:tc>
              <w:tc>
                <w:tcPr>
                  <w:tcW w:w="207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NTU</w:t>
                  </w:r>
                </w:p>
              </w:tc>
              <w:tc>
                <w:tcPr>
                  <w:tcW w:w="351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val="en-US"/>
                    </w:rPr>
                  </w:pPr>
                  <w:r>
                    <w:rPr>
                      <w:rFonts w:hint="default" w:ascii="Times New Roman" w:hAnsi="Times New Roman" w:eastAsia="宋体" w:cs="Times New Roman"/>
                      <w:b w:val="0"/>
                      <w:bCs/>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BOD</w:t>
                  </w:r>
                  <w:r>
                    <w:rPr>
                      <w:rFonts w:hint="default" w:ascii="Times New Roman" w:hAnsi="Times New Roman" w:eastAsia="宋体" w:cs="Times New Roman"/>
                      <w:b w:val="0"/>
                      <w:bCs/>
                      <w:sz w:val="21"/>
                      <w:szCs w:val="21"/>
                      <w:vertAlign w:val="subscript"/>
                      <w:lang w:val="en-US" w:eastAsia="zh-CN"/>
                    </w:rPr>
                    <w:t>5</w:t>
                  </w:r>
                </w:p>
              </w:tc>
              <w:tc>
                <w:tcPr>
                  <w:tcW w:w="207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val="en-US"/>
                    </w:rPr>
                  </w:pPr>
                  <w:r>
                    <w:rPr>
                      <w:rFonts w:hint="default" w:ascii="Times New Roman" w:hAnsi="Times New Roman" w:eastAsia="宋体" w:cs="Times New Roman"/>
                      <w:b w:val="0"/>
                      <w:bCs/>
                      <w:sz w:val="21"/>
                      <w:szCs w:val="21"/>
                      <w:vertAlign w:val="baseline"/>
                      <w:lang w:val="en-US" w:eastAsia="zh-CN"/>
                    </w:rPr>
                    <w:t>mg/L</w:t>
                  </w:r>
                </w:p>
              </w:tc>
              <w:tc>
                <w:tcPr>
                  <w:tcW w:w="351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rPr>
                  </w:pPr>
                  <w:r>
                    <w:rPr>
                      <w:rFonts w:hint="default" w:ascii="Times New Roman" w:hAnsi="Times New Roman" w:eastAsia="宋体" w:cs="Times New Roman"/>
                      <w:b w:val="0"/>
                      <w:bCs/>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氨氮</w:t>
                  </w:r>
                </w:p>
              </w:tc>
              <w:tc>
                <w:tcPr>
                  <w:tcW w:w="207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rPr>
                  </w:pPr>
                  <w:r>
                    <w:rPr>
                      <w:rFonts w:hint="default" w:ascii="Times New Roman" w:hAnsi="Times New Roman" w:eastAsia="宋体" w:cs="Times New Roman"/>
                      <w:b w:val="0"/>
                      <w:bCs/>
                      <w:sz w:val="21"/>
                      <w:szCs w:val="21"/>
                      <w:vertAlign w:val="baseline"/>
                      <w:lang w:val="en-US" w:eastAsia="zh-CN"/>
                    </w:rPr>
                    <w:t>mg/L</w:t>
                  </w:r>
                </w:p>
              </w:tc>
              <w:tc>
                <w:tcPr>
                  <w:tcW w:w="351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val="en-US"/>
                    </w:rPr>
                  </w:pPr>
                  <w:r>
                    <w:rPr>
                      <w:rFonts w:hint="default" w:ascii="Times New Roman" w:hAnsi="Times New Roman" w:eastAsia="宋体" w:cs="Times New Roman"/>
                      <w:b w:val="0"/>
                      <w:bCs/>
                      <w:sz w:val="21"/>
                      <w:szCs w:val="21"/>
                      <w:vertAlign w:val="baseli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阴离子表面活性剂</w:t>
                  </w:r>
                </w:p>
              </w:tc>
              <w:tc>
                <w:tcPr>
                  <w:tcW w:w="207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rPr>
                  </w:pPr>
                  <w:r>
                    <w:rPr>
                      <w:rFonts w:hint="default" w:ascii="Times New Roman" w:hAnsi="Times New Roman" w:eastAsia="宋体" w:cs="Times New Roman"/>
                      <w:b w:val="0"/>
                      <w:bCs/>
                      <w:sz w:val="21"/>
                      <w:szCs w:val="21"/>
                      <w:vertAlign w:val="baseline"/>
                      <w:lang w:val="en-US" w:eastAsia="zh-CN"/>
                    </w:rPr>
                    <w:t>mg/L</w:t>
                  </w:r>
                </w:p>
              </w:tc>
              <w:tc>
                <w:tcPr>
                  <w:tcW w:w="351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val="en-US"/>
                    </w:rPr>
                  </w:pPr>
                  <w:r>
                    <w:rPr>
                      <w:rFonts w:hint="default" w:ascii="Times New Roman" w:hAnsi="Times New Roman" w:eastAsia="宋体" w:cs="Times New Roman"/>
                      <w:b w:val="0"/>
                      <w:bCs/>
                      <w:sz w:val="21"/>
                      <w:szCs w:val="21"/>
                      <w:vertAlign w:val="baseli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溶解性总固体</w:t>
                  </w:r>
                </w:p>
              </w:tc>
              <w:tc>
                <w:tcPr>
                  <w:tcW w:w="207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rPr>
                  </w:pPr>
                  <w:r>
                    <w:rPr>
                      <w:rFonts w:hint="default" w:ascii="Times New Roman" w:hAnsi="Times New Roman" w:eastAsia="宋体" w:cs="Times New Roman"/>
                      <w:b w:val="0"/>
                      <w:bCs/>
                      <w:sz w:val="21"/>
                      <w:szCs w:val="21"/>
                      <w:vertAlign w:val="baseline"/>
                      <w:lang w:val="en-US" w:eastAsia="zh-CN"/>
                    </w:rPr>
                    <w:t>mg/L</w:t>
                  </w:r>
                </w:p>
              </w:tc>
              <w:tc>
                <w:tcPr>
                  <w:tcW w:w="351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1000（2000）</w:t>
                  </w:r>
                  <w:r>
                    <w:rPr>
                      <w:rFonts w:hint="default" w:ascii="Times New Roman" w:hAnsi="Times New Roman" w:eastAsia="宋体" w:cs="Times New Roman"/>
                      <w:b w:val="0"/>
                      <w:bCs/>
                      <w:sz w:val="21"/>
                      <w:szCs w:val="21"/>
                      <w:vertAlign w:val="superscript"/>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溶解氧</w:t>
                  </w:r>
                </w:p>
              </w:tc>
              <w:tc>
                <w:tcPr>
                  <w:tcW w:w="207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rPr>
                  </w:pPr>
                  <w:r>
                    <w:rPr>
                      <w:rFonts w:hint="default" w:ascii="Times New Roman" w:hAnsi="Times New Roman" w:eastAsia="宋体" w:cs="Times New Roman"/>
                      <w:b w:val="0"/>
                      <w:bCs/>
                      <w:sz w:val="21"/>
                      <w:szCs w:val="21"/>
                      <w:vertAlign w:val="baseline"/>
                      <w:lang w:val="en-US" w:eastAsia="zh-CN"/>
                    </w:rPr>
                    <w:t>mg/L</w:t>
                  </w:r>
                </w:p>
              </w:tc>
              <w:tc>
                <w:tcPr>
                  <w:tcW w:w="351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eastAsia="zh-CN"/>
                    </w:rPr>
                    <w:t>≥</w:t>
                  </w:r>
                  <w:r>
                    <w:rPr>
                      <w:rFonts w:hint="default" w:ascii="Times New Roman" w:hAnsi="Times New Roman" w:eastAsia="宋体" w:cs="Times New Roman"/>
                      <w:b w:val="0"/>
                      <w:bCs/>
                      <w:sz w:val="21"/>
                      <w:szCs w:val="21"/>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79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eastAsia="zh-CN"/>
                    </w:rPr>
                  </w:pPr>
                  <w:r>
                    <w:rPr>
                      <w:rFonts w:hint="default" w:ascii="Times New Roman" w:hAnsi="Times New Roman" w:eastAsia="宋体" w:cs="Times New Roman"/>
                      <w:b w:val="0"/>
                      <w:bCs/>
                      <w:sz w:val="21"/>
                      <w:szCs w:val="21"/>
                      <w:vertAlign w:val="baseline"/>
                      <w:lang w:eastAsia="zh-CN"/>
                    </w:rPr>
                    <w:t>总氯</w:t>
                  </w:r>
                </w:p>
              </w:tc>
              <w:tc>
                <w:tcPr>
                  <w:tcW w:w="207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rPr>
                  </w:pPr>
                  <w:r>
                    <w:rPr>
                      <w:rFonts w:hint="default" w:ascii="Times New Roman" w:hAnsi="Times New Roman" w:eastAsia="宋体" w:cs="Times New Roman"/>
                      <w:b w:val="0"/>
                      <w:bCs/>
                      <w:sz w:val="21"/>
                      <w:szCs w:val="21"/>
                      <w:vertAlign w:val="baseline"/>
                      <w:lang w:val="en-US" w:eastAsia="zh-CN"/>
                    </w:rPr>
                    <w:t>mg/L</w:t>
                  </w:r>
                </w:p>
              </w:tc>
              <w:tc>
                <w:tcPr>
                  <w:tcW w:w="351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val="en-US"/>
                    </w:rPr>
                  </w:pPr>
                  <w:r>
                    <w:rPr>
                      <w:rFonts w:hint="default" w:ascii="Times New Roman" w:hAnsi="Times New Roman" w:eastAsia="宋体" w:cs="Times New Roman"/>
                      <w:b w:val="0"/>
                      <w:bCs/>
                      <w:sz w:val="21"/>
                      <w:szCs w:val="21"/>
                      <w:vertAlign w:val="baseline"/>
                      <w:lang w:eastAsia="zh-CN"/>
                    </w:rPr>
                    <w:t>≥</w:t>
                  </w:r>
                  <w:r>
                    <w:rPr>
                      <w:rFonts w:hint="default" w:ascii="Times New Roman" w:hAnsi="Times New Roman" w:eastAsia="宋体" w:cs="Times New Roman"/>
                      <w:b w:val="0"/>
                      <w:bCs/>
                      <w:sz w:val="21"/>
                      <w:szCs w:val="21"/>
                      <w:vertAlign w:val="baseline"/>
                      <w:lang w:val="en-US" w:eastAsia="zh-CN"/>
                    </w:rPr>
                    <w:t>1.0（出厂），0.2</w:t>
                  </w:r>
                  <w:r>
                    <w:rPr>
                      <w:rFonts w:hint="default" w:ascii="Times New Roman" w:hAnsi="Times New Roman" w:eastAsia="宋体" w:cs="Times New Roman"/>
                      <w:b w:val="0"/>
                      <w:bCs/>
                      <w:sz w:val="21"/>
                      <w:szCs w:val="21"/>
                      <w:vertAlign w:val="superscript"/>
                      <w:lang w:val="en-US" w:eastAsia="zh-CN"/>
                    </w:rPr>
                    <w:t>b</w:t>
                  </w:r>
                  <w:r>
                    <w:rPr>
                      <w:rFonts w:hint="default" w:ascii="Times New Roman" w:hAnsi="Times New Roman" w:eastAsia="宋体" w:cs="Times New Roman"/>
                      <w:b w:val="0"/>
                      <w:bCs/>
                      <w:sz w:val="21"/>
                      <w:szCs w:val="21"/>
                      <w:vertAlign w:val="baseline"/>
                      <w:lang w:val="en-US" w:eastAsia="zh-CN"/>
                    </w:rPr>
                    <w:t>（管网末端）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88"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superscript"/>
                      <w:lang w:val="en-US" w:eastAsia="zh-CN"/>
                    </w:rPr>
                    <w:t>a</w:t>
                  </w:r>
                  <w:r>
                    <w:rPr>
                      <w:rFonts w:hint="default" w:ascii="Times New Roman" w:hAnsi="Times New Roman" w:eastAsia="宋体" w:cs="Times New Roman"/>
                      <w:b w:val="0"/>
                      <w:bCs/>
                      <w:sz w:val="21"/>
                      <w:szCs w:val="21"/>
                      <w:vertAlign w:val="baseline"/>
                      <w:lang w:val="en-US" w:eastAsia="zh-CN"/>
                    </w:rPr>
                    <w:t>括号内指标值为沿海及本地水源中溶解性固体含量较高的区域的指标；</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superscript"/>
                      <w:lang w:val="en-US" w:eastAsia="zh-CN"/>
                    </w:rPr>
                    <w:t>b</w:t>
                  </w:r>
                  <w:r>
                    <w:rPr>
                      <w:rFonts w:hint="default" w:ascii="Times New Roman" w:hAnsi="Times New Roman" w:eastAsia="宋体" w:cs="Times New Roman"/>
                      <w:b w:val="0"/>
                      <w:bCs/>
                      <w:sz w:val="21"/>
                      <w:szCs w:val="21"/>
                      <w:vertAlign w:val="baseline"/>
                      <w:lang w:val="en-US" w:eastAsia="zh-CN"/>
                    </w:rPr>
                    <w:t>用于城市绿化时，不应超过2.5mg/L。</w:t>
                  </w:r>
                </w:p>
              </w:tc>
            </w:tr>
          </w:tbl>
          <w:p>
            <w:pPr>
              <w:keepNext w:val="0"/>
              <w:keepLines w:val="0"/>
              <w:pageBreakBefore w:val="0"/>
              <w:widowControl w:val="0"/>
              <w:suppressLineNumbers w:val="0"/>
              <w:kinsoku/>
              <w:wordWrap/>
              <w:overflowPunct/>
              <w:topLinePunct w:val="0"/>
              <w:autoSpaceDE/>
              <w:autoSpaceDN/>
              <w:bidi w:val="0"/>
              <w:adjustRightInd/>
              <w:snapToGrid w:val="0"/>
              <w:spacing w:beforeAutospacing="0" w:after="0" w:afterAutospacing="0" w:line="360" w:lineRule="auto"/>
              <w:ind w:right="0" w:firstLine="482" w:firstLineChars="200"/>
              <w:textAlignment w:val="auto"/>
              <w:outlineLvl w:val="0"/>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lang w:val="en-US" w:eastAsia="zh-CN"/>
              </w:rPr>
              <w:t>4</w:t>
            </w:r>
            <w:r>
              <w:rPr>
                <w:rFonts w:hint="default" w:ascii="Times New Roman" w:hAnsi="Times New Roman" w:cs="Times New Roman"/>
                <w:b/>
                <w:color w:val="auto"/>
                <w:sz w:val="24"/>
                <w:szCs w:val="24"/>
                <w:highlight w:val="none"/>
              </w:rPr>
              <w:t>、固体废物控制标准</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一般工业固体废物执行《一般工业固体废物贮存和填埋污染控制标准》（GB18599-20</w:t>
            </w:r>
            <w:r>
              <w:rPr>
                <w:rFonts w:hint="default" w:ascii="Times New Roman" w:hAnsi="Times New Roman" w:cs="Times New Roman"/>
                <w:color w:val="auto"/>
                <w:sz w:val="24"/>
                <w:szCs w:val="24"/>
                <w:highlight w:val="none"/>
                <w:lang w:val="en-US" w:eastAsia="zh-CN"/>
              </w:rPr>
              <w:t>20</w:t>
            </w:r>
            <w:r>
              <w:rPr>
                <w:rFonts w:hint="default" w:ascii="Times New Roman" w:hAnsi="Times New Roman" w:cs="Times New Roman"/>
                <w:color w:val="auto"/>
                <w:sz w:val="24"/>
                <w:szCs w:val="24"/>
                <w:highlight w:val="none"/>
              </w:rPr>
              <w:t>）的相关规定。</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kern w:val="0"/>
                <w:sz w:val="24"/>
                <w:lang w:val="en-US" w:eastAsia="zh-CN"/>
              </w:rPr>
            </w:pPr>
            <w:r>
              <w:rPr>
                <w:rFonts w:hint="default" w:ascii="Times New Roman" w:hAnsi="Times New Roman" w:cs="Times New Roman"/>
                <w:color w:val="auto"/>
                <w:sz w:val="24"/>
              </w:rPr>
              <w:t>危险废物执行《危险废物贮存污染控制标准》（GB18597-20</w:t>
            </w:r>
            <w:r>
              <w:rPr>
                <w:rFonts w:hint="default" w:ascii="Times New Roman" w:hAnsi="Times New Roman" w:cs="Times New Roman"/>
                <w:color w:val="auto"/>
                <w:sz w:val="24"/>
                <w:lang w:val="en-US" w:eastAsia="zh-CN"/>
              </w:rPr>
              <w:t>23</w:t>
            </w:r>
            <w:r>
              <w:rPr>
                <w:rFonts w:hint="default" w:ascii="Times New Roman" w:hAnsi="Times New Roman" w:cs="Times New Roman"/>
                <w:color w:val="auto"/>
                <w:sz w:val="24"/>
              </w:rPr>
              <w:t>）标准</w:t>
            </w:r>
            <w:r>
              <w:rPr>
                <w:rFonts w:hint="default" w:ascii="Times New Roman" w:hAnsi="Times New Roman" w:cs="Times New Roman"/>
                <w:color w:val="auto"/>
                <w:sz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0" w:type="pct"/>
            <w:tcBorders>
              <w:top w:val="single" w:color="auto" w:sz="4" w:space="0"/>
              <w:left w:val="single" w:color="auto" w:sz="8" w:space="0"/>
              <w:bottom w:val="single" w:color="auto" w:sz="8" w:space="0"/>
              <w:right w:val="single" w:color="auto" w:sz="4" w:space="0"/>
            </w:tcBorders>
            <w:shd w:val="clear" w:color="auto" w:fill="auto"/>
            <w:vAlign w:val="center"/>
          </w:tcPr>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lang w:bidi="ar"/>
              </w:rPr>
              <w:t>总量</w:t>
            </w:r>
          </w:p>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lang w:bidi="ar"/>
              </w:rPr>
              <w:t>控制</w:t>
            </w:r>
          </w:p>
          <w:p>
            <w:pPr>
              <w:adjustRightInd w:val="0"/>
              <w:snapToGrid w:val="0"/>
              <w:jc w:val="center"/>
              <w:rPr>
                <w:rFonts w:hint="default" w:ascii="Times New Roman" w:hAnsi="Times New Roman" w:eastAsia="宋体" w:cs="Times New Roman"/>
                <w:kern w:val="0"/>
                <w:sz w:val="24"/>
              </w:rPr>
            </w:pPr>
            <w:r>
              <w:rPr>
                <w:rFonts w:hint="default" w:ascii="Times New Roman" w:hAnsi="Times New Roman" w:eastAsia="宋体" w:cs="Times New Roman"/>
                <w:kern w:val="0"/>
                <w:sz w:val="24"/>
                <w:lang w:bidi="ar"/>
              </w:rPr>
              <w:t>指标</w:t>
            </w:r>
          </w:p>
        </w:tc>
        <w:tc>
          <w:tcPr>
            <w:tcW w:w="4719" w:type="pct"/>
            <w:tcBorders>
              <w:top w:val="single" w:color="auto" w:sz="4" w:space="0"/>
              <w:left w:val="single" w:color="auto" w:sz="4" w:space="0"/>
              <w:bottom w:val="single" w:color="auto" w:sz="8" w:space="0"/>
              <w:right w:val="single" w:color="auto" w:sz="8" w:space="0"/>
            </w:tcBorders>
            <w:shd w:val="clear" w:color="auto" w:fill="auto"/>
            <w:vAlign w:val="center"/>
          </w:tcPr>
          <w:p>
            <w:pPr>
              <w:adjustRightInd w:val="0"/>
              <w:snapToGrid w:val="0"/>
              <w:spacing w:line="360" w:lineRule="auto"/>
              <w:ind w:firstLine="480" w:firstLineChars="200"/>
              <w:contextualSpacing/>
              <w:jc w:val="left"/>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根据国家主要污染物总量控制指标要求，结合工程特征及污染物排放特点，确定总量控制的污染物为二氧化硫、氮氧化物。</w:t>
            </w:r>
          </w:p>
          <w:p>
            <w:pPr>
              <w:adjustRightInd w:val="0"/>
              <w:snapToGrid w:val="0"/>
              <w:spacing w:line="360" w:lineRule="auto"/>
              <w:ind w:firstLine="482" w:firstLineChars="200"/>
              <w:contextualSpacing/>
              <w:jc w:val="left"/>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1、二氧化硫、氮氧化物排放量核算</w:t>
            </w:r>
          </w:p>
          <w:p>
            <w:pPr>
              <w:pStyle w:val="18"/>
              <w:snapToGrid w:val="0"/>
              <w:spacing w:line="360" w:lineRule="auto"/>
              <w:ind w:firstLine="480" w:firstLineChars="200"/>
              <w:contextualSpacing/>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（1）标准浓度法</w:t>
            </w:r>
          </w:p>
          <w:p>
            <w:pPr>
              <w:pStyle w:val="18"/>
              <w:keepNext w:val="0"/>
              <w:keepLines w:val="0"/>
              <w:pageBreakBefore w:val="0"/>
              <w:widowControl w:val="0"/>
              <w:kinsoku/>
              <w:wordWrap/>
              <w:overflowPunct/>
              <w:topLinePunct w:val="0"/>
              <w:autoSpaceDE/>
              <w:autoSpaceDN/>
              <w:bidi w:val="0"/>
              <w:adjustRightInd/>
              <w:snapToGrid/>
              <w:spacing w:after="0" w:line="360" w:lineRule="auto"/>
              <w:ind w:firstLine="480" w:firstLineChars="200"/>
              <w:contextualSpacing/>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①烟气量核算</w:t>
            </w:r>
          </w:p>
          <w:p>
            <w:pPr>
              <w:pStyle w:val="18"/>
              <w:keepNext w:val="0"/>
              <w:keepLines w:val="0"/>
              <w:pageBreakBefore w:val="0"/>
              <w:widowControl w:val="0"/>
              <w:kinsoku/>
              <w:wordWrap/>
              <w:overflowPunct/>
              <w:topLinePunct w:val="0"/>
              <w:autoSpaceDE/>
              <w:autoSpaceDN/>
              <w:bidi w:val="0"/>
              <w:adjustRightInd/>
              <w:snapToGrid/>
              <w:spacing w:after="0" w:line="360" w:lineRule="auto"/>
              <w:ind w:firstLine="480" w:firstLineChars="200"/>
              <w:contextualSpacing/>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锅炉烟气量核算根据《污染源源强核算技术指南 锅炉》（HJ991-2018），结合《排污许可证申请与核发技术规范 锅炉》（HJ953-2018）中关于</w:t>
            </w:r>
            <w:r>
              <w:rPr>
                <w:rFonts w:hint="default" w:ascii="Times New Roman" w:hAnsi="Times New Roman" w:cs="Times New Roman"/>
                <w:color w:val="000000" w:themeColor="text1"/>
                <w:sz w:val="24"/>
                <w:lang w:val="en-US" w:eastAsia="zh-CN"/>
                <w14:textFill>
                  <w14:solidFill>
                    <w14:schemeClr w14:val="tx1"/>
                  </w14:solidFill>
                </w14:textFill>
              </w:rPr>
              <w:t>燃煤</w:t>
            </w:r>
            <w:r>
              <w:rPr>
                <w:rFonts w:hint="default" w:ascii="Times New Roman" w:hAnsi="Times New Roman" w:cs="Times New Roman"/>
                <w:color w:val="000000" w:themeColor="text1"/>
                <w:sz w:val="24"/>
                <w14:textFill>
                  <w14:solidFill>
                    <w14:schemeClr w14:val="tx1"/>
                  </w14:solidFill>
                </w14:textFill>
              </w:rPr>
              <w:t>锅炉相关内容的规定，详见下文</w:t>
            </w:r>
            <w:r>
              <w:rPr>
                <w:rFonts w:hint="default" w:ascii="Times New Roman" w:hAnsi="Times New Roman" w:cs="Times New Roman"/>
                <w:color w:val="000000" w:themeColor="text1"/>
                <w:sz w:val="24"/>
                <w:lang w:eastAsia="zh-CN"/>
                <w14:textFill>
                  <w14:solidFill>
                    <w14:schemeClr w14:val="tx1"/>
                  </w14:solidFill>
                </w14:textFill>
              </w:rPr>
              <w:t>燃煤</w:t>
            </w:r>
            <w:r>
              <w:rPr>
                <w:rFonts w:hint="default" w:ascii="Times New Roman" w:hAnsi="Times New Roman" w:cs="Times New Roman"/>
                <w:color w:val="000000" w:themeColor="text1"/>
                <w:sz w:val="24"/>
                <w14:textFill>
                  <w14:solidFill>
                    <w14:schemeClr w14:val="tx1"/>
                  </w14:solidFill>
                </w14:textFill>
              </w:rPr>
              <w:t>锅炉废气源强核算过程。</w:t>
            </w:r>
          </w:p>
          <w:p>
            <w:pPr>
              <w:pStyle w:val="4"/>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根据燃煤化验单，收到基低位发热量为13.437MJ/kg，燃料干燥无灰基挥发分为44.12%，</w:t>
            </w:r>
            <w:r>
              <w:rPr>
                <w:rFonts w:hint="default" w:ascii="Times New Roman" w:hAnsi="Times New Roman" w:cs="Times New Roman"/>
                <w:color w:val="000000" w:themeColor="text1"/>
                <w:sz w:val="24"/>
                <w14:textFill>
                  <w14:solidFill>
                    <w14:schemeClr w14:val="tx1"/>
                  </w14:solidFill>
                </w14:textFill>
              </w:rPr>
              <w:t>采用经验公式法估算基准烟气量，基准烟气量取值表如下：</w:t>
            </w:r>
          </w:p>
          <w:p>
            <w:pPr>
              <w:adjustRightInd w:val="0"/>
              <w:snapToGrid w:val="0"/>
              <w:spacing w:line="360" w:lineRule="auto"/>
              <w:jc w:val="center"/>
              <w:rPr>
                <w:rFonts w:hint="default" w:ascii="Times New Roman" w:hAnsi="Times New Roman" w:cs="Times New Roman"/>
                <w:b/>
                <w:color w:val="000000" w:themeColor="text1"/>
                <w:szCs w:val="21"/>
                <w:lang w:val="en-US" w:eastAsia="zh-CN"/>
                <w14:textFill>
                  <w14:solidFill>
                    <w14:schemeClr w14:val="tx1"/>
                  </w14:solidFill>
                </w14:textFill>
              </w:rPr>
            </w:pPr>
            <w:r>
              <w:rPr>
                <w:rFonts w:hint="default" w:ascii="Times New Roman" w:hAnsi="Times New Roman" w:cs="Times New Roman"/>
                <w:b/>
                <w:color w:val="000000" w:themeColor="text1"/>
                <w:szCs w:val="21"/>
                <w:lang w:val="en-US" w:eastAsia="zh-CN"/>
                <w14:textFill>
                  <w14:solidFill>
                    <w14:schemeClr w14:val="tx1"/>
                  </w14:solidFill>
                </w14:textFill>
              </w:rPr>
              <w:t>表3-12 基准烟气量取值表</w:t>
            </w:r>
          </w:p>
          <w:p>
            <w:pPr>
              <w:numPr>
                <w:ilvl w:val="0"/>
                <w:numId w:val="0"/>
              </w:numPr>
              <w:tabs>
                <w:tab w:val="left" w:pos="420"/>
              </w:tabs>
              <w:ind w:leftChars="0"/>
              <w:jc w:val="both"/>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5344795" cy="1007110"/>
                  <wp:effectExtent l="0" t="0" r="8255" b="254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7"/>
                          <a:stretch>
                            <a:fillRect/>
                          </a:stretch>
                        </pic:blipFill>
                        <pic:spPr>
                          <a:xfrm>
                            <a:off x="0" y="0"/>
                            <a:ext cx="5344795" cy="1007110"/>
                          </a:xfrm>
                          <a:prstGeom prst="rect">
                            <a:avLst/>
                          </a:prstGeom>
                          <a:noFill/>
                          <a:ln>
                            <a:noFill/>
                          </a:ln>
                        </pic:spPr>
                      </pic:pic>
                    </a:graphicData>
                  </a:graphic>
                </wp:inline>
              </w:drawing>
            </w:r>
          </w:p>
          <w:p>
            <w:pPr>
              <w:pStyle w:val="18"/>
              <w:snapToGrid w:val="0"/>
              <w:spacing w:line="360" w:lineRule="auto"/>
              <w:ind w:firstLine="480" w:firstLineChars="200"/>
              <w:contextualSpacing/>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基准燃气量=0.411*13.437+0.918=6.44Nm</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lang w:val="en-US" w:eastAsia="zh-CN"/>
                <w14:textFill>
                  <w14:solidFill>
                    <w14:schemeClr w14:val="tx1"/>
                  </w14:solidFill>
                </w14:textFill>
              </w:rPr>
              <w:t>/kg，项目燃煤量为9680t/a，</w:t>
            </w:r>
            <w:r>
              <w:rPr>
                <w:rFonts w:hint="default" w:ascii="Times New Roman" w:hAnsi="Times New Roman" w:cs="Times New Roman"/>
                <w:color w:val="000000" w:themeColor="text1"/>
                <w:sz w:val="24"/>
                <w14:textFill>
                  <w14:solidFill>
                    <w14:schemeClr w14:val="tx1"/>
                  </w14:solidFill>
                </w14:textFill>
              </w:rPr>
              <w:t>计算可得年产生烟气量为62345075.76Nm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锅炉年工作2400小时，则烟气量为</w:t>
            </w:r>
            <w:r>
              <w:rPr>
                <w:rFonts w:hint="default" w:ascii="Times New Roman" w:hAnsi="Times New Roman" w:cs="Times New Roman"/>
                <w:color w:val="000000" w:themeColor="text1"/>
                <w:sz w:val="24"/>
                <w14:textFill>
                  <w14:solidFill>
                    <w14:schemeClr w14:val="tx1"/>
                  </w14:solidFill>
                </w14:textFill>
              </w:rPr>
              <w:t>即</w:t>
            </w:r>
            <w:r>
              <w:rPr>
                <w:rFonts w:hint="default" w:ascii="Times New Roman" w:hAnsi="Times New Roman" w:cs="Times New Roman"/>
                <w:color w:val="000000" w:themeColor="text1"/>
                <w:sz w:val="24"/>
                <w:lang w:val="en-US" w:eastAsia="zh-CN"/>
                <w14:textFill>
                  <w14:solidFill>
                    <w14:schemeClr w14:val="tx1"/>
                  </w14:solidFill>
                </w14:textFill>
              </w:rPr>
              <w:t>25977</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/h。</w:t>
            </w:r>
          </w:p>
          <w:p>
            <w:pPr>
              <w:pStyle w:val="18"/>
              <w:snapToGrid w:val="0"/>
              <w:spacing w:line="360" w:lineRule="auto"/>
              <w:ind w:firstLine="480" w:firstLineChars="200"/>
              <w:contextualSpacing/>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②二氧化硫、氮氧化物排放量核算</w:t>
            </w:r>
          </w:p>
          <w:p>
            <w:pPr>
              <w:pStyle w:val="18"/>
              <w:snapToGrid w:val="0"/>
              <w:spacing w:line="360" w:lineRule="auto"/>
              <w:ind w:firstLine="480" w:firstLineChars="200"/>
              <w:contextualSpacing/>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计算二氧化硫、氮氧化物采用标准浓度法时，</w:t>
            </w:r>
            <w:r>
              <w:rPr>
                <w:rFonts w:hint="default" w:ascii="Times New Roman" w:hAnsi="Times New Roman" w:cs="Times New Roman"/>
                <w:color w:val="000000" w:themeColor="text1"/>
                <w:sz w:val="24"/>
                <w:lang w:eastAsia="zh-CN"/>
                <w14:textFill>
                  <w14:solidFill>
                    <w14:schemeClr w14:val="tx1"/>
                  </w14:solidFill>
                </w14:textFill>
              </w:rPr>
              <w:t>燃煤</w:t>
            </w:r>
            <w:r>
              <w:rPr>
                <w:rFonts w:hint="default" w:ascii="Times New Roman" w:hAnsi="Times New Roman" w:cs="Times New Roman"/>
                <w:color w:val="000000" w:themeColor="text1"/>
                <w:sz w:val="24"/>
                <w14:textFill>
                  <w14:solidFill>
                    <w14:schemeClr w14:val="tx1"/>
                  </w14:solidFill>
                </w14:textFill>
              </w:rPr>
              <w:t>锅炉大气污染物的排放浓度满足《锅炉大气污染物排放标准》（DB13/5161-2020）表1燃</w:t>
            </w:r>
            <w:r>
              <w:rPr>
                <w:rFonts w:hint="default" w:ascii="Times New Roman" w:hAnsi="Times New Roman" w:cs="Times New Roman"/>
                <w:color w:val="000000" w:themeColor="text1"/>
                <w:sz w:val="24"/>
                <w:lang w:eastAsia="zh-CN"/>
                <w14:textFill>
                  <w14:solidFill>
                    <w14:schemeClr w14:val="tx1"/>
                  </w14:solidFill>
                </w14:textFill>
              </w:rPr>
              <w:t>燃煤</w:t>
            </w:r>
            <w:r>
              <w:rPr>
                <w:rFonts w:hint="default" w:ascii="Times New Roman" w:hAnsi="Times New Roman" w:cs="Times New Roman"/>
                <w:color w:val="000000" w:themeColor="text1"/>
                <w:sz w:val="24"/>
                <w14:textFill>
                  <w14:solidFill>
                    <w14:schemeClr w14:val="tx1"/>
                  </w14:solidFill>
                </w14:textFill>
              </w:rPr>
              <w:t>锅炉排放限值，二氧化硫排放限值为</w:t>
            </w:r>
            <w:r>
              <w:rPr>
                <w:rFonts w:hint="default" w:ascii="Times New Roman" w:hAnsi="Times New Roman" w:cs="Times New Roman"/>
                <w:color w:val="000000" w:themeColor="text1"/>
                <w:sz w:val="24"/>
                <w:lang w:val="en-US" w:eastAsia="zh-CN"/>
                <w14:textFill>
                  <w14:solidFill>
                    <w14:schemeClr w14:val="tx1"/>
                  </w14:solidFill>
                </w14:textFill>
              </w:rPr>
              <w:t>35</w:t>
            </w:r>
            <w:r>
              <w:rPr>
                <w:rFonts w:hint="default" w:ascii="Times New Roman" w:hAnsi="Times New Roman" w:cs="Times New Roman"/>
                <w:color w:val="000000" w:themeColor="text1"/>
                <w:sz w:val="24"/>
                <w14:textFill>
                  <w14:solidFill>
                    <w14:schemeClr w14:val="tx1"/>
                  </w14:solidFill>
                </w14:textFill>
              </w:rPr>
              <w:t>mg/m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，氮氧化物排放限值为50mg/m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w:t>
            </w:r>
          </w:p>
          <w:p>
            <w:pPr>
              <w:pStyle w:val="18"/>
              <w:snapToGrid w:val="0"/>
              <w:spacing w:line="360" w:lineRule="auto"/>
              <w:ind w:firstLine="480" w:firstLineChars="200"/>
              <w:contextualSpacing/>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采用标准浓度法计算，则二氧化硫的排放浓度为</w:t>
            </w:r>
            <w:r>
              <w:rPr>
                <w:rFonts w:hint="default" w:ascii="Times New Roman" w:hAnsi="Times New Roman" w:cs="Times New Roman"/>
                <w:color w:val="000000" w:themeColor="text1"/>
                <w:sz w:val="24"/>
                <w:lang w:val="en-US" w:eastAsia="zh-CN"/>
                <w14:textFill>
                  <w14:solidFill>
                    <w14:schemeClr w14:val="tx1"/>
                  </w14:solidFill>
                </w14:textFill>
              </w:rPr>
              <w:t>35</w:t>
            </w:r>
            <w:r>
              <w:rPr>
                <w:rFonts w:hint="default" w:ascii="Times New Roman" w:hAnsi="Times New Roman" w:cs="Times New Roman"/>
                <w:color w:val="000000" w:themeColor="text1"/>
                <w:sz w:val="24"/>
                <w14:textFill>
                  <w14:solidFill>
                    <w14:schemeClr w14:val="tx1"/>
                  </w14:solidFill>
                </w14:textFill>
              </w:rPr>
              <w:t>mg/m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，氮氧化物排放浓度为50mg/m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。由计算可得，二氧化硫排放量为</w:t>
            </w:r>
            <w:r>
              <w:rPr>
                <w:rFonts w:hint="default" w:ascii="Times New Roman" w:hAnsi="Times New Roman" w:cs="Times New Roman"/>
                <w:color w:val="000000" w:themeColor="text1"/>
                <w:sz w:val="24"/>
                <w:lang w:val="en-US" w:eastAsia="zh-CN"/>
                <w14:textFill>
                  <w14:solidFill>
                    <w14:schemeClr w14:val="tx1"/>
                  </w14:solidFill>
                </w14:textFill>
              </w:rPr>
              <w:t>2.18</w:t>
            </w:r>
            <w:r>
              <w:rPr>
                <w:rFonts w:hint="eastAsia"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t/a，氮氧化物排放量为</w:t>
            </w:r>
            <w:r>
              <w:rPr>
                <w:rFonts w:hint="default" w:ascii="Times New Roman" w:hAnsi="Times New Roman" w:cs="Times New Roman"/>
                <w:color w:val="000000" w:themeColor="text1"/>
                <w:sz w:val="24"/>
                <w:lang w:val="en-US" w:eastAsia="zh-CN"/>
                <w14:textFill>
                  <w14:solidFill>
                    <w14:schemeClr w14:val="tx1"/>
                  </w14:solidFill>
                </w14:textFill>
              </w:rPr>
              <w:t>3.</w:t>
            </w:r>
            <w:r>
              <w:rPr>
                <w:rFonts w:hint="eastAsia" w:ascii="Times New Roman" w:hAnsi="Times New Roman" w:cs="Times New Roman"/>
                <w:color w:val="000000" w:themeColor="text1"/>
                <w:sz w:val="24"/>
                <w:lang w:val="en-US" w:eastAsia="zh-CN"/>
                <w14:textFill>
                  <w14:solidFill>
                    <w14:schemeClr w14:val="tx1"/>
                  </w14:solidFill>
                </w14:textFill>
              </w:rPr>
              <w:t>117</w:t>
            </w:r>
            <w:r>
              <w:rPr>
                <w:rFonts w:hint="default" w:ascii="Times New Roman" w:hAnsi="Times New Roman" w:cs="Times New Roman"/>
                <w:color w:val="000000" w:themeColor="text1"/>
                <w:sz w:val="24"/>
                <w14:textFill>
                  <w14:solidFill>
                    <w14:schemeClr w14:val="tx1"/>
                  </w14:solidFill>
                </w14:textFill>
              </w:rPr>
              <w:t>t/a。</w:t>
            </w:r>
          </w:p>
          <w:p>
            <w:pPr>
              <w:pStyle w:val="18"/>
              <w:snapToGrid w:val="0"/>
              <w:spacing w:line="360" w:lineRule="auto"/>
              <w:ind w:firstLine="480" w:firstLineChars="200"/>
              <w:contextualSpacing/>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污染物排放量计算过程公示如下：</w:t>
            </w:r>
          </w:p>
          <w:p>
            <w:pPr>
              <w:pStyle w:val="18"/>
              <w:snapToGrid w:val="0"/>
              <w:spacing w:line="360" w:lineRule="auto"/>
              <w:ind w:firstLine="480" w:firstLineChars="200"/>
              <w:contextualSpacing/>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大气污染物总量指标=工业废气量（Nm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/a）×排放浓度（mg/m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）×10</w:t>
            </w:r>
            <w:r>
              <w:rPr>
                <w:rFonts w:hint="default" w:ascii="Times New Roman" w:hAnsi="Times New Roman" w:cs="Times New Roman"/>
                <w:color w:val="000000" w:themeColor="text1"/>
                <w:sz w:val="24"/>
                <w:vertAlign w:val="superscript"/>
                <w14:textFill>
                  <w14:solidFill>
                    <w14:schemeClr w14:val="tx1"/>
                  </w14:solidFill>
                </w14:textFill>
              </w:rPr>
              <w:t>-9</w:t>
            </w:r>
          </w:p>
          <w:p>
            <w:pPr>
              <w:pStyle w:val="18"/>
              <w:snapToGrid w:val="0"/>
              <w:spacing w:line="360" w:lineRule="auto"/>
              <w:ind w:firstLine="480" w:firstLineChars="200"/>
              <w:contextualSpacing/>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二氧化硫总量指标=62345075.76×3</w:t>
            </w:r>
            <w:r>
              <w:rPr>
                <w:rFonts w:hint="default" w:ascii="Times New Roman" w:hAnsi="Times New Roman" w:cs="Times New Roman"/>
                <w:color w:val="000000" w:themeColor="text1"/>
                <w:sz w:val="24"/>
                <w:lang w:val="en-US" w:eastAsia="zh-CN"/>
                <w14:textFill>
                  <w14:solidFill>
                    <w14:schemeClr w14:val="tx1"/>
                  </w14:solidFill>
                </w14:textFill>
              </w:rPr>
              <w:t>5</w:t>
            </w:r>
            <w:r>
              <w:rPr>
                <w:rFonts w:hint="default" w:ascii="Times New Roman" w:hAnsi="Times New Roman" w:cs="Times New Roman"/>
                <w:color w:val="000000" w:themeColor="text1"/>
                <w:sz w:val="24"/>
                <w14:textFill>
                  <w14:solidFill>
                    <w14:schemeClr w14:val="tx1"/>
                  </w14:solidFill>
                </w14:textFill>
              </w:rPr>
              <w:t>×10</w:t>
            </w:r>
            <w:r>
              <w:rPr>
                <w:rFonts w:hint="default" w:ascii="Times New Roman" w:hAnsi="Times New Roman" w:cs="Times New Roman"/>
                <w:color w:val="000000" w:themeColor="text1"/>
                <w:sz w:val="24"/>
                <w:vertAlign w:val="superscript"/>
                <w14:textFill>
                  <w14:solidFill>
                    <w14:schemeClr w14:val="tx1"/>
                  </w14:solidFill>
                </w14:textFill>
              </w:rPr>
              <w:t>-9</w:t>
            </w:r>
            <w:r>
              <w:rPr>
                <w:rFonts w:hint="default"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2.182</w:t>
            </w:r>
            <w:r>
              <w:rPr>
                <w:rFonts w:hint="default" w:ascii="Times New Roman" w:hAnsi="Times New Roman" w:cs="Times New Roman"/>
                <w:color w:val="000000" w:themeColor="text1"/>
                <w:sz w:val="24"/>
                <w14:textFill>
                  <w14:solidFill>
                    <w14:schemeClr w14:val="tx1"/>
                  </w14:solidFill>
                </w14:textFill>
              </w:rPr>
              <w:t>t/a；</w:t>
            </w:r>
          </w:p>
          <w:p>
            <w:pPr>
              <w:pStyle w:val="18"/>
              <w:snapToGrid w:val="0"/>
              <w:spacing w:line="360" w:lineRule="auto"/>
              <w:ind w:firstLine="480" w:firstLineChars="200"/>
              <w:contextualSpacing/>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氮氧化物总量指标=62345075.76×50×10</w:t>
            </w:r>
            <w:r>
              <w:rPr>
                <w:rFonts w:hint="default" w:ascii="Times New Roman" w:hAnsi="Times New Roman" w:cs="Times New Roman"/>
                <w:color w:val="000000" w:themeColor="text1"/>
                <w:sz w:val="24"/>
                <w:vertAlign w:val="superscript"/>
                <w14:textFill>
                  <w14:solidFill>
                    <w14:schemeClr w14:val="tx1"/>
                  </w14:solidFill>
                </w14:textFill>
              </w:rPr>
              <w:t>-9</w:t>
            </w:r>
            <w:r>
              <w:rPr>
                <w:rFonts w:hint="default"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3.117</w:t>
            </w:r>
            <w:r>
              <w:rPr>
                <w:rFonts w:hint="default" w:ascii="Times New Roman" w:hAnsi="Times New Roman" w:cs="Times New Roman"/>
                <w:color w:val="000000" w:themeColor="text1"/>
                <w:sz w:val="24"/>
                <w14:textFill>
                  <w14:solidFill>
                    <w14:schemeClr w14:val="tx1"/>
                  </w14:solidFill>
                </w14:textFill>
              </w:rPr>
              <w:t>t/a。</w:t>
            </w:r>
          </w:p>
          <w:p>
            <w:pPr>
              <w:pStyle w:val="18"/>
              <w:snapToGrid w:val="0"/>
              <w:spacing w:line="360" w:lineRule="auto"/>
              <w:ind w:firstLine="480" w:firstLineChars="200"/>
              <w:contextualSpacing/>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）结论</w:t>
            </w:r>
          </w:p>
          <w:p>
            <w:pPr>
              <w:pStyle w:val="18"/>
              <w:snapToGrid w:val="0"/>
              <w:spacing w:line="360" w:lineRule="auto"/>
              <w:ind w:firstLine="480" w:firstLineChars="200"/>
              <w:contextualSpacing/>
              <w:rPr>
                <w:rFonts w:hint="eastAsia"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项目</w:t>
            </w:r>
            <w:r>
              <w:rPr>
                <w:rFonts w:hint="eastAsia" w:ascii="Times New Roman" w:hAnsi="Times New Roman"/>
                <w:color w:val="000000" w:themeColor="text1"/>
                <w:sz w:val="24"/>
                <w:lang w:eastAsia="zh-CN"/>
                <w14:textFill>
                  <w14:solidFill>
                    <w14:schemeClr w14:val="tx1"/>
                  </w14:solidFill>
                </w14:textFill>
              </w:rPr>
              <w:t>燃煤</w:t>
            </w:r>
            <w:r>
              <w:rPr>
                <w:rFonts w:hint="eastAsia" w:ascii="Times New Roman" w:hAnsi="Times New Roman"/>
                <w:color w:val="000000" w:themeColor="text1"/>
                <w:sz w:val="24"/>
                <w14:textFill>
                  <w14:solidFill>
                    <w14:schemeClr w14:val="tx1"/>
                  </w14:solidFill>
                </w14:textFill>
              </w:rPr>
              <w:t>锅炉排放的二氧化硫和氮氧化物采用标准浓度法计算，根据计算可知，二氧化硫、氮氧化物排放量</w:t>
            </w:r>
            <w:r>
              <w:rPr>
                <w:rFonts w:hint="eastAsia" w:ascii="Times New Roman" w:hAnsi="Times New Roman"/>
                <w:color w:val="000000" w:themeColor="text1"/>
                <w:sz w:val="24"/>
                <w:lang w:val="en-US" w:eastAsia="zh-CN"/>
                <w14:textFill>
                  <w14:solidFill>
                    <w14:schemeClr w14:val="tx1"/>
                  </w14:solidFill>
                </w14:textFill>
              </w:rPr>
              <w:t>分别</w:t>
            </w:r>
            <w:r>
              <w:rPr>
                <w:rFonts w:hint="eastAsia" w:ascii="Times New Roman" w:hAnsi="Times New Roman"/>
                <w:color w:val="000000" w:themeColor="text1"/>
                <w:sz w:val="24"/>
                <w14:textFill>
                  <w14:solidFill>
                    <w14:schemeClr w14:val="tx1"/>
                  </w14:solidFill>
                </w14:textFill>
              </w:rPr>
              <w:t>为</w:t>
            </w:r>
            <w:r>
              <w:rPr>
                <w:rFonts w:hint="default" w:ascii="Times New Roman" w:hAnsi="Times New Roman" w:cs="Times New Roman"/>
                <w:color w:val="000000" w:themeColor="text1"/>
                <w:sz w:val="24"/>
                <w:lang w:val="en-US" w:eastAsia="zh-CN"/>
                <w14:textFill>
                  <w14:solidFill>
                    <w14:schemeClr w14:val="tx1"/>
                  </w14:solidFill>
                </w14:textFill>
              </w:rPr>
              <w:t>2.18</w:t>
            </w:r>
            <w:r>
              <w:rPr>
                <w:rFonts w:hint="eastAsia"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t/a、</w:t>
            </w:r>
            <w:r>
              <w:rPr>
                <w:rFonts w:hint="default" w:ascii="Times New Roman" w:hAnsi="Times New Roman" w:cs="Times New Roman"/>
                <w:color w:val="000000" w:themeColor="text1"/>
                <w:sz w:val="24"/>
                <w:lang w:val="en-US" w:eastAsia="zh-CN"/>
                <w14:textFill>
                  <w14:solidFill>
                    <w14:schemeClr w14:val="tx1"/>
                  </w14:solidFill>
                </w14:textFill>
              </w:rPr>
              <w:t>3.1</w:t>
            </w:r>
            <w:r>
              <w:rPr>
                <w:rFonts w:hint="eastAsia" w:ascii="Times New Roman" w:hAnsi="Times New Roman" w:cs="Times New Roman"/>
                <w:color w:val="000000" w:themeColor="text1"/>
                <w:sz w:val="24"/>
                <w:lang w:val="en-US" w:eastAsia="zh-CN"/>
                <w14:textFill>
                  <w14:solidFill>
                    <w14:schemeClr w14:val="tx1"/>
                  </w14:solidFill>
                </w14:textFill>
              </w:rPr>
              <w:t>17</w:t>
            </w:r>
            <w:r>
              <w:rPr>
                <w:rFonts w:hint="default" w:ascii="Times New Roman" w:hAnsi="Times New Roman" w:cs="Times New Roman"/>
                <w:color w:val="000000" w:themeColor="text1"/>
                <w:sz w:val="24"/>
                <w14:textFill>
                  <w14:solidFill>
                    <w14:schemeClr w14:val="tx1"/>
                  </w14:solidFill>
                </w14:textFill>
              </w:rPr>
              <w:t>t/a</w:t>
            </w:r>
            <w:r>
              <w:rPr>
                <w:rFonts w:hint="eastAsia" w:ascii="Times New Roman" w:hAnsi="Times New Roman"/>
                <w:color w:val="000000" w:themeColor="text1"/>
                <w:sz w:val="24"/>
                <w14:textFill>
                  <w14:solidFill>
                    <w14:schemeClr w14:val="tx1"/>
                  </w14:solidFill>
                </w14:textFill>
              </w:rPr>
              <w:t>。</w:t>
            </w:r>
          </w:p>
          <w:p>
            <w:pPr>
              <w:pStyle w:val="18"/>
              <w:snapToGrid w:val="0"/>
              <w:spacing w:line="240" w:lineRule="auto"/>
              <w:ind w:firstLine="482" w:firstLineChars="200"/>
              <w:contextualSpacing/>
              <w:rPr>
                <w:rFonts w:hint="eastAsia" w:ascii="Times New Roman" w:hAnsi="Times New Roman"/>
                <w:b/>
                <w:color w:val="000000" w:themeColor="text1"/>
                <w:sz w:val="24"/>
                <w14:textFill>
                  <w14:solidFill>
                    <w14:schemeClr w14:val="tx1"/>
                  </w14:solidFill>
                </w14:textFill>
              </w:rPr>
            </w:pPr>
            <w:r>
              <w:rPr>
                <w:rFonts w:hint="eastAsia" w:ascii="Times New Roman" w:hAnsi="Times New Roman"/>
                <w:b/>
                <w:color w:val="000000" w:themeColor="text1"/>
                <w:sz w:val="24"/>
                <w:lang w:val="en-US" w:eastAsia="zh-CN"/>
                <w14:textFill>
                  <w14:solidFill>
                    <w14:schemeClr w14:val="tx1"/>
                  </w14:solidFill>
                </w14:textFill>
              </w:rPr>
              <w:t>2</w:t>
            </w:r>
            <w:r>
              <w:rPr>
                <w:rFonts w:hint="eastAsia" w:ascii="Times New Roman" w:hAnsi="Times New Roman"/>
                <w:b/>
                <w:color w:val="000000" w:themeColor="text1"/>
                <w:sz w:val="24"/>
                <w14:textFill>
                  <w14:solidFill>
                    <w14:schemeClr w14:val="tx1"/>
                  </w14:solidFill>
                </w14:textFill>
              </w:rPr>
              <w:t>、</w:t>
            </w:r>
            <w:r>
              <w:rPr>
                <w:rFonts w:hint="eastAsia" w:ascii="Times New Roman" w:hAnsi="Times New Roman"/>
                <w:b/>
                <w:color w:val="000000" w:themeColor="text1"/>
                <w:sz w:val="24"/>
                <w:lang w:val="en-US" w:eastAsia="zh-CN"/>
                <w14:textFill>
                  <w14:solidFill>
                    <w14:schemeClr w14:val="tx1"/>
                  </w14:solidFill>
                </w14:textFill>
              </w:rPr>
              <w:t>原环评</w:t>
            </w:r>
            <w:r>
              <w:rPr>
                <w:rFonts w:hint="eastAsia" w:ascii="Times New Roman" w:hAnsi="Times New Roman"/>
                <w:b/>
                <w:color w:val="000000" w:themeColor="text1"/>
                <w:sz w:val="24"/>
                <w14:textFill>
                  <w14:solidFill>
                    <w14:schemeClr w14:val="tx1"/>
                  </w14:solidFill>
                </w14:textFill>
              </w:rPr>
              <w:t>排放总量</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eastAsia="zh-CN"/>
                <w14:textFill>
                  <w14:solidFill>
                    <w14:schemeClr w14:val="tx1"/>
                  </w14:solidFill>
                </w14:textFill>
              </w:rPr>
              <w:t>根据《</w:t>
            </w:r>
            <w:r>
              <w:rPr>
                <w:rFonts w:hint="default" w:ascii="Times New Roman" w:hAnsi="Times New Roman" w:eastAsia="宋体" w:cs="Times New Roman"/>
                <w:bCs/>
                <w:color w:val="000000" w:themeColor="text1"/>
                <w:sz w:val="24"/>
                <w:lang w:eastAsia="zh-CN"/>
                <w14:textFill>
                  <w14:solidFill>
                    <w14:schemeClr w14:val="tx1"/>
                  </w14:solidFill>
                </w14:textFill>
              </w:rPr>
              <w:t>木兰皇家农业综合示范园区集中供热承德富龙现代农业发展有限公司锅炉升级改造项目</w:t>
            </w:r>
            <w:r>
              <w:rPr>
                <w:rFonts w:hint="eastAsia" w:ascii="Times New Roman" w:hAnsi="Times New Roman" w:eastAsia="宋体" w:cs="Times New Roman"/>
                <w:bCs/>
                <w:color w:val="000000" w:themeColor="text1"/>
                <w:sz w:val="24"/>
                <w:lang w:val="en-US" w:eastAsia="zh-CN"/>
                <w14:textFill>
                  <w14:solidFill>
                    <w14:schemeClr w14:val="tx1"/>
                  </w14:solidFill>
                </w14:textFill>
              </w:rPr>
              <w:t>环境影响报告表</w:t>
            </w:r>
            <w:r>
              <w:rPr>
                <w:rFonts w:hint="default" w:ascii="Times New Roman" w:hAnsi="Times New Roman" w:eastAsia="宋体" w:cs="Times New Roman"/>
                <w:bCs/>
                <w:color w:val="000000" w:themeColor="text1"/>
                <w:sz w:val="24"/>
                <w:lang w:val="en-US" w:eastAsia="zh-CN"/>
                <w14:textFill>
                  <w14:solidFill>
                    <w14:schemeClr w14:val="tx1"/>
                  </w14:solidFill>
                </w14:textFill>
              </w:rPr>
              <w:t>》</w:t>
            </w:r>
            <w:r>
              <w:rPr>
                <w:rFonts w:hint="eastAsia" w:ascii="Times New Roman" w:hAnsi="Times New Roman" w:eastAsia="宋体" w:cs="Times New Roman"/>
                <w:bCs/>
                <w:color w:val="000000" w:themeColor="text1"/>
                <w:sz w:val="24"/>
                <w:lang w:val="en-US" w:eastAsia="zh-CN"/>
                <w14:textFill>
                  <w14:solidFill>
                    <w14:schemeClr w14:val="tx1"/>
                  </w14:solidFill>
                </w14:textFill>
              </w:rPr>
              <w:t>及《</w:t>
            </w:r>
            <w:r>
              <w:rPr>
                <w:rFonts w:hint="default" w:ascii="Times New Roman" w:hAnsi="Times New Roman" w:eastAsia="宋体" w:cs="Times New Roman"/>
                <w:bCs/>
                <w:color w:val="000000" w:themeColor="text1"/>
                <w:sz w:val="24"/>
                <w:lang w:eastAsia="zh-CN"/>
                <w14:textFill>
                  <w14:solidFill>
                    <w14:schemeClr w14:val="tx1"/>
                  </w14:solidFill>
                </w14:textFill>
              </w:rPr>
              <w:t>木兰皇家农业综合示范园区集中供热承德富龙现代农业发展有限公司锅炉升级改造项目</w:t>
            </w:r>
            <w:r>
              <w:rPr>
                <w:rFonts w:hint="eastAsia" w:ascii="Times New Roman" w:hAnsi="Times New Roman" w:eastAsia="宋体" w:cs="Times New Roman"/>
                <w:bCs/>
                <w:color w:val="000000" w:themeColor="text1"/>
                <w:sz w:val="24"/>
                <w:lang w:eastAsia="zh-CN"/>
                <w14:textFill>
                  <w14:solidFill>
                    <w14:schemeClr w14:val="tx1"/>
                  </w14:solidFill>
                </w14:textFill>
              </w:rPr>
              <w:t>竣工环境保护验收报告</w:t>
            </w:r>
            <w:r>
              <w:rPr>
                <w:rFonts w:hint="eastAsia" w:ascii="Times New Roman" w:hAnsi="Times New Roman" w:eastAsia="宋体" w:cs="Times New Roman"/>
                <w:bCs/>
                <w:color w:val="000000" w:themeColor="text1"/>
                <w:sz w:val="24"/>
                <w:lang w:val="en-US" w:eastAsia="zh-CN"/>
                <w14:textFill>
                  <w14:solidFill>
                    <w14:schemeClr w14:val="tx1"/>
                  </w14:solidFill>
                </w14:textFill>
              </w:rPr>
              <w:t>》，原有</w:t>
            </w:r>
            <w:r>
              <w:rPr>
                <w:rFonts w:hint="default" w:ascii="Times New Roman" w:hAnsi="Times New Roman" w:eastAsia="宋体" w:cs="Times New Roman"/>
                <w:bCs/>
                <w:color w:val="000000" w:themeColor="text1"/>
                <w:sz w:val="24"/>
                <w:vertAlign w:val="baseline"/>
                <w:lang w:val="en-US" w:eastAsia="zh-CN"/>
                <w14:textFill>
                  <w14:solidFill>
                    <w14:schemeClr w14:val="tx1"/>
                  </w14:solidFill>
                </w14:textFill>
              </w:rPr>
              <w:t>污染物排放量为二氧化硫1.</w:t>
            </w:r>
            <w:r>
              <w:rPr>
                <w:rFonts w:hint="eastAsia" w:ascii="Times New Roman" w:hAnsi="Times New Roman" w:eastAsia="宋体" w:cs="Times New Roman"/>
                <w:bCs/>
                <w:color w:val="000000" w:themeColor="text1"/>
                <w:sz w:val="24"/>
                <w:vertAlign w:val="baseline"/>
                <w:lang w:val="en-US" w:eastAsia="zh-CN"/>
                <w14:textFill>
                  <w14:solidFill>
                    <w14:schemeClr w14:val="tx1"/>
                  </w14:solidFill>
                </w14:textFill>
              </w:rPr>
              <w:t>618</w:t>
            </w:r>
            <w:r>
              <w:rPr>
                <w:rFonts w:hint="default" w:ascii="Times New Roman" w:hAnsi="Times New Roman" w:eastAsia="宋体" w:cs="Times New Roman"/>
                <w:bCs/>
                <w:color w:val="000000" w:themeColor="text1"/>
                <w:sz w:val="24"/>
                <w:vertAlign w:val="baseline"/>
                <w:lang w:val="en-US" w:eastAsia="zh-CN"/>
                <w14:textFill>
                  <w14:solidFill>
                    <w14:schemeClr w14:val="tx1"/>
                  </w14:solidFill>
                </w14:textFill>
              </w:rPr>
              <w:t>t/a、氮氧化物</w:t>
            </w:r>
            <w:r>
              <w:rPr>
                <w:rFonts w:hint="eastAsia" w:ascii="Times New Roman" w:hAnsi="Times New Roman" w:eastAsia="宋体" w:cs="Times New Roman"/>
                <w:bCs/>
                <w:color w:val="000000" w:themeColor="text1"/>
                <w:sz w:val="24"/>
                <w:vertAlign w:val="baseline"/>
                <w:lang w:val="en-US" w:eastAsia="zh-CN"/>
                <w14:textFill>
                  <w14:solidFill>
                    <w14:schemeClr w14:val="tx1"/>
                  </w14:solidFill>
                </w14:textFill>
              </w:rPr>
              <w:t>4.300</w:t>
            </w:r>
            <w:r>
              <w:rPr>
                <w:rFonts w:hint="default" w:ascii="Times New Roman" w:hAnsi="Times New Roman" w:eastAsia="宋体" w:cs="Times New Roman"/>
                <w:bCs/>
                <w:color w:val="000000" w:themeColor="text1"/>
                <w:sz w:val="24"/>
                <w:vertAlign w:val="baseline"/>
                <w:lang w:val="en-US" w:eastAsia="zh-CN"/>
                <w14:textFill>
                  <w14:solidFill>
                    <w14:schemeClr w14:val="tx1"/>
                  </w14:solidFill>
                </w14:textFill>
              </w:rPr>
              <w:t>t/a</w:t>
            </w:r>
            <w:r>
              <w:rPr>
                <w:rFonts w:hint="eastAsia" w:ascii="Times New Roman" w:hAnsi="Times New Roman" w:eastAsia="宋体" w:cs="Times New Roman"/>
                <w:bCs/>
                <w:color w:val="000000" w:themeColor="text1"/>
                <w:sz w:val="24"/>
                <w:vertAlign w:val="baseline"/>
                <w:lang w:val="en-US" w:eastAsia="zh-CN"/>
                <w14:textFill>
                  <w14:solidFill>
                    <w14:schemeClr w14:val="tx1"/>
                  </w14:solidFill>
                </w14:textFill>
              </w:rPr>
              <w:t>。</w:t>
            </w:r>
          </w:p>
          <w:p>
            <w:pPr>
              <w:pStyle w:val="18"/>
              <w:numPr>
                <w:ilvl w:val="0"/>
                <w:numId w:val="0"/>
              </w:numPr>
              <w:snapToGrid w:val="0"/>
              <w:spacing w:line="240" w:lineRule="auto"/>
              <w:ind w:firstLine="482" w:firstLineChars="200"/>
              <w:contextualSpacing/>
              <w:rPr>
                <w:rFonts w:hint="eastAsia" w:ascii="Times New Roman" w:hAnsi="Times New Roman"/>
                <w:b/>
                <w:color w:val="000000" w:themeColor="text1"/>
                <w:sz w:val="24"/>
                <w14:textFill>
                  <w14:solidFill>
                    <w14:schemeClr w14:val="tx1"/>
                  </w14:solidFill>
                </w14:textFill>
              </w:rPr>
            </w:pPr>
            <w:r>
              <w:rPr>
                <w:rFonts w:hint="eastAsia" w:ascii="Times New Roman" w:hAnsi="Times New Roman"/>
                <w:b/>
                <w:color w:val="000000" w:themeColor="text1"/>
                <w:sz w:val="24"/>
                <w:lang w:val="en-US" w:eastAsia="zh-CN"/>
                <w14:textFill>
                  <w14:solidFill>
                    <w14:schemeClr w14:val="tx1"/>
                  </w14:solidFill>
                </w14:textFill>
              </w:rPr>
              <w:t>3、</w:t>
            </w:r>
            <w:r>
              <w:rPr>
                <w:rFonts w:hint="eastAsia" w:ascii="Times New Roman" w:hAnsi="Times New Roman"/>
                <w:b/>
                <w:color w:val="000000" w:themeColor="text1"/>
                <w:sz w:val="24"/>
                <w14:textFill>
                  <w14:solidFill>
                    <w14:schemeClr w14:val="tx1"/>
                  </w14:solidFill>
                </w14:textFill>
              </w:rPr>
              <w:t>本项目实施后排放总量</w:t>
            </w:r>
          </w:p>
          <w:p>
            <w:pPr>
              <w:topLinePunct/>
              <w:spacing w:line="360" w:lineRule="auto"/>
              <w:jc w:val="center"/>
              <w:textAlignment w:val="center"/>
              <w:rPr>
                <w:rFonts w:hint="eastAsia" w:ascii="Times New Roman" w:hAnsi="Times New Roman"/>
                <w:b/>
                <w:color w:val="000000" w:themeColor="text1"/>
                <w:sz w:val="24"/>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表</w:t>
            </w:r>
            <w:r>
              <w:rPr>
                <w:rFonts w:hint="eastAsia" w:ascii="Times New Roman" w:hAnsi="Times New Roman"/>
                <w:b/>
                <w:bCs/>
                <w:color w:val="000000" w:themeColor="text1"/>
                <w:sz w:val="21"/>
                <w:szCs w:val="21"/>
                <w:lang w:val="en-US" w:eastAsia="zh-CN"/>
                <w14:textFill>
                  <w14:solidFill>
                    <w14:schemeClr w14:val="tx1"/>
                  </w14:solidFill>
                </w14:textFill>
              </w:rPr>
              <w:t>3-13</w:t>
            </w:r>
            <w:r>
              <w:rPr>
                <w:rFonts w:ascii="Times New Roman" w:hAnsi="Times New Roman"/>
                <w:b/>
                <w:bCs/>
                <w:color w:val="000000" w:themeColor="text1"/>
                <w:sz w:val="21"/>
                <w:szCs w:val="21"/>
                <w14:textFill>
                  <w14:solidFill>
                    <w14:schemeClr w14:val="tx1"/>
                  </w14:solidFill>
                </w14:textFill>
              </w:rPr>
              <w:t xml:space="preserve"> </w:t>
            </w:r>
            <w:r>
              <w:rPr>
                <w:rFonts w:hint="eastAsia" w:ascii="Times New Roman" w:hAnsi="Times New Roman"/>
                <w:b/>
                <w:bCs/>
                <w:color w:val="000000" w:themeColor="text1"/>
                <w:sz w:val="21"/>
                <w:szCs w:val="21"/>
                <w:lang w:eastAsia="zh-CN"/>
                <w14:textFill>
                  <w14:solidFill>
                    <w14:schemeClr w14:val="tx1"/>
                  </w14:solidFill>
                </w14:textFill>
              </w:rPr>
              <w:t>工程改建前后大气</w:t>
            </w:r>
            <w:r>
              <w:rPr>
                <w:rFonts w:ascii="Times New Roman" w:hAnsi="Times New Roman"/>
                <w:b/>
                <w:bCs/>
                <w:color w:val="000000" w:themeColor="text1"/>
                <w:sz w:val="21"/>
                <w:szCs w:val="21"/>
                <w14:textFill>
                  <w14:solidFill>
                    <w14:schemeClr w14:val="tx1"/>
                  </w14:solidFill>
                </w14:textFill>
              </w:rPr>
              <w:t>污染物排放“三本账”</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2"/>
              <w:gridCol w:w="873"/>
              <w:gridCol w:w="717"/>
              <w:gridCol w:w="1160"/>
              <w:gridCol w:w="1186"/>
              <w:gridCol w:w="1131"/>
              <w:gridCol w:w="1322"/>
              <w:gridCol w:w="1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8" w:type="pct"/>
                  <w:gridSpan w:val="2"/>
                  <w:noWrap w:val="0"/>
                  <w:vAlign w:val="center"/>
                </w:tcPr>
                <w:p>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污染物</w:t>
                  </w:r>
                </w:p>
              </w:tc>
              <w:tc>
                <w:tcPr>
                  <w:tcW w:w="427" w:type="pct"/>
                  <w:noWrap w:val="0"/>
                  <w:vAlign w:val="center"/>
                </w:tcPr>
                <w:p>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单位</w:t>
                  </w:r>
                </w:p>
              </w:tc>
              <w:tc>
                <w:tcPr>
                  <w:tcW w:w="691" w:type="pct"/>
                  <w:noWrap w:val="0"/>
                  <w:vAlign w:val="center"/>
                </w:tcPr>
                <w:p>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现有工程排放量</w:t>
                  </w:r>
                </w:p>
              </w:tc>
              <w:tc>
                <w:tcPr>
                  <w:tcW w:w="707" w:type="pct"/>
                  <w:noWrap w:val="0"/>
                  <w:vAlign w:val="center"/>
                </w:tcPr>
                <w:p>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改建</w:t>
                  </w:r>
                  <w:r>
                    <w:rPr>
                      <w:rFonts w:hint="default" w:ascii="Times New Roman" w:hAnsi="Times New Roman" w:eastAsia="宋体" w:cs="Times New Roman"/>
                      <w:b/>
                      <w:bCs/>
                      <w:color w:val="000000" w:themeColor="text1"/>
                      <w:sz w:val="21"/>
                      <w:szCs w:val="21"/>
                      <w14:textFill>
                        <w14:solidFill>
                          <w14:schemeClr w14:val="tx1"/>
                        </w14:solidFill>
                      </w14:textFill>
                    </w:rPr>
                    <w:t>工程</w:t>
                  </w:r>
                </w:p>
                <w:p>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排放量</w:t>
                  </w:r>
                </w:p>
              </w:tc>
              <w:tc>
                <w:tcPr>
                  <w:tcW w:w="674" w:type="pct"/>
                  <w:noWrap w:val="0"/>
                  <w:vAlign w:val="center"/>
                </w:tcPr>
                <w:p>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以新带老</w:t>
                  </w:r>
                </w:p>
                <w:p>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削减量</w:t>
                  </w:r>
                </w:p>
              </w:tc>
              <w:tc>
                <w:tcPr>
                  <w:tcW w:w="788" w:type="pct"/>
                  <w:noWrap w:val="0"/>
                  <w:vAlign w:val="center"/>
                </w:tcPr>
                <w:p>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改建</w:t>
                  </w:r>
                  <w:r>
                    <w:rPr>
                      <w:rFonts w:hint="default" w:ascii="Times New Roman" w:hAnsi="Times New Roman" w:eastAsia="宋体" w:cs="Times New Roman"/>
                      <w:b/>
                      <w:bCs/>
                      <w:color w:val="000000" w:themeColor="text1"/>
                      <w:sz w:val="21"/>
                      <w:szCs w:val="21"/>
                      <w14:textFill>
                        <w14:solidFill>
                          <w14:schemeClr w14:val="tx1"/>
                        </w14:solidFill>
                      </w14:textFill>
                    </w:rPr>
                    <w:t>完成后总排放量</w:t>
                  </w:r>
                </w:p>
              </w:tc>
              <w:tc>
                <w:tcPr>
                  <w:tcW w:w="740" w:type="pct"/>
                  <w:noWrap w:val="0"/>
                  <w:vAlign w:val="center"/>
                </w:tcPr>
                <w:p>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污染物排放增减量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448" w:type="pct"/>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废气</w:t>
                  </w:r>
                </w:p>
              </w:tc>
              <w:tc>
                <w:tcPr>
                  <w:tcW w:w="51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p>
              </w:tc>
              <w:tc>
                <w:tcPr>
                  <w:tcW w:w="427"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t/a</w:t>
                  </w:r>
                </w:p>
              </w:tc>
              <w:tc>
                <w:tcPr>
                  <w:tcW w:w="130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1.618</w:t>
                  </w:r>
                </w:p>
              </w:tc>
              <w:tc>
                <w:tcPr>
                  <w:tcW w:w="133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2.18</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2</w:t>
                  </w:r>
                </w:p>
              </w:tc>
              <w:tc>
                <w:tcPr>
                  <w:tcW w:w="127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1.618</w:t>
                  </w:r>
                </w:p>
              </w:tc>
              <w:tc>
                <w:tcPr>
                  <w:tcW w:w="148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2.18</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2</w:t>
                  </w:r>
                </w:p>
              </w:tc>
              <w:tc>
                <w:tcPr>
                  <w:tcW w:w="1397"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+0.56</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8"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p>
              </w:tc>
              <w:tc>
                <w:tcPr>
                  <w:tcW w:w="51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NOx</w:t>
                  </w:r>
                </w:p>
              </w:tc>
              <w:tc>
                <w:tcPr>
                  <w:tcW w:w="427"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t/a</w:t>
                  </w:r>
                </w:p>
              </w:tc>
              <w:tc>
                <w:tcPr>
                  <w:tcW w:w="130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4.3</w:t>
                  </w:r>
                  <w:r>
                    <w:rPr>
                      <w:rFonts w:hint="eastAsia" w:ascii="Times New Roman" w:hAnsi="Times New Roman" w:cs="Times New Roman"/>
                      <w:bCs/>
                      <w:color w:val="000000" w:themeColor="text1"/>
                      <w:sz w:val="21"/>
                      <w:szCs w:val="21"/>
                      <w:lang w:val="en-US" w:eastAsia="zh-CN"/>
                      <w14:textFill>
                        <w14:solidFill>
                          <w14:schemeClr w14:val="tx1"/>
                        </w14:solidFill>
                      </w14:textFill>
                    </w:rPr>
                    <w:t>00</w:t>
                  </w:r>
                </w:p>
              </w:tc>
              <w:tc>
                <w:tcPr>
                  <w:tcW w:w="133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3.1</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17</w:t>
                  </w:r>
                </w:p>
              </w:tc>
              <w:tc>
                <w:tcPr>
                  <w:tcW w:w="127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4.3</w:t>
                  </w:r>
                  <w:r>
                    <w:rPr>
                      <w:rFonts w:hint="eastAsia" w:ascii="Times New Roman" w:hAnsi="Times New Roman" w:cs="Times New Roman"/>
                      <w:bCs/>
                      <w:color w:val="000000" w:themeColor="text1"/>
                      <w:sz w:val="21"/>
                      <w:szCs w:val="21"/>
                      <w:lang w:val="en-US" w:eastAsia="zh-CN"/>
                      <w14:textFill>
                        <w14:solidFill>
                          <w14:schemeClr w14:val="tx1"/>
                        </w14:solidFill>
                      </w14:textFill>
                    </w:rPr>
                    <w:t>00</w:t>
                  </w:r>
                </w:p>
              </w:tc>
              <w:tc>
                <w:tcPr>
                  <w:tcW w:w="148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3.1</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17</w:t>
                  </w:r>
                </w:p>
              </w:tc>
              <w:tc>
                <w:tcPr>
                  <w:tcW w:w="1397"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-1.1</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83</w:t>
                  </w:r>
                </w:p>
              </w:tc>
            </w:tr>
          </w:tbl>
          <w:p>
            <w:pPr>
              <w:pStyle w:val="18"/>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firstLine="482" w:firstLineChars="200"/>
              <w:contextualSpacing/>
              <w:textAlignment w:val="auto"/>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pPr>
            <w:r>
              <w:rPr>
                <w:rFonts w:hint="eastAsia" w:ascii="Times New Roman" w:hAnsi="Times New Roman"/>
                <w:b/>
                <w:color w:val="000000" w:themeColor="text1"/>
                <w:sz w:val="24"/>
                <w:lang w:val="en-US" w:eastAsia="zh-CN"/>
                <w14:textFill>
                  <w14:solidFill>
                    <w14:schemeClr w14:val="tx1"/>
                  </w14:solidFill>
                </w14:textFill>
              </w:rPr>
              <w:t xml:space="preserve"> </w:t>
            </w:r>
            <w:r>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t xml:space="preserve"> 本项目特征污染因子总量控制指标新增量为：二氧化硫0.564t/a，氮氧化物削减量为</w:t>
            </w:r>
            <w:r>
              <w:rPr>
                <w:rFonts w:hint="default" w:ascii="Times New Roman" w:hAnsi="Times New Roman" w:eastAsia="宋体" w:cs="Times New Roman"/>
                <w:bCs/>
                <w:color w:val="000000" w:themeColor="text1"/>
                <w:kern w:val="2"/>
                <w:sz w:val="24"/>
                <w:szCs w:val="22"/>
                <w:lang w:val="en-US" w:eastAsia="zh-CN" w:bidi="ar-SA"/>
                <w14:textFill>
                  <w14:solidFill>
                    <w14:schemeClr w14:val="tx1"/>
                  </w14:solidFill>
                </w14:textFill>
              </w:rPr>
              <w:t>1.1</w:t>
            </w:r>
            <w:r>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t>83t/a。项目建设完成后全厂二氧化硫、氮氧化物排放控制总量分别为2.182t/a、3.117t/a。</w:t>
            </w:r>
          </w:p>
          <w:p>
            <w:pPr>
              <w:pStyle w:val="18"/>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firstLine="480" w:firstLineChars="200"/>
              <w:contextualSpacing/>
              <w:textAlignment w:val="auto"/>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pPr>
          </w:p>
          <w:p>
            <w:pPr>
              <w:pStyle w:val="18"/>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firstLine="480" w:firstLineChars="200"/>
              <w:contextualSpacing/>
              <w:textAlignment w:val="auto"/>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pPr>
          </w:p>
          <w:p>
            <w:pPr>
              <w:pStyle w:val="18"/>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firstLine="480" w:firstLineChars="200"/>
              <w:contextualSpacing/>
              <w:textAlignment w:val="auto"/>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pPr>
          </w:p>
          <w:p>
            <w:pPr>
              <w:pStyle w:val="18"/>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firstLine="480" w:firstLineChars="200"/>
              <w:contextualSpacing/>
              <w:textAlignment w:val="auto"/>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pPr>
          </w:p>
          <w:p>
            <w:pPr>
              <w:pStyle w:val="18"/>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firstLine="480" w:firstLineChars="200"/>
              <w:contextualSpacing/>
              <w:textAlignment w:val="auto"/>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pPr>
          </w:p>
          <w:p>
            <w:pPr>
              <w:pStyle w:val="18"/>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firstLine="480" w:firstLineChars="200"/>
              <w:contextualSpacing/>
              <w:textAlignment w:val="auto"/>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pPr>
          </w:p>
          <w:p>
            <w:pPr>
              <w:pStyle w:val="18"/>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firstLine="480" w:firstLineChars="200"/>
              <w:contextualSpacing/>
              <w:textAlignment w:val="auto"/>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pPr>
          </w:p>
          <w:p>
            <w:pPr>
              <w:pStyle w:val="18"/>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firstLine="480" w:firstLineChars="200"/>
              <w:contextualSpacing/>
              <w:textAlignment w:val="auto"/>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pPr>
          </w:p>
          <w:p>
            <w:pPr>
              <w:pStyle w:val="18"/>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firstLine="480" w:firstLineChars="200"/>
              <w:contextualSpacing/>
              <w:textAlignment w:val="auto"/>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pPr>
          </w:p>
          <w:p>
            <w:pPr>
              <w:pStyle w:val="18"/>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firstLine="480" w:firstLineChars="200"/>
              <w:contextualSpacing/>
              <w:textAlignment w:val="auto"/>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pPr>
          </w:p>
          <w:p>
            <w:pPr>
              <w:pStyle w:val="18"/>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firstLine="480" w:firstLineChars="200"/>
              <w:contextualSpacing/>
              <w:textAlignment w:val="auto"/>
              <w:rPr>
                <w:rFonts w:hint="default" w:ascii="Times New Roman" w:hAnsi="Times New Roman" w:eastAsia="宋体" w:cs="Times New Roman"/>
                <w:bCs/>
                <w:color w:val="000000" w:themeColor="text1"/>
                <w:kern w:val="2"/>
                <w:sz w:val="24"/>
                <w:szCs w:val="22"/>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2"/>
                <w:lang w:val="en-US" w:eastAsia="zh-CN" w:bidi="ar-SA"/>
                <w14:textFill>
                  <w14:solidFill>
                    <w14:schemeClr w14:val="tx1"/>
                  </w14:solidFill>
                </w14:textFill>
              </w:rPr>
              <w:t xml:space="preserve">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FF0000"/>
                <w:sz w:val="24"/>
                <w:lang w:val="en-US" w:eastAsia="zh-CN"/>
              </w:rPr>
            </w:pPr>
          </w:p>
          <w:p>
            <w:pPr>
              <w:pStyle w:val="18"/>
              <w:numPr>
                <w:ilvl w:val="0"/>
                <w:numId w:val="0"/>
              </w:numPr>
              <w:snapToGrid w:val="0"/>
              <w:spacing w:line="360" w:lineRule="auto"/>
              <w:contextualSpacing/>
              <w:rPr>
                <w:rFonts w:hint="default" w:ascii="Times New Roman" w:hAnsi="Times New Roman" w:cs="Times New Roman" w:eastAsiaTheme="minorEastAsia"/>
                <w:b/>
                <w:color w:val="auto"/>
                <w:sz w:val="24"/>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kern w:val="0"/>
                <w:sz w:val="24"/>
              </w:rPr>
            </w:pPr>
          </w:p>
        </w:tc>
      </w:tr>
    </w:tbl>
    <w:p>
      <w:pPr>
        <w:pStyle w:val="19"/>
        <w:spacing w:beforeAutospacing="0" w:afterAutospacing="0" w:line="360" w:lineRule="auto"/>
        <w:jc w:val="center"/>
        <w:outlineLvl w:val="0"/>
        <w:rPr>
          <w:rFonts w:hint="default" w:ascii="黑体" w:eastAsia="黑体" w:cs="黑体"/>
          <w:sz w:val="30"/>
          <w:szCs w:val="30"/>
        </w:rPr>
      </w:pPr>
      <w:r>
        <w:rPr>
          <w:rFonts w:ascii="黑体" w:eastAsia="黑体"/>
          <w:snapToGrid w:val="0"/>
          <w:sz w:val="36"/>
          <w:szCs w:val="36"/>
          <w:lang w:bidi="ar"/>
        </w:rPr>
        <w:br w:type="page"/>
      </w:r>
      <w:r>
        <w:rPr>
          <w:rFonts w:ascii="黑体" w:eastAsia="黑体" w:cs="黑体"/>
          <w:snapToGrid w:val="0"/>
          <w:sz w:val="30"/>
          <w:szCs w:val="30"/>
        </w:rPr>
        <w:t>四、主要环境影响和保护措施</w:t>
      </w:r>
    </w:p>
    <w:tbl>
      <w:tblPr>
        <w:tblStyle w:val="24"/>
        <w:tblW w:w="909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18"/>
        <w:gridCol w:w="877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8" w:type="dxa"/>
            <w:tcBorders>
              <w:top w:val="single" w:color="auto" w:sz="8" w:space="0"/>
              <w:left w:val="single" w:color="auto" w:sz="8" w:space="0"/>
              <w:right w:val="single" w:color="auto" w:sz="4" w:space="0"/>
            </w:tcBorders>
            <w:shd w:val="clear" w:color="auto" w:fill="auto"/>
            <w:tcMar>
              <w:left w:w="28" w:type="dxa"/>
              <w:right w:w="28" w:type="dxa"/>
            </w:tcMar>
            <w:vAlign w:val="center"/>
          </w:tcPr>
          <w:p>
            <w:pPr>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lang w:bidi="ar"/>
              </w:rPr>
              <w:t>运营</w:t>
            </w:r>
          </w:p>
          <w:p>
            <w:pPr>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lang w:bidi="ar"/>
              </w:rPr>
              <w:t>期环</w:t>
            </w:r>
          </w:p>
          <w:p>
            <w:pPr>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lang w:bidi="ar"/>
              </w:rPr>
              <w:t>境影</w:t>
            </w:r>
          </w:p>
          <w:p>
            <w:pPr>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lang w:bidi="ar"/>
              </w:rPr>
              <w:t>响和</w:t>
            </w:r>
          </w:p>
          <w:p>
            <w:pPr>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lang w:bidi="ar"/>
              </w:rPr>
              <w:t>保护</w:t>
            </w:r>
          </w:p>
          <w:p>
            <w:pPr>
              <w:adjustRightInd w:val="0"/>
              <w:snapToGrid w:val="0"/>
              <w:jc w:val="center"/>
              <w:rPr>
                <w:rFonts w:ascii="Times New Roman" w:hAnsi="Times New Roman" w:eastAsia="宋体" w:cs="Times New Roman"/>
                <w:bCs/>
                <w:szCs w:val="21"/>
              </w:rPr>
            </w:pPr>
            <w:r>
              <w:rPr>
                <w:rFonts w:ascii="Times New Roman" w:hAnsi="Times New Roman" w:eastAsia="宋体" w:cs="Times New Roman"/>
                <w:bCs/>
                <w:szCs w:val="21"/>
                <w:lang w:bidi="ar"/>
              </w:rPr>
              <w:t>措施</w:t>
            </w:r>
          </w:p>
        </w:tc>
        <w:tc>
          <w:tcPr>
            <w:tcW w:w="8776" w:type="dxa"/>
            <w:tcBorders>
              <w:top w:val="single" w:color="auto" w:sz="8" w:space="0"/>
              <w:left w:val="single" w:color="auto" w:sz="4" w:space="0"/>
              <w:bottom w:val="single" w:color="auto" w:sz="4" w:space="0"/>
              <w:right w:val="single" w:color="auto" w:sz="8" w:space="0"/>
            </w:tcBorders>
            <w:shd w:val="clear" w:color="auto" w:fill="auto"/>
            <w:vAlign w:val="center"/>
          </w:tcPr>
          <w:p>
            <w:pPr>
              <w:pStyle w:val="17"/>
              <w:widowControl w:val="0"/>
              <w:adjustRightInd w:val="0"/>
              <w:snapToGrid w:val="0"/>
              <w:spacing w:line="360" w:lineRule="auto"/>
              <w:ind w:left="0" w:leftChars="0"/>
              <w:rPr>
                <w:rFonts w:hint="default" w:ascii="Times New Roman" w:hAnsi="Times New Roman" w:eastAsia="宋体" w:cs="Times New Roman"/>
                <w:b/>
                <w:kern w:val="2"/>
                <w:lang w:eastAsia="zh-CN"/>
              </w:rPr>
            </w:pPr>
            <w:r>
              <w:rPr>
                <w:rFonts w:hint="default" w:ascii="Times New Roman" w:hAnsi="Times New Roman" w:eastAsia="宋体" w:cs="Times New Roman"/>
                <w:b/>
                <w:kern w:val="2"/>
              </w:rPr>
              <w:t>施工期环境保护措施</w:t>
            </w:r>
            <w:r>
              <w:rPr>
                <w:rFonts w:hint="default" w:ascii="Times New Roman" w:hAnsi="Times New Roman" w:eastAsia="宋体" w:cs="Times New Roman"/>
                <w:b/>
                <w:kern w:val="2"/>
                <w:lang w:eastAsia="zh-CN"/>
              </w:rPr>
              <w:t>：</w:t>
            </w:r>
          </w:p>
          <w:p>
            <w:pPr>
              <w:pStyle w:val="17"/>
              <w:widowControl w:val="0"/>
              <w:snapToGrid w:val="0"/>
              <w:spacing w:line="360" w:lineRule="auto"/>
              <w:ind w:left="479" w:leftChars="228"/>
              <w:rPr>
                <w:rFonts w:hint="default" w:ascii="Times New Roman" w:hAnsi="Times New Roman" w:eastAsia="宋体" w:cs="Times New Roman"/>
                <w:b/>
                <w:kern w:val="2"/>
                <w:lang w:eastAsia="zh-CN"/>
              </w:rPr>
            </w:pPr>
            <w:r>
              <w:rPr>
                <w:rFonts w:hint="default" w:ascii="Times New Roman" w:hAnsi="Times New Roman" w:eastAsia="宋体" w:cs="Times New Roman"/>
                <w:b/>
                <w:kern w:val="2"/>
                <w:lang w:eastAsia="zh-CN"/>
              </w:rPr>
              <w:t>1、施工扬尘</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项目</w:t>
            </w:r>
            <w:r>
              <w:rPr>
                <w:rFonts w:hint="default" w:ascii="Times New Roman" w:hAnsi="Times New Roman" w:eastAsia="宋体" w:cs="Times New Roman"/>
                <w:sz w:val="24"/>
                <w:szCs w:val="24"/>
                <w:lang w:eastAsia="zh-CN"/>
              </w:rPr>
              <w:t>施工期大气污染物主要为</w:t>
            </w:r>
            <w:r>
              <w:rPr>
                <w:rFonts w:hint="default" w:ascii="Times New Roman" w:hAnsi="Times New Roman" w:eastAsia="宋体" w:cs="Times New Roman"/>
                <w:sz w:val="24"/>
                <w:szCs w:val="24"/>
                <w:lang w:val="en-US" w:eastAsia="zh-CN"/>
              </w:rPr>
              <w:t>工程</w:t>
            </w:r>
            <w:r>
              <w:rPr>
                <w:rFonts w:hint="default" w:ascii="Times New Roman" w:hAnsi="Times New Roman" w:eastAsia="宋体" w:cs="Times New Roman"/>
                <w:sz w:val="24"/>
                <w:szCs w:val="24"/>
                <w:lang w:eastAsia="zh-CN"/>
              </w:rPr>
              <w:t>建设产生的扬尘，包括</w:t>
            </w:r>
            <w:r>
              <w:rPr>
                <w:rFonts w:hint="default" w:ascii="Times New Roman" w:hAnsi="Times New Roman" w:eastAsia="宋体" w:cs="Times New Roman"/>
                <w:sz w:val="24"/>
                <w:szCs w:val="24"/>
                <w:lang w:val="en-US" w:eastAsia="zh-CN"/>
              </w:rPr>
              <w:t>新建破碎楼；锅炉房、煤棚</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渣库改造</w:t>
            </w:r>
            <w:r>
              <w:rPr>
                <w:rFonts w:hint="default" w:ascii="Times New Roman" w:hAnsi="Times New Roman" w:eastAsia="宋体" w:cs="Times New Roman"/>
                <w:sz w:val="24"/>
                <w:szCs w:val="24"/>
                <w:lang w:eastAsia="zh-CN"/>
              </w:rPr>
              <w:t>等施工过程产生的扬尘，建筑物料堆场及建筑垃圾堆存处产生的扬尘。建设过程中严格落实《河北省扬尘污染防治办法》（河北省人民政府令〔2020〕第1号）、《河北省建筑施工扬尘防治强化措施18条》相关要求，主要通过采取以下措施降低扬尘产生量：</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①在施工现场周边设置硬质封闭围挡或者围墙，位于主要路段的，高度不低于2.5米，位于一般路段的，高度不低于1.8米，并在围挡底端设置不低于0.2米的防溢座；</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②建筑材料、设备的运输及建筑垃圾清运过程中，运输车辆减速慢行，运输建筑垃圾采用蓬布遮盖，以避免沿途洒落，对运输道路及时进行清扫，减少运输扬尘；</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③现场施工过程中采用洒水降尘措施，及时向易产生扬尘的施工地、路面每天2-3次洒水，如遇大风天气应适当增加洒水量及洒水次数，以减少扬尘产生量；</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④建筑垃圾应当及时清运，在场地内堆存的，应当集中堆放并采取密闭或者遮盖等防尘措施；合理布设料场位置，建筑材料专用堆放地用篷布遮挡，定期洒水抑尘，及时清运建筑垃圾、余料及时回收避免长时间堆存，减少建筑材料在堆放的风力扬尘；</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⑤使用预拌混凝土、预拌砂浆等建筑材料，不进行现场拌和。</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通过采取上述措施，工程施工场地下风向PM10贡献浓度可控制在80ug/m3以下，符合《施工场地扬尘排放标准》(DB13/2934-2019)表1扬尘排放浓度限值要求，</w:t>
            </w:r>
            <w:r>
              <w:rPr>
                <w:rFonts w:hint="default" w:ascii="Times New Roman" w:hAnsi="Times New Roman" w:eastAsia="宋体" w:cs="Times New Roman"/>
                <w:sz w:val="24"/>
                <w:szCs w:val="24"/>
                <w:lang w:val="en-US" w:eastAsia="zh-CN"/>
              </w:rPr>
              <w:t>施工期大气环境影响可以接受</w:t>
            </w:r>
            <w:r>
              <w:rPr>
                <w:rFonts w:hint="default" w:ascii="Times New Roman" w:hAnsi="Times New Roman" w:eastAsia="宋体" w:cs="Times New Roman"/>
                <w:sz w:val="24"/>
                <w:szCs w:val="24"/>
                <w:lang w:eastAsia="zh-CN"/>
              </w:rPr>
              <w:t>。</w:t>
            </w:r>
          </w:p>
          <w:p>
            <w:pPr>
              <w:pStyle w:val="17"/>
              <w:widowControl w:val="0"/>
              <w:snapToGrid w:val="0"/>
              <w:spacing w:line="360" w:lineRule="auto"/>
              <w:ind w:left="479" w:leftChars="228"/>
              <w:rPr>
                <w:rFonts w:hint="default" w:ascii="Times New Roman" w:hAnsi="Times New Roman" w:eastAsia="宋体" w:cs="Times New Roman"/>
                <w:b/>
                <w:kern w:val="2"/>
                <w:lang w:eastAsia="zh-CN"/>
              </w:rPr>
            </w:pPr>
            <w:r>
              <w:rPr>
                <w:rFonts w:hint="default" w:ascii="Times New Roman" w:hAnsi="Times New Roman" w:eastAsia="宋体" w:cs="Times New Roman"/>
                <w:b/>
                <w:kern w:val="2"/>
                <w:lang w:eastAsia="zh-CN"/>
              </w:rPr>
              <w:t>2、施工污水</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项目</w:t>
            </w:r>
            <w:r>
              <w:rPr>
                <w:rFonts w:hint="default" w:ascii="Times New Roman" w:hAnsi="Times New Roman" w:eastAsia="宋体" w:cs="Times New Roman"/>
                <w:sz w:val="24"/>
                <w:szCs w:val="24"/>
                <w:lang w:val="en-US" w:eastAsia="zh-CN"/>
              </w:rPr>
              <w:t>施工期</w:t>
            </w:r>
            <w:r>
              <w:rPr>
                <w:rFonts w:hint="default" w:ascii="Times New Roman" w:hAnsi="Times New Roman" w:eastAsia="宋体" w:cs="Times New Roman"/>
                <w:sz w:val="24"/>
                <w:szCs w:val="24"/>
                <w:lang w:eastAsia="zh-CN"/>
              </w:rPr>
              <w:t>产生的废水主要来自于施工人员的生活污水、施工作业产生的施工废水(主要污染物为SS)。</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施工废水沉淀后循环利用，少量污水洒水降尘；施工期工人生活污水产生量较少，水质简单，生活污水泼洒至施工场地用于降尘。项目施工期间对区域水环境影响</w:t>
            </w:r>
            <w:r>
              <w:rPr>
                <w:rFonts w:hint="default" w:ascii="Times New Roman" w:hAnsi="Times New Roman" w:eastAsia="宋体" w:cs="Times New Roman"/>
                <w:sz w:val="24"/>
                <w:szCs w:val="24"/>
                <w:lang w:val="en-US" w:eastAsia="zh-CN"/>
              </w:rPr>
              <w:t>可接受</w:t>
            </w:r>
            <w:r>
              <w:rPr>
                <w:rFonts w:hint="default" w:ascii="Times New Roman" w:hAnsi="Times New Roman" w:eastAsia="宋体" w:cs="Times New Roman"/>
                <w:sz w:val="24"/>
                <w:szCs w:val="24"/>
                <w:lang w:eastAsia="zh-CN"/>
              </w:rPr>
              <w:t>。</w:t>
            </w:r>
          </w:p>
          <w:p>
            <w:pPr>
              <w:pStyle w:val="17"/>
              <w:widowControl w:val="0"/>
              <w:snapToGrid w:val="0"/>
              <w:spacing w:line="360" w:lineRule="auto"/>
              <w:ind w:left="479" w:leftChars="228"/>
              <w:rPr>
                <w:rFonts w:hint="default" w:ascii="Times New Roman" w:hAnsi="Times New Roman" w:eastAsia="宋体" w:cs="Times New Roman"/>
                <w:b/>
                <w:kern w:val="2"/>
                <w:lang w:eastAsia="zh-CN"/>
              </w:rPr>
            </w:pPr>
            <w:r>
              <w:rPr>
                <w:rFonts w:hint="default" w:ascii="Times New Roman" w:hAnsi="Times New Roman" w:eastAsia="宋体" w:cs="Times New Roman"/>
                <w:b/>
                <w:kern w:val="2"/>
                <w:lang w:eastAsia="zh-CN"/>
              </w:rPr>
              <w:t>3、施工噪声</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项目</w:t>
            </w:r>
            <w:r>
              <w:rPr>
                <w:rFonts w:hint="default" w:ascii="Times New Roman" w:hAnsi="Times New Roman" w:eastAsia="宋体" w:cs="Times New Roman"/>
                <w:sz w:val="24"/>
                <w:szCs w:val="24"/>
                <w:lang w:val="en-US" w:eastAsia="zh-CN"/>
              </w:rPr>
              <w:t>施工期</w:t>
            </w:r>
            <w:r>
              <w:rPr>
                <w:rFonts w:hint="default" w:ascii="Times New Roman" w:hAnsi="Times New Roman" w:eastAsia="宋体" w:cs="Times New Roman"/>
                <w:sz w:val="24"/>
                <w:szCs w:val="24"/>
                <w:lang w:eastAsia="zh-CN"/>
              </w:rPr>
              <w:t>噪声主要来自施工机械和运输车辆的噪声。施工过程中采用的施工机械一般都具有噪声高、无规则等特点，为减少噪声影响，建设单位拟采取以下降低噪声措施：</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eastAsia="zh-CN"/>
              </w:rPr>
              <w:t>）施工期间选用产生噪声值较低的施工设备，从源头消减噪声；</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eastAsia="zh-CN"/>
              </w:rPr>
              <w:t>）施工现场不得安装混凝土搅拌机，应在有关部门指定地点搅拌好后，运至工地使用，运输车辆通过要减速慢行以减低噪声；</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eastAsia="zh-CN"/>
              </w:rPr>
              <w:t>）施工期间建筑材料和建筑垃圾的运输路线优化选择，尽量避开村庄；</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eastAsia="zh-CN"/>
              </w:rPr>
              <w:t>）施工期间严格控制施工时间，若必须连续施工作业时，须提前向有关部门提出申请，并应提前张贴公告通知周边可能受到影响的居民及单位，经批准后，方可进行夜间施工；</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lang w:eastAsia="zh-CN"/>
              </w:rPr>
              <w:t>）合理安排施工计划、施工机械设备组合以及施工时间，</w:t>
            </w:r>
            <w:r>
              <w:rPr>
                <w:rFonts w:hint="default" w:ascii="Times New Roman" w:hAnsi="Times New Roman" w:eastAsia="宋体" w:cs="Times New Roman"/>
                <w:sz w:val="24"/>
                <w:szCs w:val="24"/>
                <w:lang w:val="en-US" w:eastAsia="zh-CN"/>
              </w:rPr>
              <w:t>夜间（22:00-06:00）禁止施工</w:t>
            </w:r>
            <w:r>
              <w:rPr>
                <w:rFonts w:hint="default" w:ascii="Times New Roman" w:hAnsi="Times New Roman" w:eastAsia="宋体" w:cs="Times New Roman"/>
                <w:sz w:val="24"/>
                <w:szCs w:val="24"/>
                <w:lang w:eastAsia="zh-CN"/>
              </w:rPr>
              <w:t>，避免在同一时间集中使用大量的动力机械设备；</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lang w:eastAsia="zh-CN"/>
              </w:rPr>
              <w:t>）加强施工期管理，施工单位设专人负责施工机械的保养和维护，保养和维护要有切实可行的规章制度，要定期对现场工作人员进行培训，每个工人都要严格按照规范使用各类机械，避免因故障产生突发噪声。</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建设单位采用上述措施后，项目施工期产生的噪声可满足《建筑施工场界环境噪声排放标准》（GB12523-2011）的要求，</w:t>
            </w:r>
            <w:r>
              <w:rPr>
                <w:rFonts w:hint="default" w:ascii="Times New Roman" w:hAnsi="Times New Roman" w:eastAsia="宋体" w:cs="Times New Roman"/>
                <w:sz w:val="24"/>
                <w:szCs w:val="24"/>
                <w:lang w:val="en-US" w:eastAsia="zh-CN"/>
              </w:rPr>
              <w:t>噪声</w:t>
            </w:r>
            <w:r>
              <w:rPr>
                <w:rFonts w:hint="default" w:ascii="Times New Roman" w:hAnsi="Times New Roman" w:eastAsia="宋体" w:cs="Times New Roman"/>
                <w:sz w:val="24"/>
                <w:szCs w:val="24"/>
                <w:lang w:eastAsia="zh-CN"/>
              </w:rPr>
              <w:t>达标排放</w:t>
            </w:r>
            <w:r>
              <w:rPr>
                <w:rFonts w:hint="eastAsia" w:ascii="Times New Roman" w:hAnsi="Times New Roman" w:eastAsia="宋体" w:cs="Times New Roman"/>
                <w:sz w:val="24"/>
                <w:szCs w:val="24"/>
                <w:lang w:eastAsia="zh-CN"/>
              </w:rPr>
              <w:t>。</w:t>
            </w:r>
          </w:p>
          <w:p>
            <w:pPr>
              <w:pStyle w:val="17"/>
              <w:widowControl w:val="0"/>
              <w:snapToGrid w:val="0"/>
              <w:spacing w:line="360" w:lineRule="auto"/>
              <w:ind w:left="479" w:leftChars="228"/>
              <w:rPr>
                <w:rFonts w:hint="default" w:ascii="Times New Roman" w:hAnsi="Times New Roman" w:eastAsia="宋体" w:cs="Times New Roman"/>
                <w:b/>
                <w:kern w:val="2"/>
                <w:lang w:eastAsia="zh-CN"/>
              </w:rPr>
            </w:pPr>
            <w:r>
              <w:rPr>
                <w:rFonts w:hint="default" w:ascii="Times New Roman" w:hAnsi="Times New Roman" w:eastAsia="宋体" w:cs="Times New Roman"/>
                <w:b/>
                <w:kern w:val="2"/>
                <w:lang w:eastAsia="zh-CN"/>
              </w:rPr>
              <w:t>4、施工固体废物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本项目施工期间</w:t>
            </w:r>
            <w:r>
              <w:rPr>
                <w:rFonts w:hint="default" w:ascii="Times New Roman" w:hAnsi="Times New Roman" w:eastAsia="宋体" w:cs="Times New Roman"/>
                <w:sz w:val="24"/>
                <w:szCs w:val="24"/>
                <w:lang w:val="en-US" w:eastAsia="zh-CN"/>
              </w:rPr>
              <w:t>产生的</w:t>
            </w:r>
            <w:r>
              <w:rPr>
                <w:rFonts w:hint="default" w:ascii="Times New Roman" w:hAnsi="Times New Roman" w:eastAsia="宋体" w:cs="Times New Roman"/>
                <w:sz w:val="24"/>
                <w:szCs w:val="24"/>
                <w:lang w:eastAsia="zh-CN"/>
              </w:rPr>
              <w:t>固体废物为建筑垃圾和生活垃圾。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工程建设过程中均会产生建筑垃圾，建筑垃圾产生量较小，运至政府部门指定的建筑垃圾处置场处理；生活垃圾采取集中收集，集中收集后定期由当地垃圾清运系统处置。采取上述措施后，施工期固体废物</w:t>
            </w:r>
            <w:r>
              <w:rPr>
                <w:rFonts w:hint="default" w:ascii="Times New Roman" w:hAnsi="Times New Roman" w:eastAsia="宋体" w:cs="Times New Roman"/>
                <w:sz w:val="24"/>
                <w:szCs w:val="24"/>
                <w:lang w:val="en-US" w:eastAsia="zh-CN"/>
              </w:rPr>
              <w:t>均得到妥善处置</w:t>
            </w:r>
            <w:r>
              <w:rPr>
                <w:rFonts w:hint="default" w:ascii="Times New Roman" w:hAnsi="Times New Roman" w:eastAsia="宋体" w:cs="Times New Roman"/>
                <w:sz w:val="24"/>
                <w:szCs w:val="24"/>
                <w:lang w:eastAsia="zh-CN"/>
              </w:rPr>
              <w:t>。</w:t>
            </w:r>
          </w:p>
          <w:p>
            <w:pPr>
              <w:pStyle w:val="17"/>
              <w:widowControl w:val="0"/>
              <w:adjustRightInd w:val="0"/>
              <w:snapToGrid w:val="0"/>
              <w:spacing w:line="360" w:lineRule="auto"/>
              <w:ind w:left="0" w:leftChars="0"/>
              <w:rPr>
                <w:rFonts w:hint="default" w:ascii="Times New Roman" w:hAnsi="Times New Roman"/>
                <w:b/>
                <w:kern w:val="2"/>
              </w:rPr>
            </w:pPr>
          </w:p>
          <w:p>
            <w:pPr>
              <w:pStyle w:val="17"/>
              <w:widowControl w:val="0"/>
              <w:adjustRightInd w:val="0"/>
              <w:snapToGrid w:val="0"/>
              <w:spacing w:line="360" w:lineRule="auto"/>
              <w:ind w:left="0" w:leftChars="0"/>
              <w:rPr>
                <w:rFonts w:hint="default" w:ascii="Times New Roman" w:hAnsi="Times New Roman"/>
                <w:b/>
                <w:kern w:val="2"/>
              </w:rPr>
            </w:pPr>
          </w:p>
          <w:p>
            <w:pPr>
              <w:pStyle w:val="17"/>
              <w:widowControl w:val="0"/>
              <w:adjustRightInd w:val="0"/>
              <w:snapToGrid w:val="0"/>
              <w:spacing w:line="360" w:lineRule="auto"/>
              <w:ind w:left="0" w:leftChars="0"/>
              <w:rPr>
                <w:rFonts w:hint="default" w:ascii="Times New Roman" w:hAnsi="Times New Roman"/>
                <w:b/>
                <w:kern w:val="2"/>
              </w:rPr>
            </w:pPr>
            <w:r>
              <w:rPr>
                <w:rFonts w:hint="default" w:ascii="Times New Roman" w:hAnsi="Times New Roman"/>
                <w:b/>
                <w:kern w:val="2"/>
              </w:rPr>
              <w:t>运营期环境影响和保护措施：</w:t>
            </w:r>
          </w:p>
          <w:p>
            <w:pPr>
              <w:pStyle w:val="17"/>
              <w:widowControl w:val="0"/>
              <w:snapToGrid w:val="0"/>
              <w:spacing w:line="360" w:lineRule="auto"/>
              <w:ind w:left="479" w:leftChars="228"/>
              <w:rPr>
                <w:rFonts w:hint="default" w:ascii="Times New Roman" w:hAnsi="Times New Roman"/>
                <w:b/>
                <w:kern w:val="2"/>
              </w:rPr>
            </w:pPr>
            <w:r>
              <w:rPr>
                <w:rFonts w:hint="default" w:ascii="Times New Roman" w:hAnsi="Times New Roman"/>
                <w:b/>
                <w:kern w:val="2"/>
              </w:rPr>
              <w:t>1、</w:t>
            </w:r>
            <w:r>
              <w:rPr>
                <w:rFonts w:ascii="Times New Roman" w:hAnsi="Times New Roman"/>
                <w:b/>
                <w:kern w:val="2"/>
              </w:rPr>
              <w:t>废气</w:t>
            </w:r>
          </w:p>
          <w:p>
            <w:pPr>
              <w:adjustRightInd w:val="0"/>
              <w:snapToGrid w:val="0"/>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根据大气环境专项评价结论，本项目40t/h循环流化床燃煤锅炉废气经布袋除尘器+脱硫塔+PNCR高分子炉内脱硝后经1根45m高排气筒（DA001）排放；锅炉制煤系统上料、破碎废气经集气装置收集后经1套脉冲布袋除尘器处理，处理后的废气经1根15m高排气筒（DA002）排放</w:t>
            </w:r>
            <w:r>
              <w:rPr>
                <w:rFonts w:hint="eastAsia" w:ascii="Times New Roman" w:hAnsi="Times New Roman"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20t/h生物质锅炉废气经布袋除尘+低氮燃烧技术后经1根45m高排气筒（DA001）排放；锅炉除尘灰由灰仓仓顶自带低压脉冲袋式除尘器处理，处理后的废气经1根15m高排气筒（DA004）排放</w:t>
            </w:r>
            <w:r>
              <w:rPr>
                <w:rFonts w:hint="eastAsia" w:ascii="Times New Roman" w:hAnsi="Times New Roman" w:cs="Times New Roman"/>
                <w:color w:val="000000" w:themeColor="text1"/>
                <w:sz w:val="24"/>
                <w:lang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破碎楼、煤棚、渣库等车间封闭，定期洒水降尘。经采取措施后大气污染物均可达标排放，</w:t>
            </w:r>
            <w:r>
              <w:rPr>
                <w:rFonts w:hint="eastAsia" w:ascii="Times New Roman" w:hAnsi="Times New Roman" w:cs="Times New Roman"/>
                <w:color w:val="auto"/>
                <w:sz w:val="24"/>
                <w:lang w:val="en-US" w:eastAsia="zh-CN"/>
              </w:rPr>
              <w:t>采用的污染治理措施均为可行技术，经评价，项目对周边大气环境影响较小。</w:t>
            </w:r>
            <w:r>
              <w:rPr>
                <w:rFonts w:hint="eastAsia" w:ascii="Times New Roman" w:hAnsi="Times New Roman" w:cs="Times New Roman"/>
                <w:color w:val="000000" w:themeColor="text1"/>
                <w:sz w:val="24"/>
                <w:lang w:val="en-US" w:eastAsia="zh-CN"/>
                <w14:textFill>
                  <w14:solidFill>
                    <w14:schemeClr w14:val="tx1"/>
                  </w14:solidFill>
                </w14:textFill>
              </w:rPr>
              <w:t>具体详见项目大气环境专项评价</w:t>
            </w:r>
            <w:r>
              <w:rPr>
                <w:rFonts w:hint="eastAsia" w:ascii="Times New Roman" w:hAnsi="Times New Roman" w:cs="Times New Roman"/>
                <w:color w:val="000000" w:themeColor="text1"/>
                <w:sz w:val="24"/>
                <w14:textFill>
                  <w14:solidFill>
                    <w14:schemeClr w14:val="tx1"/>
                  </w14:solidFill>
                </w14:textFill>
              </w:rPr>
              <w:t>。</w:t>
            </w:r>
          </w:p>
          <w:p>
            <w:pPr>
              <w:pStyle w:val="17"/>
              <w:widowControl w:val="0"/>
              <w:adjustRightInd w:val="0"/>
              <w:snapToGrid w:val="0"/>
              <w:spacing w:line="360" w:lineRule="auto"/>
              <w:ind w:left="0" w:leftChars="0" w:firstLine="482" w:firstLineChars="200"/>
              <w:rPr>
                <w:rFonts w:hint="default" w:ascii="Times New Roman" w:hAnsi="Times New Roman"/>
                <w:b/>
                <w:color w:val="auto"/>
                <w:kern w:val="2"/>
              </w:rPr>
            </w:pPr>
            <w:r>
              <w:rPr>
                <w:rFonts w:hint="default" w:ascii="Times New Roman" w:hAnsi="Times New Roman"/>
                <w:b/>
                <w:color w:val="auto"/>
                <w:kern w:val="2"/>
              </w:rPr>
              <w:t>2、</w:t>
            </w:r>
            <w:r>
              <w:rPr>
                <w:rFonts w:ascii="Times New Roman" w:hAnsi="Times New Roman"/>
                <w:b/>
                <w:color w:val="auto"/>
                <w:kern w:val="2"/>
              </w:rPr>
              <w:t>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color w:val="auto"/>
                <w:kern w:val="2"/>
              </w:rPr>
            </w:pPr>
            <w:r>
              <w:rPr>
                <w:rFonts w:hint="eastAsia" w:ascii="Times New Roman" w:hAnsi="Times New Roman" w:cs="Times New Roman"/>
                <w:color w:val="auto"/>
                <w:sz w:val="24"/>
                <w:lang w:val="en-US" w:eastAsia="zh-CN"/>
              </w:rPr>
              <w:t>项目</w:t>
            </w:r>
            <w:r>
              <w:rPr>
                <w:rFonts w:hint="eastAsia" w:ascii="Times New Roman" w:hAnsi="Times New Roman" w:cs="Times New Roman"/>
                <w:color w:val="auto"/>
                <w:sz w:val="24"/>
                <w:lang w:eastAsia="zh-CN"/>
              </w:rPr>
              <w:t>运营期</w:t>
            </w:r>
            <w:r>
              <w:rPr>
                <w:rFonts w:hint="eastAsia" w:ascii="Times New Roman" w:hAnsi="Times New Roman" w:cs="Times New Roman"/>
                <w:color w:val="auto"/>
                <w:sz w:val="24"/>
                <w:lang w:val="en-US" w:eastAsia="zh-CN"/>
              </w:rPr>
              <w:t>生产废水</w:t>
            </w:r>
            <w:r>
              <w:rPr>
                <w:rFonts w:ascii="Times New Roman" w:hAnsi="Times New Roman" w:cs="Times New Roman"/>
                <w:color w:val="auto"/>
                <w:sz w:val="24"/>
              </w:rPr>
              <w:t>主要为</w:t>
            </w:r>
            <w:r>
              <w:rPr>
                <w:rFonts w:hint="eastAsia" w:ascii="Times New Roman" w:hAnsi="Times New Roman" w:cs="Times New Roman"/>
                <w:color w:val="auto"/>
                <w:sz w:val="24"/>
                <w:lang w:val="en-US" w:eastAsia="zh-CN"/>
              </w:rPr>
              <w:t>单级反渗透废水以及锅炉排水，</w:t>
            </w:r>
            <w:r>
              <w:rPr>
                <w:rFonts w:hint="eastAsia" w:ascii="Times New Roman" w:hAnsi="Times New Roman" w:eastAsia="宋体" w:cs="Times New Roman"/>
                <w:color w:val="auto"/>
                <w:sz w:val="24"/>
                <w:szCs w:val="24"/>
                <w:lang w:val="en-US" w:eastAsia="zh-CN"/>
              </w:rPr>
              <w:t>反渗透纯水制备废水作为脱硫系统用水，锅炉定期排水用于厂区洒水降尘，</w:t>
            </w:r>
            <w:r>
              <w:rPr>
                <w:rFonts w:hint="eastAsia" w:ascii="Times New Roman" w:hAnsi="Times New Roman" w:cs="Times New Roman"/>
                <w:color w:val="auto"/>
                <w:sz w:val="24"/>
                <w:szCs w:val="24"/>
                <w:lang w:val="en-US" w:eastAsia="zh-CN"/>
              </w:rPr>
              <w:t>主要污染因子为pH 值、化学需氧量、溶解性总固体（全盐量）</w:t>
            </w:r>
            <w:r>
              <w:rPr>
                <w:rFonts w:hint="eastAsia" w:ascii="Times New Roman" w:hAnsi="Times New Roman" w:cs="Times New Roman"/>
                <w:color w:val="auto"/>
                <w:sz w:val="24"/>
                <w:lang w:val="en-US" w:eastAsia="zh-CN"/>
              </w:rPr>
              <w:t>，</w:t>
            </w:r>
            <w:r>
              <w:rPr>
                <w:rFonts w:hint="eastAsia" w:ascii="Times New Roman" w:hAnsi="Times New Roman" w:cs="Times New Roman"/>
                <w:sz w:val="24"/>
              </w:rPr>
              <w:t>产生量较小，</w:t>
            </w:r>
            <w:r>
              <w:rPr>
                <w:rFonts w:hint="eastAsia" w:ascii="Times New Roman" w:hAnsi="Times New Roman" w:eastAsia="宋体" w:cs="Times New Roman"/>
                <w:color w:val="auto"/>
                <w:sz w:val="24"/>
                <w:szCs w:val="24"/>
                <w:lang w:val="en-US" w:eastAsia="zh-CN"/>
              </w:rPr>
              <w:t>水质简单。</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锅炉定期排水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能够满足《城市污水再生利用—城市杂用水水质》（GB/T18920-2020）中道路清扫水质标准，全部综合利用，不外排，对区域水环境影响可接受</w:t>
            </w:r>
            <w:r>
              <w:rPr>
                <w:rFonts w:hint="eastAsia" w:ascii="Times New Roman" w:hAnsi="Times New Roman" w:eastAsia="宋体" w:cs="Times New Roman"/>
                <w:color w:val="auto"/>
                <w:sz w:val="24"/>
                <w:szCs w:val="24"/>
                <w:lang w:val="en-US" w:eastAsia="zh-CN"/>
              </w:rPr>
              <w:t>。</w:t>
            </w:r>
          </w:p>
          <w:p>
            <w:pPr>
              <w:pStyle w:val="17"/>
              <w:widowControl w:val="0"/>
              <w:adjustRightInd w:val="0"/>
              <w:snapToGrid w:val="0"/>
              <w:spacing w:line="360" w:lineRule="auto"/>
              <w:ind w:left="0" w:leftChars="0" w:firstLine="482" w:firstLineChars="200"/>
              <w:rPr>
                <w:rFonts w:hint="default" w:ascii="Times New Roman" w:hAnsi="Times New Roman" w:eastAsia="宋体" w:cs="Times New Roman"/>
                <w:b/>
                <w:color w:val="auto"/>
                <w:kern w:val="2"/>
              </w:rPr>
            </w:pPr>
            <w:r>
              <w:rPr>
                <w:rFonts w:hint="default" w:ascii="Times New Roman" w:hAnsi="Times New Roman" w:eastAsia="宋体" w:cs="Times New Roman"/>
                <w:b/>
                <w:color w:val="auto"/>
                <w:kern w:val="2"/>
              </w:rPr>
              <w:t>3、噪声</w:t>
            </w:r>
          </w:p>
          <w:p>
            <w:pPr>
              <w:widowControl/>
              <w:adjustRightInd w:val="0"/>
              <w:snapToGrid w:val="0"/>
              <w:spacing w:line="360" w:lineRule="auto"/>
              <w:ind w:firstLine="480" w:firstLineChars="200"/>
              <w:rPr>
                <w:rFonts w:hint="eastAsia" w:ascii="Times New Roman" w:hAnsi="Times New Roman" w:cs="Times New Roman"/>
                <w:sz w:val="24"/>
                <w:lang w:eastAsia="zh-CN"/>
              </w:rPr>
            </w:pPr>
            <w:r>
              <w:rPr>
                <w:rFonts w:hint="eastAsia" w:ascii="Times New Roman" w:hAnsi="Times New Roman" w:cs="Times New Roman"/>
                <w:sz w:val="24"/>
                <w:lang w:eastAsia="zh-CN"/>
              </w:rPr>
              <w:t>（</w:t>
            </w:r>
            <w:r>
              <w:rPr>
                <w:rFonts w:hint="eastAsia" w:ascii="Times New Roman" w:hAnsi="Times New Roman" w:cs="Times New Roman"/>
                <w:sz w:val="24"/>
                <w:lang w:val="en-US" w:eastAsia="zh-CN"/>
              </w:rPr>
              <w:t>1</w:t>
            </w:r>
            <w:r>
              <w:rPr>
                <w:rFonts w:hint="eastAsia" w:ascii="Times New Roman" w:hAnsi="Times New Roman" w:cs="Times New Roman"/>
                <w:sz w:val="24"/>
                <w:lang w:eastAsia="zh-CN"/>
              </w:rPr>
              <w:t>）噪声源强分析</w:t>
            </w:r>
          </w:p>
          <w:p>
            <w:pPr>
              <w:widowControl/>
              <w:adjustRightInd w:val="0"/>
              <w:snapToGrid w:val="0"/>
              <w:spacing w:line="360" w:lineRule="auto"/>
              <w:ind w:firstLine="480" w:firstLineChars="200"/>
              <w:rPr>
                <w:rFonts w:hint="default" w:ascii="Times New Roman" w:hAnsi="Times New Roman" w:cs="Times New Roman" w:eastAsiaTheme="minorEastAsia"/>
                <w:sz w:val="24"/>
                <w:lang w:val="en-US" w:eastAsia="zh-CN"/>
              </w:rPr>
            </w:pPr>
            <w:r>
              <w:rPr>
                <w:rFonts w:hint="default" w:ascii="Times New Roman" w:hAnsi="Times New Roman" w:cs="Times New Roman"/>
                <w:sz w:val="24"/>
              </w:rPr>
              <w:t>本项目</w:t>
            </w:r>
            <w:r>
              <w:rPr>
                <w:rFonts w:hint="eastAsia" w:ascii="Times New Roman" w:hAnsi="Times New Roman" w:cs="Times New Roman"/>
                <w:sz w:val="24"/>
                <w:lang w:eastAsia="zh-CN"/>
              </w:rPr>
              <w:t>运营期</w:t>
            </w:r>
            <w:r>
              <w:rPr>
                <w:rFonts w:hint="default" w:ascii="Times New Roman" w:hAnsi="Times New Roman" w:cs="Times New Roman"/>
                <w:sz w:val="24"/>
              </w:rPr>
              <w:t>主要噪声为生产设备噪声</w:t>
            </w:r>
            <w:r>
              <w:rPr>
                <w:rFonts w:hint="eastAsia" w:ascii="Times New Roman" w:hAnsi="Times New Roman" w:cs="Times New Roman"/>
                <w:sz w:val="24"/>
                <w:lang w:val="en-US" w:eastAsia="zh-CN"/>
              </w:rPr>
              <w:t>和车辆运输噪声</w:t>
            </w:r>
            <w:r>
              <w:rPr>
                <w:rFonts w:hint="eastAsia" w:ascii="Times New Roman" w:hAnsi="Times New Roman" w:cs="Times New Roman"/>
                <w:sz w:val="24"/>
                <w:lang w:eastAsia="zh-CN"/>
              </w:rPr>
              <w:t>，</w:t>
            </w:r>
            <w:r>
              <w:rPr>
                <w:rFonts w:hint="default" w:ascii="Times New Roman" w:hAnsi="Times New Roman" w:cs="Times New Roman"/>
                <w:sz w:val="24"/>
              </w:rPr>
              <w:t>生产设备噪声源</w:t>
            </w:r>
            <w:r>
              <w:rPr>
                <w:rFonts w:hint="eastAsia" w:ascii="Times New Roman" w:hAnsi="Times New Roman" w:cs="Times New Roman"/>
                <w:sz w:val="24"/>
                <w:lang w:val="en-US" w:eastAsia="zh-CN"/>
              </w:rPr>
              <w:t>主要</w:t>
            </w:r>
            <w:r>
              <w:rPr>
                <w:rFonts w:hint="default" w:ascii="Times New Roman" w:hAnsi="Times New Roman" w:cs="Times New Roman"/>
                <w:sz w:val="24"/>
              </w:rPr>
              <w:t>为</w:t>
            </w:r>
            <w:r>
              <w:rPr>
                <w:rFonts w:hint="eastAsia" w:ascii="Times New Roman" w:hAnsi="Times New Roman" w:cs="Times New Roman"/>
                <w:sz w:val="24"/>
                <w:lang w:eastAsia="zh-CN"/>
              </w:rPr>
              <w:t>锅炉水泵、风机</w:t>
            </w:r>
            <w:r>
              <w:rPr>
                <w:rFonts w:hint="eastAsia" w:ascii="Times New Roman" w:hAnsi="Times New Roman" w:cs="Times New Roman"/>
                <w:sz w:val="24"/>
                <w:lang w:val="en-US" w:eastAsia="zh-CN"/>
              </w:rPr>
              <w:t>、磁辊式破碎机、除渣机、除尘器风机等设备运行过程中产生的机械噪声，噪声源强为75~90dB；运输噪声为标煤运输过程产生的噪声，其强度在70~85dB。本项目噪声源强见下表。</w:t>
            </w:r>
          </w:p>
          <w:p>
            <w:pPr>
              <w:pStyle w:val="57"/>
              <w:adjustRightInd w:val="0"/>
              <w:snapToGrid w:val="0"/>
              <w:spacing w:line="360" w:lineRule="auto"/>
              <w:ind w:firstLine="0" w:firstLineChars="0"/>
              <w:jc w:val="center"/>
              <w:rPr>
                <w:rFonts w:hint="default" w:ascii="Times New Roman" w:hAnsi="Times New Roman" w:cs="Times New Roman"/>
                <w:b/>
                <w:color w:val="auto"/>
                <w:szCs w:val="16"/>
              </w:rPr>
            </w:pPr>
            <w:r>
              <w:rPr>
                <w:rFonts w:hint="default" w:ascii="Times New Roman" w:hAnsi="Times New Roman" w:cs="Times New Roman"/>
                <w:b/>
                <w:color w:val="auto"/>
                <w:szCs w:val="16"/>
              </w:rPr>
              <w:t>表4-</w:t>
            </w:r>
            <w:r>
              <w:rPr>
                <w:rFonts w:hint="eastAsia" w:ascii="Times New Roman" w:hAnsi="Times New Roman" w:cs="Times New Roman"/>
                <w:b/>
                <w:color w:val="auto"/>
                <w:szCs w:val="16"/>
                <w:lang w:val="en-US" w:eastAsia="zh-CN"/>
              </w:rPr>
              <w:t>1</w:t>
            </w:r>
            <w:r>
              <w:rPr>
                <w:rFonts w:hint="default" w:ascii="Times New Roman" w:hAnsi="Times New Roman" w:cs="Times New Roman"/>
                <w:b/>
                <w:color w:val="auto"/>
                <w:szCs w:val="16"/>
              </w:rPr>
              <w:t xml:space="preserve">  主要噪声源一览表</w:t>
            </w:r>
          </w:p>
          <w:tbl>
            <w:tblPr>
              <w:tblStyle w:val="24"/>
              <w:tblW w:w="4929"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560"/>
              <w:gridCol w:w="1612"/>
              <w:gridCol w:w="1519"/>
              <w:gridCol w:w="1519"/>
              <w:gridCol w:w="2016"/>
              <w:gridCol w:w="120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3" w:hRule="atLeast"/>
                <w:jc w:val="center"/>
              </w:trPr>
              <w:tc>
                <w:tcPr>
                  <w:tcW w:w="332"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956"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jc w:val="center"/>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eastAsia="zh-CN"/>
                    </w:rPr>
                    <w:t>噪声源</w:t>
                  </w:r>
                </w:p>
              </w:tc>
              <w:tc>
                <w:tcPr>
                  <w:tcW w:w="901"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000000" w:themeColor="text1"/>
                      <w:sz w:val="21"/>
                      <w:szCs w:val="21"/>
                      <w14:textFill>
                        <w14:solidFill>
                          <w14:schemeClr w14:val="tx1"/>
                        </w14:solidFill>
                      </w14:textFill>
                    </w:rPr>
                    <w:t>数量（台/套/辆）</w:t>
                  </w:r>
                </w:p>
              </w:tc>
              <w:tc>
                <w:tcPr>
                  <w:tcW w:w="901"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jc w:val="center"/>
                    <w:rPr>
                      <w:rFonts w:hint="eastAsia" w:ascii="Times New Roman" w:hAnsi="Times New Roman" w:cs="Times New Roman" w:eastAsiaTheme="minorEastAsia"/>
                      <w:b/>
                      <w:bCs/>
                      <w:color w:val="auto"/>
                      <w:sz w:val="21"/>
                      <w:szCs w:val="21"/>
                      <w:lang w:eastAsia="zh-CN"/>
                    </w:rPr>
                  </w:pPr>
                  <w:r>
                    <w:rPr>
                      <w:rFonts w:hint="default" w:ascii="Times New Roman" w:hAnsi="Times New Roman" w:cs="Times New Roman"/>
                      <w:b/>
                      <w:bCs/>
                      <w:color w:val="auto"/>
                      <w:sz w:val="21"/>
                      <w:szCs w:val="21"/>
                    </w:rPr>
                    <w:t>噪声等级</w:t>
                  </w:r>
                  <w:r>
                    <w:rPr>
                      <w:rFonts w:hint="eastAsia" w:ascii="Times New Roman" w:hAnsi="Times New Roman" w:cs="Times New Roman"/>
                      <w:b/>
                      <w:bCs/>
                      <w:color w:val="auto"/>
                      <w:sz w:val="21"/>
                      <w:szCs w:val="21"/>
                      <w:lang w:eastAsia="zh-CN"/>
                    </w:rPr>
                    <w:t>（dB）</w:t>
                  </w:r>
                </w:p>
              </w:tc>
              <w:tc>
                <w:tcPr>
                  <w:tcW w:w="1195"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采取的措施</w:t>
                  </w:r>
                </w:p>
              </w:tc>
              <w:tc>
                <w:tcPr>
                  <w:tcW w:w="713"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降噪效果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8" w:hRule="atLeast"/>
                <w:jc w:val="center"/>
              </w:trPr>
              <w:tc>
                <w:tcPr>
                  <w:tcW w:w="332"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bidi="ar-SA"/>
                    </w:rPr>
                    <w:t>锅炉水泵</w:t>
                  </w:r>
                </w:p>
              </w:tc>
              <w:tc>
                <w:tcPr>
                  <w:tcW w:w="901"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901"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85</w:t>
                  </w:r>
                </w:p>
              </w:tc>
              <w:tc>
                <w:tcPr>
                  <w:tcW w:w="1195" w:type="pct"/>
                  <w:vMerge w:val="restart"/>
                  <w:tcBorders>
                    <w:top w:val="single" w:color="auto" w:sz="4" w:space="0"/>
                    <w:left w:val="single" w:color="auto" w:sz="4" w:space="0"/>
                    <w:right w:val="single" w:color="auto" w:sz="4" w:space="0"/>
                  </w:tcBorders>
                  <w:noWrap w:val="0"/>
                  <w:vAlign w:val="center"/>
                </w:tcPr>
                <w:p>
                  <w:pPr>
                    <w:pStyle w:val="63"/>
                    <w:snapToGrid w:val="0"/>
                    <w:spacing w:before="0" w:after="0"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选用低噪声设备、生产车间封闭、进行基础减振</w:t>
                  </w:r>
                </w:p>
              </w:tc>
              <w:tc>
                <w:tcPr>
                  <w:tcW w:w="713" w:type="pct"/>
                  <w:vMerge w:val="restart"/>
                  <w:tcBorders>
                    <w:top w:val="single" w:color="auto" w:sz="4" w:space="0"/>
                    <w:left w:val="single" w:color="auto" w:sz="4" w:space="0"/>
                    <w:right w:val="single" w:color="auto" w:sz="4" w:space="0"/>
                  </w:tcBorders>
                  <w:noWrap w:val="0"/>
                  <w:vAlign w:val="center"/>
                </w:tcPr>
                <w:p>
                  <w:pPr>
                    <w:pStyle w:val="63"/>
                    <w:snapToGrid w:val="0"/>
                    <w:spacing w:before="0" w:after="0" w:line="240" w:lineRule="auto"/>
                    <w:ind w:firstLine="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降噪25-30dB</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8" w:hRule="atLeast"/>
                <w:jc w:val="center"/>
              </w:trPr>
              <w:tc>
                <w:tcPr>
                  <w:tcW w:w="332"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firstLineChars="0"/>
                    <w:jc w:val="center"/>
                    <w:rPr>
                      <w:rFonts w:hint="default" w:ascii="Times New Roman" w:hAnsi="Times New Roman" w:cs="Times New Roman" w:eastAsiaTheme="minorEastAsia"/>
                      <w:color w:val="auto"/>
                      <w:kern w:val="21"/>
                      <w:sz w:val="21"/>
                      <w:szCs w:val="21"/>
                      <w:lang w:val="en-US" w:eastAsia="zh-CN" w:bidi="ar-SA"/>
                    </w:rPr>
                  </w:pPr>
                  <w:r>
                    <w:rPr>
                      <w:rFonts w:hint="default" w:ascii="Times New Roman" w:hAnsi="Times New Roman" w:cs="Times New Roman"/>
                      <w:color w:val="auto"/>
                      <w:sz w:val="21"/>
                      <w:szCs w:val="21"/>
                    </w:rPr>
                    <w:t>2</w:t>
                  </w:r>
                </w:p>
              </w:tc>
              <w:tc>
                <w:tcPr>
                  <w:tcW w:w="9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锅炉引风机</w:t>
                  </w:r>
                </w:p>
              </w:tc>
              <w:tc>
                <w:tcPr>
                  <w:tcW w:w="901"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901"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firstLineChars="0"/>
                    <w:jc w:val="center"/>
                    <w:rPr>
                      <w:rFonts w:hint="default" w:ascii="Times New Roman" w:hAnsi="Times New Roman" w:cs="Times New Roman" w:eastAsiaTheme="minorEastAsia"/>
                      <w:color w:val="auto"/>
                      <w:kern w:val="21"/>
                      <w:sz w:val="21"/>
                      <w:szCs w:val="21"/>
                      <w:lang w:val="en-US" w:eastAsia="zh-CN" w:bidi="ar-SA"/>
                    </w:rPr>
                  </w:pPr>
                  <w:r>
                    <w:rPr>
                      <w:rFonts w:hint="eastAsia" w:ascii="Times New Roman" w:hAnsi="Times New Roman" w:cs="Times New Roman"/>
                      <w:color w:val="auto"/>
                      <w:sz w:val="21"/>
                      <w:szCs w:val="21"/>
                      <w:lang w:val="en-US" w:eastAsia="zh-CN"/>
                    </w:rPr>
                    <w:t>90</w:t>
                  </w:r>
                </w:p>
              </w:tc>
              <w:tc>
                <w:tcPr>
                  <w:tcW w:w="1195" w:type="pct"/>
                  <w:vMerge w:val="continue"/>
                  <w:tcBorders>
                    <w:left w:val="single" w:color="auto" w:sz="4" w:space="0"/>
                    <w:right w:val="single" w:color="auto" w:sz="4" w:space="0"/>
                  </w:tcBorders>
                  <w:noWrap w:val="0"/>
                  <w:vAlign w:val="center"/>
                </w:tcPr>
                <w:p>
                  <w:pPr>
                    <w:pStyle w:val="63"/>
                    <w:snapToGrid w:val="0"/>
                    <w:spacing w:before="0" w:after="0" w:line="240" w:lineRule="auto"/>
                    <w:ind w:firstLine="0"/>
                    <w:jc w:val="center"/>
                    <w:rPr>
                      <w:rFonts w:hint="default" w:ascii="Times New Roman" w:hAnsi="Times New Roman" w:cs="Times New Roman"/>
                      <w:color w:val="auto"/>
                      <w:sz w:val="21"/>
                      <w:szCs w:val="21"/>
                      <w:lang w:val="en-US" w:eastAsia="zh-CN"/>
                    </w:rPr>
                  </w:pPr>
                </w:p>
              </w:tc>
              <w:tc>
                <w:tcPr>
                  <w:tcW w:w="713" w:type="pct"/>
                  <w:vMerge w:val="continue"/>
                  <w:tcBorders>
                    <w:left w:val="single" w:color="auto" w:sz="4" w:space="0"/>
                    <w:right w:val="single" w:color="auto" w:sz="4" w:space="0"/>
                  </w:tcBorders>
                  <w:noWrap w:val="0"/>
                  <w:vAlign w:val="center"/>
                </w:tcPr>
                <w:p>
                  <w:pPr>
                    <w:pStyle w:val="63"/>
                    <w:snapToGrid w:val="0"/>
                    <w:spacing w:before="0" w:after="0" w:line="240" w:lineRule="auto"/>
                    <w:ind w:firstLine="0"/>
                    <w:jc w:val="center"/>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8" w:hRule="atLeast"/>
                <w:jc w:val="center"/>
              </w:trPr>
              <w:tc>
                <w:tcPr>
                  <w:tcW w:w="332"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firstLineChars="0"/>
                    <w:jc w:val="center"/>
                    <w:rPr>
                      <w:rFonts w:hint="default" w:ascii="Times New Roman" w:hAnsi="Times New Roman" w:eastAsia="宋体" w:cs="Times New Roman"/>
                      <w:color w:val="auto"/>
                      <w:kern w:val="21"/>
                      <w:sz w:val="21"/>
                      <w:szCs w:val="21"/>
                      <w:lang w:val="en-US" w:eastAsia="zh-CN" w:bidi="ar-SA"/>
                    </w:rPr>
                  </w:pPr>
                  <w:r>
                    <w:rPr>
                      <w:rFonts w:hint="default" w:ascii="Times New Roman" w:hAnsi="Times New Roman" w:cs="Times New Roman"/>
                      <w:color w:val="auto"/>
                      <w:sz w:val="21"/>
                      <w:szCs w:val="21"/>
                      <w:lang w:val="en-US" w:eastAsia="zh-CN"/>
                    </w:rPr>
                    <w:t>3</w:t>
                  </w:r>
                </w:p>
              </w:tc>
              <w:tc>
                <w:tcPr>
                  <w:tcW w:w="9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锅炉一次风机</w:t>
                  </w:r>
                </w:p>
              </w:tc>
              <w:tc>
                <w:tcPr>
                  <w:tcW w:w="901"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901"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85</w:t>
                  </w:r>
                </w:p>
              </w:tc>
              <w:tc>
                <w:tcPr>
                  <w:tcW w:w="1195" w:type="pct"/>
                  <w:vMerge w:val="continue"/>
                  <w:tcBorders>
                    <w:left w:val="single" w:color="auto" w:sz="4" w:space="0"/>
                    <w:right w:val="single" w:color="auto" w:sz="4" w:space="0"/>
                  </w:tcBorders>
                  <w:noWrap w:val="0"/>
                  <w:vAlign w:val="center"/>
                </w:tcPr>
                <w:p>
                  <w:pPr>
                    <w:pStyle w:val="63"/>
                    <w:snapToGrid w:val="0"/>
                    <w:spacing w:before="0" w:after="0" w:line="240" w:lineRule="auto"/>
                    <w:ind w:firstLine="0"/>
                    <w:jc w:val="center"/>
                    <w:rPr>
                      <w:rFonts w:hint="default" w:ascii="Times New Roman" w:hAnsi="Times New Roman" w:cs="Times New Roman"/>
                      <w:color w:val="auto"/>
                      <w:sz w:val="21"/>
                      <w:szCs w:val="21"/>
                      <w:lang w:val="en-US" w:eastAsia="zh-CN"/>
                    </w:rPr>
                  </w:pPr>
                </w:p>
              </w:tc>
              <w:tc>
                <w:tcPr>
                  <w:tcW w:w="713" w:type="pct"/>
                  <w:vMerge w:val="continue"/>
                  <w:tcBorders>
                    <w:left w:val="single" w:color="auto" w:sz="4" w:space="0"/>
                    <w:right w:val="single" w:color="auto" w:sz="4" w:space="0"/>
                  </w:tcBorders>
                  <w:noWrap w:val="0"/>
                  <w:vAlign w:val="center"/>
                </w:tcPr>
                <w:p>
                  <w:pPr>
                    <w:pStyle w:val="63"/>
                    <w:snapToGrid w:val="0"/>
                    <w:spacing w:before="0" w:after="0" w:line="240" w:lineRule="auto"/>
                    <w:ind w:firstLine="0"/>
                    <w:jc w:val="center"/>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8" w:hRule="atLeast"/>
                <w:jc w:val="center"/>
              </w:trPr>
              <w:tc>
                <w:tcPr>
                  <w:tcW w:w="332"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firstLineChars="0"/>
                    <w:jc w:val="center"/>
                    <w:rPr>
                      <w:rFonts w:hint="default" w:ascii="Times New Roman" w:hAnsi="Times New Roman" w:eastAsia="宋体" w:cs="Times New Roman"/>
                      <w:color w:val="auto"/>
                      <w:kern w:val="21"/>
                      <w:sz w:val="21"/>
                      <w:szCs w:val="21"/>
                      <w:lang w:val="en-US" w:eastAsia="zh-CN" w:bidi="ar-SA"/>
                    </w:rPr>
                  </w:pPr>
                  <w:r>
                    <w:rPr>
                      <w:rFonts w:hint="eastAsia" w:ascii="Times New Roman" w:hAnsi="Times New Roman" w:eastAsia="宋体" w:cs="Times New Roman"/>
                      <w:color w:val="auto"/>
                      <w:kern w:val="21"/>
                      <w:sz w:val="21"/>
                      <w:szCs w:val="21"/>
                      <w:lang w:val="en-US" w:eastAsia="zh-CN" w:bidi="ar-SA"/>
                    </w:rPr>
                    <w:t>4</w:t>
                  </w:r>
                </w:p>
              </w:tc>
              <w:tc>
                <w:tcPr>
                  <w:tcW w:w="9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锅炉二次风机</w:t>
                  </w:r>
                </w:p>
              </w:tc>
              <w:tc>
                <w:tcPr>
                  <w:tcW w:w="901"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901"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80</w:t>
                  </w:r>
                </w:p>
              </w:tc>
              <w:tc>
                <w:tcPr>
                  <w:tcW w:w="1195" w:type="pct"/>
                  <w:vMerge w:val="continue"/>
                  <w:tcBorders>
                    <w:left w:val="single" w:color="auto" w:sz="4" w:space="0"/>
                    <w:right w:val="single" w:color="auto" w:sz="4" w:space="0"/>
                  </w:tcBorders>
                  <w:noWrap w:val="0"/>
                  <w:vAlign w:val="center"/>
                </w:tcPr>
                <w:p>
                  <w:pPr>
                    <w:pStyle w:val="63"/>
                    <w:snapToGrid w:val="0"/>
                    <w:spacing w:before="0" w:after="0" w:line="240" w:lineRule="auto"/>
                    <w:ind w:firstLine="0"/>
                    <w:jc w:val="center"/>
                    <w:rPr>
                      <w:rFonts w:hint="default" w:ascii="Times New Roman" w:hAnsi="Times New Roman" w:cs="Times New Roman"/>
                      <w:color w:val="auto"/>
                      <w:sz w:val="21"/>
                      <w:szCs w:val="21"/>
                      <w:lang w:val="en-US" w:eastAsia="zh-CN"/>
                    </w:rPr>
                  </w:pPr>
                </w:p>
              </w:tc>
              <w:tc>
                <w:tcPr>
                  <w:tcW w:w="713" w:type="pct"/>
                  <w:vMerge w:val="continue"/>
                  <w:tcBorders>
                    <w:left w:val="single" w:color="auto" w:sz="4" w:space="0"/>
                    <w:right w:val="single" w:color="auto" w:sz="4" w:space="0"/>
                  </w:tcBorders>
                  <w:noWrap w:val="0"/>
                  <w:vAlign w:val="center"/>
                </w:tcPr>
                <w:p>
                  <w:pPr>
                    <w:pStyle w:val="63"/>
                    <w:snapToGrid w:val="0"/>
                    <w:spacing w:before="0" w:after="0" w:line="240" w:lineRule="auto"/>
                    <w:ind w:firstLine="0"/>
                    <w:jc w:val="center"/>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8" w:hRule="atLeast"/>
                <w:jc w:val="center"/>
              </w:trPr>
              <w:tc>
                <w:tcPr>
                  <w:tcW w:w="332"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firstLineChars="0"/>
                    <w:jc w:val="center"/>
                    <w:rPr>
                      <w:rFonts w:hint="default" w:ascii="Times New Roman" w:hAnsi="Times New Roman" w:eastAsia="宋体" w:cs="Times New Roman"/>
                      <w:color w:val="auto"/>
                      <w:kern w:val="21"/>
                      <w:sz w:val="21"/>
                      <w:szCs w:val="21"/>
                      <w:lang w:val="en-US" w:eastAsia="zh-CN" w:bidi="ar-SA"/>
                    </w:rPr>
                  </w:pPr>
                  <w:r>
                    <w:rPr>
                      <w:rFonts w:hint="eastAsia" w:ascii="Times New Roman" w:hAnsi="Times New Roman" w:eastAsia="宋体" w:cs="Times New Roman"/>
                      <w:color w:val="auto"/>
                      <w:sz w:val="21"/>
                      <w:szCs w:val="21"/>
                      <w:lang w:val="en-US" w:eastAsia="zh-CN"/>
                    </w:rPr>
                    <w:t>5</w:t>
                  </w:r>
                </w:p>
              </w:tc>
              <w:tc>
                <w:tcPr>
                  <w:tcW w:w="9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锅炉</w:t>
                  </w:r>
                  <w:r>
                    <w:rPr>
                      <w:rFonts w:ascii="Times New Roman" w:hAnsi="Times New Roman" w:eastAsia="宋体" w:cs="Times New Roman"/>
                      <w:color w:val="000000"/>
                      <w:kern w:val="0"/>
                      <w:szCs w:val="21"/>
                      <w:lang w:bidi="ar"/>
                    </w:rPr>
                    <w:t>返料风机</w:t>
                  </w:r>
                </w:p>
              </w:tc>
              <w:tc>
                <w:tcPr>
                  <w:tcW w:w="901"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901"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85</w:t>
                  </w:r>
                </w:p>
              </w:tc>
              <w:tc>
                <w:tcPr>
                  <w:tcW w:w="1195" w:type="pct"/>
                  <w:vMerge w:val="continue"/>
                  <w:tcBorders>
                    <w:left w:val="single" w:color="auto" w:sz="4" w:space="0"/>
                    <w:right w:val="single" w:color="auto" w:sz="4" w:space="0"/>
                  </w:tcBorders>
                  <w:noWrap w:val="0"/>
                  <w:vAlign w:val="center"/>
                </w:tcPr>
                <w:p>
                  <w:pPr>
                    <w:pStyle w:val="63"/>
                    <w:snapToGrid w:val="0"/>
                    <w:spacing w:before="0" w:after="0" w:line="240" w:lineRule="auto"/>
                    <w:ind w:firstLine="0"/>
                    <w:jc w:val="center"/>
                    <w:rPr>
                      <w:rFonts w:hint="default" w:ascii="Times New Roman" w:hAnsi="Times New Roman" w:cs="Times New Roman"/>
                      <w:color w:val="auto"/>
                      <w:sz w:val="21"/>
                      <w:szCs w:val="21"/>
                      <w:lang w:val="en-US" w:eastAsia="zh-CN"/>
                    </w:rPr>
                  </w:pPr>
                </w:p>
              </w:tc>
              <w:tc>
                <w:tcPr>
                  <w:tcW w:w="713" w:type="pct"/>
                  <w:vMerge w:val="continue"/>
                  <w:tcBorders>
                    <w:left w:val="single" w:color="auto" w:sz="4" w:space="0"/>
                    <w:right w:val="single" w:color="auto" w:sz="4" w:space="0"/>
                  </w:tcBorders>
                  <w:noWrap w:val="0"/>
                  <w:vAlign w:val="center"/>
                </w:tcPr>
                <w:p>
                  <w:pPr>
                    <w:pStyle w:val="63"/>
                    <w:snapToGrid w:val="0"/>
                    <w:spacing w:before="0" w:after="0" w:line="240" w:lineRule="auto"/>
                    <w:ind w:firstLine="0"/>
                    <w:jc w:val="center"/>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8" w:hRule="atLeast"/>
                <w:jc w:val="center"/>
              </w:trPr>
              <w:tc>
                <w:tcPr>
                  <w:tcW w:w="332"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firstLineChars="0"/>
                    <w:jc w:val="center"/>
                    <w:rPr>
                      <w:rFonts w:hint="default" w:ascii="Times New Roman" w:hAnsi="Times New Roman" w:eastAsia="宋体" w:cs="Times New Roman"/>
                      <w:color w:val="auto"/>
                      <w:kern w:val="21"/>
                      <w:sz w:val="21"/>
                      <w:szCs w:val="21"/>
                      <w:lang w:val="en-US" w:eastAsia="zh-CN" w:bidi="ar-SA"/>
                    </w:rPr>
                  </w:pPr>
                  <w:r>
                    <w:rPr>
                      <w:rFonts w:hint="eastAsia" w:ascii="Times New Roman" w:hAnsi="Times New Roman" w:eastAsia="宋体" w:cs="Times New Roman"/>
                      <w:color w:val="auto"/>
                      <w:sz w:val="21"/>
                      <w:szCs w:val="21"/>
                      <w:lang w:val="en-US" w:eastAsia="zh-CN"/>
                    </w:rPr>
                    <w:t>6</w:t>
                  </w:r>
                </w:p>
              </w:tc>
              <w:tc>
                <w:tcPr>
                  <w:tcW w:w="9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bidi="ar-SA"/>
                    </w:rPr>
                    <w:t>磁辊式破碎机</w:t>
                  </w:r>
                </w:p>
              </w:tc>
              <w:tc>
                <w:tcPr>
                  <w:tcW w:w="901"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901"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95</w:t>
                  </w:r>
                </w:p>
              </w:tc>
              <w:tc>
                <w:tcPr>
                  <w:tcW w:w="1195" w:type="pct"/>
                  <w:vMerge w:val="continue"/>
                  <w:tcBorders>
                    <w:left w:val="single" w:color="auto" w:sz="4" w:space="0"/>
                    <w:right w:val="single" w:color="auto" w:sz="4" w:space="0"/>
                  </w:tcBorders>
                  <w:noWrap w:val="0"/>
                  <w:vAlign w:val="center"/>
                </w:tcPr>
                <w:p>
                  <w:pPr>
                    <w:pStyle w:val="63"/>
                    <w:snapToGrid w:val="0"/>
                    <w:spacing w:before="0" w:after="0" w:line="240" w:lineRule="auto"/>
                    <w:ind w:firstLine="0"/>
                    <w:jc w:val="center"/>
                    <w:rPr>
                      <w:rFonts w:hint="default" w:ascii="Times New Roman" w:hAnsi="Times New Roman" w:cs="Times New Roman"/>
                      <w:color w:val="auto"/>
                      <w:sz w:val="21"/>
                      <w:szCs w:val="21"/>
                      <w:lang w:val="en-US" w:eastAsia="zh-CN"/>
                    </w:rPr>
                  </w:pPr>
                </w:p>
              </w:tc>
              <w:tc>
                <w:tcPr>
                  <w:tcW w:w="713" w:type="pct"/>
                  <w:vMerge w:val="continue"/>
                  <w:tcBorders>
                    <w:left w:val="single" w:color="auto" w:sz="4" w:space="0"/>
                    <w:right w:val="single" w:color="auto" w:sz="4" w:space="0"/>
                  </w:tcBorders>
                  <w:noWrap w:val="0"/>
                  <w:vAlign w:val="center"/>
                </w:tcPr>
                <w:p>
                  <w:pPr>
                    <w:pStyle w:val="63"/>
                    <w:snapToGrid w:val="0"/>
                    <w:spacing w:before="0" w:after="0" w:line="240" w:lineRule="auto"/>
                    <w:ind w:firstLine="0"/>
                    <w:jc w:val="center"/>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8" w:hRule="atLeast"/>
                <w:jc w:val="center"/>
              </w:trPr>
              <w:tc>
                <w:tcPr>
                  <w:tcW w:w="332"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firstLineChars="0"/>
                    <w:jc w:val="center"/>
                    <w:rPr>
                      <w:rFonts w:hint="default" w:ascii="Times New Roman" w:hAnsi="Times New Roman" w:eastAsia="宋体" w:cs="Times New Roman"/>
                      <w:color w:val="auto"/>
                      <w:kern w:val="21"/>
                      <w:sz w:val="21"/>
                      <w:szCs w:val="21"/>
                      <w:lang w:val="en-US" w:eastAsia="zh-CN" w:bidi="ar-SA"/>
                    </w:rPr>
                  </w:pPr>
                  <w:r>
                    <w:rPr>
                      <w:rFonts w:hint="eastAsia" w:ascii="Times New Roman" w:hAnsi="Times New Roman" w:eastAsia="宋体" w:cs="Times New Roman"/>
                      <w:color w:val="auto"/>
                      <w:kern w:val="21"/>
                      <w:sz w:val="21"/>
                      <w:szCs w:val="21"/>
                      <w:lang w:val="en-US" w:eastAsia="zh-CN" w:bidi="ar-SA"/>
                    </w:rPr>
                    <w:t>7</w:t>
                  </w:r>
                </w:p>
              </w:tc>
              <w:tc>
                <w:tcPr>
                  <w:tcW w:w="9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除渣机</w:t>
                  </w:r>
                </w:p>
              </w:tc>
              <w:tc>
                <w:tcPr>
                  <w:tcW w:w="901"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901"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firstLineChars="0"/>
                    <w:jc w:val="center"/>
                    <w:rPr>
                      <w:rFonts w:hint="default" w:ascii="Times New Roman" w:hAnsi="Times New Roman" w:cs="Times New Roman" w:eastAsiaTheme="minorEastAsia"/>
                      <w:color w:val="auto"/>
                      <w:kern w:val="21"/>
                      <w:sz w:val="21"/>
                      <w:szCs w:val="21"/>
                      <w:lang w:val="en-US" w:eastAsia="zh-CN" w:bidi="ar-SA"/>
                    </w:rPr>
                  </w:pPr>
                  <w:r>
                    <w:rPr>
                      <w:rFonts w:hint="eastAsia" w:ascii="Times New Roman" w:hAnsi="Times New Roman" w:cs="Times New Roman"/>
                      <w:color w:val="auto"/>
                      <w:sz w:val="21"/>
                      <w:szCs w:val="21"/>
                      <w:lang w:val="en-US" w:eastAsia="zh-CN"/>
                    </w:rPr>
                    <w:t>90</w:t>
                  </w:r>
                </w:p>
              </w:tc>
              <w:tc>
                <w:tcPr>
                  <w:tcW w:w="1195" w:type="pct"/>
                  <w:vMerge w:val="continue"/>
                  <w:tcBorders>
                    <w:left w:val="single" w:color="auto" w:sz="4" w:space="0"/>
                    <w:right w:val="single" w:color="auto" w:sz="4" w:space="0"/>
                  </w:tcBorders>
                  <w:noWrap w:val="0"/>
                  <w:vAlign w:val="center"/>
                </w:tcPr>
                <w:p>
                  <w:pPr>
                    <w:pStyle w:val="63"/>
                    <w:snapToGrid w:val="0"/>
                    <w:spacing w:before="0" w:after="0" w:line="240" w:lineRule="auto"/>
                    <w:ind w:firstLine="0"/>
                    <w:jc w:val="center"/>
                    <w:rPr>
                      <w:rFonts w:hint="default" w:ascii="Times New Roman" w:hAnsi="Times New Roman" w:cs="Times New Roman"/>
                      <w:color w:val="auto"/>
                      <w:sz w:val="21"/>
                      <w:szCs w:val="21"/>
                      <w:lang w:val="en-US" w:eastAsia="zh-CN"/>
                    </w:rPr>
                  </w:pPr>
                </w:p>
              </w:tc>
              <w:tc>
                <w:tcPr>
                  <w:tcW w:w="713" w:type="pct"/>
                  <w:vMerge w:val="continue"/>
                  <w:tcBorders>
                    <w:left w:val="single" w:color="auto" w:sz="4" w:space="0"/>
                    <w:right w:val="single" w:color="auto" w:sz="4" w:space="0"/>
                  </w:tcBorders>
                  <w:noWrap w:val="0"/>
                  <w:vAlign w:val="center"/>
                </w:tcPr>
                <w:p>
                  <w:pPr>
                    <w:pStyle w:val="63"/>
                    <w:snapToGrid w:val="0"/>
                    <w:spacing w:before="0" w:after="0" w:line="240" w:lineRule="auto"/>
                    <w:ind w:firstLine="0"/>
                    <w:jc w:val="center"/>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8" w:hRule="atLeast"/>
                <w:jc w:val="center"/>
              </w:trPr>
              <w:tc>
                <w:tcPr>
                  <w:tcW w:w="332"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firstLineChars="0"/>
                    <w:jc w:val="center"/>
                    <w:rPr>
                      <w:rFonts w:hint="default" w:ascii="Times New Roman" w:hAnsi="Times New Roman" w:eastAsia="宋体" w:cs="Times New Roman"/>
                      <w:color w:val="auto"/>
                      <w:kern w:val="21"/>
                      <w:sz w:val="21"/>
                      <w:szCs w:val="21"/>
                      <w:lang w:val="en-US" w:eastAsia="zh-CN" w:bidi="ar-SA"/>
                    </w:rPr>
                  </w:pPr>
                  <w:r>
                    <w:rPr>
                      <w:rFonts w:hint="eastAsia" w:ascii="Times New Roman" w:hAnsi="Times New Roman" w:eastAsia="宋体" w:cs="Times New Roman"/>
                      <w:color w:val="auto"/>
                      <w:kern w:val="21"/>
                      <w:sz w:val="21"/>
                      <w:szCs w:val="21"/>
                      <w:lang w:val="en-US" w:eastAsia="zh-CN" w:bidi="ar-SA"/>
                    </w:rPr>
                    <w:t>8</w:t>
                  </w:r>
                </w:p>
              </w:tc>
              <w:tc>
                <w:tcPr>
                  <w:tcW w:w="9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除尘器风机</w:t>
                  </w:r>
                </w:p>
              </w:tc>
              <w:tc>
                <w:tcPr>
                  <w:tcW w:w="901"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901"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80</w:t>
                  </w:r>
                </w:p>
              </w:tc>
              <w:tc>
                <w:tcPr>
                  <w:tcW w:w="1195" w:type="pct"/>
                  <w:vMerge w:val="continue"/>
                  <w:tcBorders>
                    <w:left w:val="single" w:color="auto" w:sz="4" w:space="0"/>
                    <w:right w:val="single" w:color="auto" w:sz="4" w:space="0"/>
                  </w:tcBorders>
                  <w:noWrap w:val="0"/>
                  <w:vAlign w:val="center"/>
                </w:tcPr>
                <w:p>
                  <w:pPr>
                    <w:pStyle w:val="63"/>
                    <w:snapToGrid w:val="0"/>
                    <w:spacing w:before="0" w:after="0" w:line="240" w:lineRule="auto"/>
                    <w:ind w:firstLine="0"/>
                    <w:jc w:val="center"/>
                    <w:rPr>
                      <w:rFonts w:hint="default" w:ascii="Times New Roman" w:hAnsi="Times New Roman" w:cs="Times New Roman"/>
                      <w:color w:val="auto"/>
                      <w:sz w:val="21"/>
                      <w:szCs w:val="21"/>
                    </w:rPr>
                  </w:pPr>
                </w:p>
              </w:tc>
              <w:tc>
                <w:tcPr>
                  <w:tcW w:w="713" w:type="pct"/>
                  <w:vMerge w:val="continue"/>
                  <w:tcBorders>
                    <w:left w:val="single" w:color="auto" w:sz="4" w:space="0"/>
                    <w:right w:val="single" w:color="auto" w:sz="4" w:space="0"/>
                  </w:tcBorders>
                  <w:noWrap w:val="0"/>
                  <w:vAlign w:val="center"/>
                </w:tcPr>
                <w:p>
                  <w:pPr>
                    <w:pStyle w:val="63"/>
                    <w:snapToGrid w:val="0"/>
                    <w:spacing w:before="0" w:after="0" w:line="240" w:lineRule="auto"/>
                    <w:ind w:firstLine="0"/>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7" w:hRule="atLeast"/>
                <w:jc w:val="center"/>
              </w:trPr>
              <w:tc>
                <w:tcPr>
                  <w:tcW w:w="332"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w:t>
                  </w:r>
                </w:p>
              </w:tc>
              <w:tc>
                <w:tcPr>
                  <w:tcW w:w="956"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运输车辆</w:t>
                  </w:r>
                </w:p>
              </w:tc>
              <w:tc>
                <w:tcPr>
                  <w:tcW w:w="901"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901" w:type="pct"/>
                  <w:tcBorders>
                    <w:top w:val="single" w:color="auto" w:sz="4" w:space="0"/>
                    <w:left w:val="single" w:color="auto" w:sz="4" w:space="0"/>
                    <w:bottom w:val="single" w:color="auto" w:sz="4" w:space="0"/>
                    <w:right w:val="single" w:color="auto" w:sz="4" w:space="0"/>
                  </w:tcBorders>
                  <w:noWrap w:val="0"/>
                  <w:vAlign w:val="center"/>
                </w:tcPr>
                <w:p>
                  <w:pPr>
                    <w:pStyle w:val="63"/>
                    <w:snapToGrid w:val="0"/>
                    <w:spacing w:before="0" w:after="0" w:line="240" w:lineRule="auto"/>
                    <w:ind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70</w:t>
                  </w:r>
                  <w:r>
                    <w:rPr>
                      <w:rFonts w:hint="default" w:ascii="Times New Roman" w:hAnsi="Times New Roman" w:cs="Times New Roman"/>
                      <w:color w:val="auto"/>
                      <w:sz w:val="21"/>
                      <w:szCs w:val="21"/>
                    </w:rPr>
                    <w:t>～85</w:t>
                  </w:r>
                  <w:r>
                    <w:rPr>
                      <w:rFonts w:hint="default" w:ascii="Times New Roman" w:hAnsi="Times New Roman" w:cs="Times New Roman"/>
                      <w:b/>
                      <w:bCs/>
                      <w:color w:val="auto"/>
                      <w:sz w:val="21"/>
                      <w:szCs w:val="21"/>
                    </w:rPr>
                    <w:t xml:space="preserve"> </w:t>
                  </w:r>
                </w:p>
              </w:tc>
              <w:tc>
                <w:tcPr>
                  <w:tcW w:w="1195" w:type="pct"/>
                  <w:tcBorders>
                    <w:top w:val="single" w:color="auto" w:sz="4" w:space="0"/>
                    <w:left w:val="single" w:color="auto" w:sz="4" w:space="0"/>
                    <w:right w:val="single" w:color="auto" w:sz="4" w:space="0"/>
                  </w:tcBorders>
                  <w:noWrap w:val="0"/>
                  <w:vAlign w:val="center"/>
                </w:tcPr>
                <w:p>
                  <w:pPr>
                    <w:pStyle w:val="63"/>
                    <w:snapToGrid w:val="0"/>
                    <w:spacing w:before="0" w:after="0" w:line="240" w:lineRule="auto"/>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加强管理，运输车辆应减速、禁鸣</w:t>
                  </w:r>
                </w:p>
              </w:tc>
              <w:tc>
                <w:tcPr>
                  <w:tcW w:w="713" w:type="pct"/>
                  <w:vMerge w:val="continue"/>
                  <w:tcBorders>
                    <w:left w:val="single" w:color="auto" w:sz="4" w:space="0"/>
                    <w:right w:val="single" w:color="auto" w:sz="4" w:space="0"/>
                  </w:tcBorders>
                  <w:noWrap w:val="0"/>
                  <w:vAlign w:val="center"/>
                </w:tcPr>
                <w:p>
                  <w:pPr>
                    <w:pStyle w:val="63"/>
                    <w:snapToGrid w:val="0"/>
                    <w:spacing w:before="0" w:after="0" w:line="240" w:lineRule="auto"/>
                    <w:ind w:firstLine="0"/>
                    <w:jc w:val="center"/>
                    <w:rPr>
                      <w:rFonts w:hint="default" w:ascii="Times New Roman" w:hAnsi="Times New Roman" w:cs="Times New Roman"/>
                      <w:color w:val="auto"/>
                      <w:sz w:val="21"/>
                      <w:szCs w:val="21"/>
                    </w:rPr>
                  </w:pPr>
                </w:p>
              </w:tc>
            </w:tr>
          </w:tbl>
          <w:p>
            <w:pPr>
              <w:keepNext w:val="0"/>
              <w:keepLines w:val="0"/>
              <w:pageBreakBefore w:val="0"/>
              <w:widowControl/>
              <w:kinsoku/>
              <w:wordWrap/>
              <w:overflowPunct/>
              <w:topLinePunct w:val="0"/>
              <w:autoSpaceDE/>
              <w:autoSpaceDN/>
              <w:bidi w:val="0"/>
              <w:adjustRightInd w:val="0"/>
              <w:snapToGrid w:val="0"/>
              <w:spacing w:before="157" w:beforeLines="50" w:line="360" w:lineRule="auto"/>
              <w:ind w:firstLine="480" w:firstLineChars="200"/>
              <w:textAlignment w:val="auto"/>
              <w:rPr>
                <w:rFonts w:hint="eastAsia" w:ascii="Times New Roman" w:hAnsi="Times New Roman" w:cs="Times New Roman" w:eastAsiaTheme="minorEastAsia"/>
                <w:sz w:val="24"/>
                <w:lang w:eastAsia="zh-CN"/>
              </w:rPr>
            </w:pPr>
            <w:r>
              <w:rPr>
                <w:rFonts w:hint="default" w:ascii="Times New Roman" w:hAnsi="Times New Roman" w:cs="Times New Roman"/>
                <w:sz w:val="24"/>
              </w:rPr>
              <w:t>项目声环境影响预测使用石家庄环安科技有限公司的噪声环境影响评价系统（NoiseSystem）进行噪声预测，预测过程中，各噪声设备在一定的距离处可以被视作点源，设备所处位置、与墙壁的距离、房间常数、与预测点的距离、隔墙厚度等均按实际布设确定，同时考虑了地形因素的影响</w:t>
            </w:r>
            <w:r>
              <w:rPr>
                <w:rFonts w:hint="eastAsia" w:ascii="Times New Roman" w:hAnsi="Times New Roman" w:cs="Times New Roman"/>
                <w:sz w:val="24"/>
                <w:lang w:eastAsia="zh-CN"/>
              </w:rPr>
              <w:t>。</w:t>
            </w:r>
          </w:p>
          <w:p>
            <w:pPr>
              <w:adjustRightInd w:val="0"/>
              <w:snapToGrid w:val="0"/>
              <w:spacing w:line="360" w:lineRule="auto"/>
              <w:ind w:firstLine="480"/>
              <w:rPr>
                <w:rFonts w:ascii="Times New Roman" w:hAnsi="Times New Roman" w:cs="Times New Roman"/>
                <w:b/>
                <w:bCs/>
                <w:color w:val="auto"/>
                <w:szCs w:val="21"/>
              </w:rPr>
            </w:pPr>
            <w:r>
              <w:rPr>
                <w:rFonts w:ascii="Times New Roman" w:hAnsi="Times New Roman" w:cs="Times New Roman"/>
                <w:color w:val="000000" w:themeColor="text1"/>
                <w:sz w:val="24"/>
                <w14:textFill>
                  <w14:solidFill>
                    <w14:schemeClr w14:val="tx1"/>
                  </w14:solidFill>
                </w14:textFill>
              </w:rPr>
              <w:t>项目噪声预</w:t>
            </w:r>
            <w:r>
              <w:rPr>
                <w:rFonts w:ascii="Times New Roman" w:hAnsi="Times New Roman" w:cs="Times New Roman"/>
                <w:color w:val="auto"/>
                <w:sz w:val="24"/>
              </w:rPr>
              <w:t>测结果如下表所示：</w:t>
            </w:r>
          </w:p>
          <w:p>
            <w:pPr>
              <w:widowControl/>
              <w:adjustRightInd w:val="0"/>
              <w:snapToGrid w:val="0"/>
              <w:spacing w:line="360" w:lineRule="auto"/>
              <w:jc w:val="center"/>
              <w:rPr>
                <w:rFonts w:hint="default"/>
                <w:color w:val="auto"/>
                <w:lang w:val="zh-CN"/>
              </w:rPr>
            </w:pPr>
            <w:r>
              <w:rPr>
                <w:rFonts w:ascii="Times New Roman" w:hAnsi="Times New Roman" w:cs="Times New Roman"/>
                <w:b/>
                <w:bCs/>
                <w:color w:val="auto"/>
                <w:szCs w:val="21"/>
              </w:rPr>
              <w:t>表4</w:t>
            </w:r>
            <w:r>
              <w:rPr>
                <w:rFonts w:hint="eastAsia" w:ascii="Times New Roman" w:hAnsi="Times New Roman" w:cs="Times New Roman"/>
                <w:b/>
                <w:bCs/>
                <w:color w:val="auto"/>
                <w:szCs w:val="21"/>
              </w:rPr>
              <w:t>-</w:t>
            </w:r>
            <w:r>
              <w:rPr>
                <w:rFonts w:hint="eastAsia" w:ascii="Times New Roman" w:hAnsi="Times New Roman" w:cs="Times New Roman"/>
                <w:b/>
                <w:bCs/>
                <w:color w:val="auto"/>
                <w:szCs w:val="21"/>
                <w:lang w:val="en-US" w:eastAsia="zh-CN"/>
              </w:rPr>
              <w:t>2</w:t>
            </w:r>
            <w:r>
              <w:rPr>
                <w:rFonts w:ascii="Times New Roman" w:hAnsi="Times New Roman" w:cs="Times New Roman"/>
                <w:b/>
                <w:bCs/>
                <w:color w:val="auto"/>
                <w:szCs w:val="21"/>
              </w:rPr>
              <w:t xml:space="preserve">  </w:t>
            </w:r>
            <w:r>
              <w:rPr>
                <w:rFonts w:hint="default" w:ascii="Times New Roman" w:hAnsi="Times New Roman" w:cs="Times New Roman"/>
                <w:b/>
                <w:color w:val="auto"/>
                <w:sz w:val="21"/>
                <w:szCs w:val="21"/>
              </w:rPr>
              <w:t>项目噪声预测结果一览表</w:t>
            </w:r>
            <w:r>
              <w:rPr>
                <w:rFonts w:hint="eastAsia" w:ascii="Times New Roman" w:hAnsi="Times New Roman" w:cs="Times New Roman"/>
                <w:b/>
                <w:color w:val="auto"/>
                <w:sz w:val="21"/>
                <w:szCs w:val="21"/>
                <w:lang w:val="en-US" w:eastAsia="zh-CN"/>
              </w:rPr>
              <w:t xml:space="preserve"> </w:t>
            </w:r>
            <w:r>
              <w:rPr>
                <w:rFonts w:hint="default" w:ascii="Times New Roman" w:hAnsi="Times New Roman" w:cs="Times New Roman"/>
                <w:b/>
                <w:color w:val="auto"/>
                <w:sz w:val="21"/>
                <w:szCs w:val="21"/>
              </w:rPr>
              <w:t xml:space="preserve"> 单位：</w:t>
            </w:r>
            <w:r>
              <w:rPr>
                <w:rFonts w:hint="default" w:ascii="Times New Roman" w:hAnsi="Times New Roman" w:cs="Times New Roman"/>
                <w:b/>
                <w:color w:val="auto"/>
                <w:sz w:val="18"/>
                <w:szCs w:val="18"/>
              </w:rPr>
              <w:t>dB</w:t>
            </w:r>
          </w:p>
          <w:tbl>
            <w:tblPr>
              <w:tblStyle w:val="24"/>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0"/>
              <w:gridCol w:w="716"/>
              <w:gridCol w:w="900"/>
              <w:gridCol w:w="1050"/>
              <w:gridCol w:w="1033"/>
              <w:gridCol w:w="2866"/>
              <w:gridCol w:w="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4" w:type="pct"/>
                  <w:shd w:val="clear" w:color="auto" w:fill="auto"/>
                  <w:vAlign w:val="center"/>
                </w:tcPr>
                <w:p>
                  <w:pPr>
                    <w:snapToGrid w:val="0"/>
                    <w:spacing w:line="276" w:lineRule="auto"/>
                    <w:jc w:val="center"/>
                    <w:rPr>
                      <w:rFonts w:ascii="Times New Roman" w:hAnsi="Times New Roman" w:cs="Times New Roman"/>
                      <w:b/>
                      <w:color w:val="auto"/>
                      <w:szCs w:val="21"/>
                    </w:rPr>
                  </w:pPr>
                  <w:r>
                    <w:rPr>
                      <w:rFonts w:ascii="Times New Roman" w:hAnsi="Times New Roman" w:cs="Times New Roman"/>
                      <w:b/>
                      <w:color w:val="auto"/>
                      <w:szCs w:val="21"/>
                    </w:rPr>
                    <w:t>点位</w:t>
                  </w:r>
                </w:p>
              </w:tc>
              <w:tc>
                <w:tcPr>
                  <w:tcW w:w="946" w:type="pct"/>
                  <w:gridSpan w:val="2"/>
                  <w:vAlign w:val="center"/>
                </w:tcPr>
                <w:p>
                  <w:pPr>
                    <w:snapToGrid w:val="0"/>
                    <w:spacing w:line="276" w:lineRule="auto"/>
                    <w:jc w:val="center"/>
                    <w:rPr>
                      <w:rFonts w:ascii="Times New Roman" w:hAnsi="Times New Roman" w:cs="Times New Roman"/>
                      <w:b/>
                      <w:color w:val="auto"/>
                      <w:szCs w:val="21"/>
                    </w:rPr>
                  </w:pPr>
                  <w:r>
                    <w:rPr>
                      <w:rFonts w:ascii="Times New Roman" w:hAnsi="Times New Roman" w:cs="Times New Roman"/>
                      <w:b/>
                      <w:color w:val="auto"/>
                      <w:szCs w:val="21"/>
                    </w:rPr>
                    <w:t>贡献值</w:t>
                  </w:r>
                </w:p>
                <w:p>
                  <w:pPr>
                    <w:snapToGrid w:val="0"/>
                    <w:spacing w:line="276" w:lineRule="auto"/>
                    <w:jc w:val="center"/>
                    <w:rPr>
                      <w:rFonts w:ascii="Times New Roman" w:hAnsi="Times New Roman" w:cs="Times New Roman"/>
                      <w:b/>
                      <w:color w:val="auto"/>
                      <w:szCs w:val="21"/>
                    </w:rPr>
                  </w:pPr>
                  <w:r>
                    <w:rPr>
                      <w:rFonts w:ascii="Times New Roman" w:hAnsi="Times New Roman" w:cs="Times New Roman"/>
                      <w:b/>
                      <w:color w:val="auto"/>
                      <w:szCs w:val="21"/>
                    </w:rPr>
                    <w:t>dB</w:t>
                  </w:r>
                </w:p>
              </w:tc>
              <w:tc>
                <w:tcPr>
                  <w:tcW w:w="615" w:type="pct"/>
                  <w:vAlign w:val="center"/>
                </w:tcPr>
                <w:p>
                  <w:pPr>
                    <w:snapToGrid w:val="0"/>
                    <w:spacing w:line="276" w:lineRule="auto"/>
                    <w:jc w:val="center"/>
                    <w:rPr>
                      <w:rFonts w:ascii="Times New Roman" w:hAnsi="Times New Roman" w:cs="Times New Roman"/>
                      <w:b/>
                      <w:color w:val="auto"/>
                      <w:szCs w:val="21"/>
                    </w:rPr>
                  </w:pPr>
                  <w:r>
                    <w:rPr>
                      <w:rFonts w:ascii="Times New Roman" w:hAnsi="Times New Roman" w:cs="Times New Roman"/>
                      <w:b/>
                      <w:color w:val="auto"/>
                      <w:szCs w:val="21"/>
                    </w:rPr>
                    <w:t>背景值</w:t>
                  </w:r>
                </w:p>
                <w:p>
                  <w:pPr>
                    <w:snapToGrid w:val="0"/>
                    <w:spacing w:line="276" w:lineRule="auto"/>
                    <w:jc w:val="center"/>
                    <w:rPr>
                      <w:rFonts w:ascii="Times New Roman" w:hAnsi="Times New Roman" w:cs="Times New Roman"/>
                      <w:b/>
                      <w:color w:val="auto"/>
                      <w:szCs w:val="21"/>
                    </w:rPr>
                  </w:pPr>
                  <w:r>
                    <w:rPr>
                      <w:rFonts w:ascii="Times New Roman" w:hAnsi="Times New Roman" w:cs="Times New Roman"/>
                      <w:b/>
                      <w:color w:val="auto"/>
                      <w:szCs w:val="21"/>
                    </w:rPr>
                    <w:t>dB</w:t>
                  </w:r>
                </w:p>
              </w:tc>
              <w:tc>
                <w:tcPr>
                  <w:tcW w:w="605" w:type="pct"/>
                  <w:vAlign w:val="center"/>
                </w:tcPr>
                <w:p>
                  <w:pPr>
                    <w:snapToGrid w:val="0"/>
                    <w:spacing w:line="276" w:lineRule="auto"/>
                    <w:jc w:val="center"/>
                    <w:rPr>
                      <w:rFonts w:hint="default" w:ascii="Times New Roman" w:hAnsi="Times New Roman" w:cs="Times New Roman" w:eastAsiaTheme="minorEastAsia"/>
                      <w:b/>
                      <w:color w:val="auto"/>
                      <w:szCs w:val="21"/>
                      <w:lang w:val="en-US" w:eastAsia="zh-CN"/>
                    </w:rPr>
                  </w:pPr>
                  <w:r>
                    <w:rPr>
                      <w:rFonts w:hint="eastAsia" w:ascii="Times New Roman" w:hAnsi="Times New Roman" w:cs="Times New Roman"/>
                      <w:b/>
                      <w:color w:val="auto"/>
                      <w:szCs w:val="21"/>
                      <w:lang w:val="en-US" w:eastAsia="zh-CN"/>
                    </w:rPr>
                    <w:t>预测值</w:t>
                  </w:r>
                </w:p>
                <w:p>
                  <w:pPr>
                    <w:snapToGrid w:val="0"/>
                    <w:spacing w:line="276" w:lineRule="auto"/>
                    <w:jc w:val="center"/>
                    <w:rPr>
                      <w:rFonts w:ascii="Times New Roman" w:hAnsi="Times New Roman" w:cs="Times New Roman"/>
                      <w:b/>
                      <w:color w:val="auto"/>
                      <w:szCs w:val="21"/>
                    </w:rPr>
                  </w:pPr>
                  <w:r>
                    <w:rPr>
                      <w:rFonts w:ascii="Times New Roman" w:hAnsi="Times New Roman" w:cs="Times New Roman"/>
                      <w:b/>
                      <w:color w:val="auto"/>
                      <w:szCs w:val="21"/>
                    </w:rPr>
                    <w:t>dB</w:t>
                  </w:r>
                </w:p>
              </w:tc>
              <w:tc>
                <w:tcPr>
                  <w:tcW w:w="1678" w:type="pct"/>
                  <w:vAlign w:val="center"/>
                </w:tcPr>
                <w:p>
                  <w:pPr>
                    <w:snapToGrid w:val="0"/>
                    <w:spacing w:line="276" w:lineRule="auto"/>
                    <w:jc w:val="center"/>
                    <w:rPr>
                      <w:rFonts w:ascii="Times New Roman" w:hAnsi="Times New Roman" w:cs="Times New Roman"/>
                      <w:b/>
                      <w:color w:val="auto"/>
                      <w:szCs w:val="21"/>
                    </w:rPr>
                  </w:pPr>
                  <w:r>
                    <w:rPr>
                      <w:rFonts w:ascii="Times New Roman" w:hAnsi="Times New Roman" w:cs="Times New Roman"/>
                      <w:b/>
                      <w:color w:val="auto"/>
                      <w:szCs w:val="21"/>
                    </w:rPr>
                    <w:t>标准值</w:t>
                  </w:r>
                </w:p>
              </w:tc>
              <w:tc>
                <w:tcPr>
                  <w:tcW w:w="439" w:type="pct"/>
                  <w:shd w:val="clear" w:color="auto" w:fill="auto"/>
                  <w:vAlign w:val="center"/>
                </w:tcPr>
                <w:p>
                  <w:pPr>
                    <w:snapToGrid w:val="0"/>
                    <w:spacing w:line="276" w:lineRule="auto"/>
                    <w:jc w:val="center"/>
                    <w:rPr>
                      <w:rFonts w:ascii="Times New Roman" w:hAnsi="Times New Roman" w:cs="Times New Roman"/>
                      <w:b/>
                      <w:color w:val="auto"/>
                      <w:szCs w:val="21"/>
                    </w:rPr>
                  </w:pPr>
                  <w:r>
                    <w:rPr>
                      <w:rFonts w:ascii="Times New Roman" w:hAnsi="Times New Roman" w:cs="Times New Roman"/>
                      <w:b/>
                      <w:color w:val="auto"/>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4" w:type="pct"/>
                  <w:vMerge w:val="restart"/>
                  <w:shd w:val="clear" w:color="auto" w:fill="auto"/>
                  <w:vAlign w:val="center"/>
                </w:tcPr>
                <w:p>
                  <w:pPr>
                    <w:snapToGrid w:val="0"/>
                    <w:spacing w:line="276" w:lineRule="auto"/>
                    <w:jc w:val="center"/>
                    <w:rPr>
                      <w:rFonts w:ascii="Times New Roman" w:hAnsi="Times New Roman" w:cs="Times New Roman"/>
                      <w:color w:val="auto"/>
                      <w:szCs w:val="21"/>
                    </w:rPr>
                  </w:pPr>
                  <w:r>
                    <w:rPr>
                      <w:rFonts w:ascii="Times New Roman" w:hAnsi="Times New Roman" w:cs="Times New Roman"/>
                      <w:color w:val="auto"/>
                      <w:szCs w:val="21"/>
                    </w:rPr>
                    <w:t>北侧厂界</w:t>
                  </w:r>
                </w:p>
              </w:tc>
              <w:tc>
                <w:tcPr>
                  <w:tcW w:w="419" w:type="pct"/>
                  <w:vAlign w:val="center"/>
                </w:tcPr>
                <w:p>
                  <w:pPr>
                    <w:snapToGrid w:val="0"/>
                    <w:spacing w:line="276" w:lineRule="auto"/>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昼</w:t>
                  </w:r>
                </w:p>
              </w:tc>
              <w:tc>
                <w:tcPr>
                  <w:tcW w:w="527"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等线" w:cs="Times New Roman"/>
                      <w:color w:val="auto"/>
                      <w:sz w:val="21"/>
                      <w:szCs w:val="21"/>
                      <w:lang w:val="en-US" w:eastAsia="zh-CN"/>
                    </w:rPr>
                  </w:pPr>
                  <w:r>
                    <w:rPr>
                      <w:rFonts w:hint="eastAsia" w:ascii="Times New Roman" w:hAnsi="Times New Roman" w:eastAsia="等线" w:cs="Times New Roman"/>
                      <w:color w:val="auto"/>
                      <w:sz w:val="21"/>
                      <w:szCs w:val="21"/>
                      <w:lang w:val="en-US" w:eastAsia="zh-CN"/>
                    </w:rPr>
                    <w:t>15.85</w:t>
                  </w:r>
                </w:p>
              </w:tc>
              <w:tc>
                <w:tcPr>
                  <w:tcW w:w="615" w:type="pct"/>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kern w:val="2"/>
                      <w:sz w:val="21"/>
                      <w:szCs w:val="21"/>
                      <w:lang w:val="en-US" w:eastAsia="zh-CN" w:bidi="ar-SA"/>
                    </w:rPr>
                    <w:t>54.00</w:t>
                  </w:r>
                </w:p>
              </w:tc>
              <w:tc>
                <w:tcPr>
                  <w:tcW w:w="605" w:type="pct"/>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54.00</w:t>
                  </w:r>
                </w:p>
              </w:tc>
              <w:tc>
                <w:tcPr>
                  <w:tcW w:w="1678" w:type="pct"/>
                  <w:vMerge w:val="restart"/>
                  <w:vAlign w:val="center"/>
                </w:tcPr>
                <w:p>
                  <w:pPr>
                    <w:topLinePunct/>
                    <w:adjustRightInd w:val="0"/>
                    <w:snapToGrid w:val="0"/>
                    <w:spacing w:line="276" w:lineRule="auto"/>
                    <w:jc w:val="center"/>
                    <w:textAlignment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厂界噪声</w:t>
                  </w:r>
                  <w:r>
                    <w:rPr>
                      <w:rFonts w:hint="default" w:ascii="Times New Roman" w:hAnsi="Times New Roman" w:cs="Times New Roman"/>
                      <w:color w:val="auto"/>
                      <w:szCs w:val="21"/>
                      <w:lang w:val="en-US" w:eastAsia="zh-CN"/>
                    </w:rPr>
                    <w:t>执行《工业企业厂界环境噪声排放标准》（GB12348-2008）</w:t>
                  </w:r>
                  <w:r>
                    <w:rPr>
                      <w:rFonts w:hint="eastAsia" w:ascii="Times New Roman" w:hAnsi="Times New Roman" w:cs="Times New Roman"/>
                      <w:color w:val="auto"/>
                      <w:szCs w:val="21"/>
                      <w:lang w:val="en-US" w:eastAsia="zh-CN"/>
                    </w:rPr>
                    <w:t>2</w:t>
                  </w:r>
                  <w:r>
                    <w:rPr>
                      <w:rFonts w:hint="default" w:ascii="Times New Roman" w:hAnsi="Times New Roman" w:cs="Times New Roman"/>
                      <w:color w:val="auto"/>
                      <w:szCs w:val="21"/>
                      <w:lang w:val="en-US" w:eastAsia="zh-CN"/>
                    </w:rPr>
                    <w:t>类标准</w:t>
                  </w:r>
                </w:p>
                <w:p>
                  <w:pPr>
                    <w:topLinePunct/>
                    <w:adjustRightInd w:val="0"/>
                    <w:snapToGrid w:val="0"/>
                    <w:spacing w:line="276" w:lineRule="auto"/>
                    <w:jc w:val="center"/>
                    <w:textAlignment w:val="center"/>
                    <w:rPr>
                      <w:rFonts w:ascii="Times New Roman" w:hAnsi="Times New Roman" w:cs="Times New Roman"/>
                      <w:color w:val="auto"/>
                      <w:szCs w:val="21"/>
                    </w:rPr>
                  </w:pPr>
                  <w:r>
                    <w:rPr>
                      <w:rFonts w:hint="default" w:ascii="Times New Roman" w:hAnsi="Times New Roman" w:cs="Times New Roman"/>
                      <w:color w:val="auto"/>
                      <w:szCs w:val="21"/>
                      <w:lang w:val="en-US" w:eastAsia="zh-CN"/>
                    </w:rPr>
                    <w:t>昼间≤60，夜间≤50</w:t>
                  </w:r>
                </w:p>
              </w:tc>
              <w:tc>
                <w:tcPr>
                  <w:tcW w:w="439" w:type="pct"/>
                  <w:vMerge w:val="restart"/>
                  <w:shd w:val="clear" w:color="auto" w:fill="auto"/>
                  <w:vAlign w:val="center"/>
                </w:tcPr>
                <w:p>
                  <w:pPr>
                    <w:snapToGrid w:val="0"/>
                    <w:spacing w:line="276" w:lineRule="auto"/>
                    <w:jc w:val="center"/>
                    <w:rPr>
                      <w:rFonts w:ascii="Times New Roman" w:hAnsi="Times New Roman" w:cs="Times New Roman"/>
                      <w:color w:val="auto"/>
                      <w:szCs w:val="21"/>
                    </w:rPr>
                  </w:pPr>
                  <w:r>
                    <w:rPr>
                      <w:rFonts w:ascii="Times New Roman" w:hAnsi="Times New Roman"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4" w:type="pct"/>
                  <w:vMerge w:val="continue"/>
                  <w:shd w:val="clear" w:color="auto" w:fill="auto"/>
                  <w:vAlign w:val="center"/>
                </w:tcPr>
                <w:p>
                  <w:pPr>
                    <w:snapToGrid w:val="0"/>
                    <w:spacing w:line="276" w:lineRule="auto"/>
                    <w:jc w:val="center"/>
                    <w:rPr>
                      <w:rFonts w:ascii="Times New Roman" w:hAnsi="Times New Roman" w:cs="Times New Roman"/>
                      <w:color w:val="auto"/>
                      <w:szCs w:val="21"/>
                    </w:rPr>
                  </w:pPr>
                </w:p>
              </w:tc>
              <w:tc>
                <w:tcPr>
                  <w:tcW w:w="419" w:type="pct"/>
                  <w:vAlign w:val="center"/>
                </w:tcPr>
                <w:p>
                  <w:pPr>
                    <w:snapToGrid w:val="0"/>
                    <w:spacing w:line="276" w:lineRule="auto"/>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夜</w:t>
                  </w:r>
                </w:p>
              </w:tc>
              <w:tc>
                <w:tcPr>
                  <w:tcW w:w="527"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等线" w:cs="Times New Roman"/>
                      <w:color w:val="auto"/>
                      <w:sz w:val="21"/>
                      <w:szCs w:val="21"/>
                      <w:lang w:val="en-US" w:eastAsia="zh-CN"/>
                    </w:rPr>
                  </w:pPr>
                  <w:r>
                    <w:rPr>
                      <w:rFonts w:hint="eastAsia" w:ascii="Times New Roman" w:hAnsi="Times New Roman" w:eastAsia="等线" w:cs="Times New Roman"/>
                      <w:color w:val="auto"/>
                      <w:sz w:val="21"/>
                      <w:szCs w:val="21"/>
                      <w:lang w:val="en-US" w:eastAsia="zh-CN"/>
                    </w:rPr>
                    <w:t>14.28</w:t>
                  </w:r>
                </w:p>
              </w:tc>
              <w:tc>
                <w:tcPr>
                  <w:tcW w:w="615" w:type="pct"/>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44.20</w:t>
                  </w:r>
                </w:p>
              </w:tc>
              <w:tc>
                <w:tcPr>
                  <w:tcW w:w="605" w:type="pct"/>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44.20</w:t>
                  </w:r>
                </w:p>
              </w:tc>
              <w:tc>
                <w:tcPr>
                  <w:tcW w:w="1678" w:type="pct"/>
                  <w:vMerge w:val="continue"/>
                  <w:vAlign w:val="center"/>
                </w:tcPr>
                <w:p>
                  <w:pPr>
                    <w:topLinePunct/>
                    <w:adjustRightInd w:val="0"/>
                    <w:snapToGrid w:val="0"/>
                    <w:spacing w:line="276" w:lineRule="auto"/>
                    <w:jc w:val="center"/>
                    <w:textAlignment w:val="center"/>
                    <w:rPr>
                      <w:rFonts w:hint="default" w:ascii="Times New Roman" w:hAnsi="Times New Roman" w:cs="Times New Roman"/>
                      <w:color w:val="auto"/>
                      <w:szCs w:val="21"/>
                      <w:lang w:val="en-US" w:eastAsia="zh-CN"/>
                    </w:rPr>
                  </w:pPr>
                </w:p>
              </w:tc>
              <w:tc>
                <w:tcPr>
                  <w:tcW w:w="439" w:type="pct"/>
                  <w:vMerge w:val="continue"/>
                  <w:shd w:val="clear" w:color="auto" w:fill="auto"/>
                  <w:vAlign w:val="center"/>
                </w:tcPr>
                <w:p>
                  <w:pPr>
                    <w:snapToGrid w:val="0"/>
                    <w:spacing w:line="276" w:lineRule="auto"/>
                    <w:jc w:val="center"/>
                    <w:rPr>
                      <w:rFonts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4" w:type="pct"/>
                  <w:vMerge w:val="restart"/>
                  <w:shd w:val="clear" w:color="auto" w:fill="auto"/>
                  <w:vAlign w:val="center"/>
                </w:tcPr>
                <w:p>
                  <w:pPr>
                    <w:snapToGrid w:val="0"/>
                    <w:spacing w:line="276" w:lineRule="auto"/>
                    <w:jc w:val="center"/>
                    <w:rPr>
                      <w:rFonts w:ascii="Times New Roman" w:hAnsi="Times New Roman" w:cs="Times New Roman"/>
                      <w:color w:val="auto"/>
                      <w:szCs w:val="21"/>
                    </w:rPr>
                  </w:pPr>
                  <w:r>
                    <w:rPr>
                      <w:rFonts w:ascii="Times New Roman" w:hAnsi="Times New Roman" w:cs="Times New Roman"/>
                      <w:color w:val="auto"/>
                      <w:szCs w:val="21"/>
                    </w:rPr>
                    <w:t>东侧厂界</w:t>
                  </w:r>
                </w:p>
              </w:tc>
              <w:tc>
                <w:tcPr>
                  <w:tcW w:w="419" w:type="pct"/>
                  <w:vAlign w:val="center"/>
                </w:tcPr>
                <w:p>
                  <w:pPr>
                    <w:snapToGrid w:val="0"/>
                    <w:spacing w:line="276" w:lineRule="auto"/>
                    <w:jc w:val="center"/>
                    <w:rPr>
                      <w:rFonts w:hint="eastAsia" w:ascii="Times New Roman" w:hAnsi="Times New Roman" w:eastAsia="等线" w:cs="Times New Roman"/>
                      <w:color w:val="auto"/>
                      <w:szCs w:val="21"/>
                      <w:lang w:val="en-US" w:eastAsia="zh-CN"/>
                    </w:rPr>
                  </w:pPr>
                  <w:r>
                    <w:rPr>
                      <w:rFonts w:hint="eastAsia" w:ascii="Times New Roman" w:hAnsi="Times New Roman" w:cs="Times New Roman"/>
                      <w:color w:val="auto"/>
                      <w:szCs w:val="21"/>
                      <w:lang w:val="en-US" w:eastAsia="zh-CN"/>
                    </w:rPr>
                    <w:t>昼</w:t>
                  </w:r>
                </w:p>
              </w:tc>
              <w:tc>
                <w:tcPr>
                  <w:tcW w:w="527" w:type="pct"/>
                  <w:vAlign w:val="center"/>
                </w:tcPr>
                <w:p>
                  <w:pPr>
                    <w:keepNext w:val="0"/>
                    <w:keepLines w:val="0"/>
                    <w:widowControl/>
                    <w:suppressLineNumbers w:val="0"/>
                    <w:jc w:val="center"/>
                    <w:rPr>
                      <w:rFonts w:hint="default" w:ascii="Times New Roman" w:hAnsi="Times New Roman" w:eastAsia="等线" w:cs="Times New Roman"/>
                      <w:color w:val="auto"/>
                      <w:sz w:val="21"/>
                      <w:szCs w:val="21"/>
                      <w:lang w:val="en-US" w:eastAsia="zh-CN"/>
                    </w:rPr>
                  </w:pPr>
                  <w:r>
                    <w:rPr>
                      <w:rFonts w:hint="eastAsia" w:ascii="Times New Roman" w:hAnsi="Times New Roman" w:eastAsia="等线" w:cs="Times New Roman"/>
                      <w:color w:val="auto"/>
                      <w:sz w:val="21"/>
                      <w:szCs w:val="21"/>
                      <w:lang w:val="en-US" w:eastAsia="zh-CN"/>
                    </w:rPr>
                    <w:t>37.59</w:t>
                  </w:r>
                </w:p>
              </w:tc>
              <w:tc>
                <w:tcPr>
                  <w:tcW w:w="615" w:type="pct"/>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54.00</w:t>
                  </w:r>
                </w:p>
              </w:tc>
              <w:tc>
                <w:tcPr>
                  <w:tcW w:w="605" w:type="pct"/>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54.10</w:t>
                  </w:r>
                </w:p>
              </w:tc>
              <w:tc>
                <w:tcPr>
                  <w:tcW w:w="1678" w:type="pct"/>
                  <w:vMerge w:val="continue"/>
                  <w:vAlign w:val="center"/>
                </w:tcPr>
                <w:p>
                  <w:pPr>
                    <w:snapToGrid w:val="0"/>
                    <w:spacing w:line="276" w:lineRule="auto"/>
                    <w:jc w:val="center"/>
                    <w:rPr>
                      <w:rFonts w:ascii="Times New Roman" w:hAnsi="Times New Roman" w:cs="Times New Roman"/>
                      <w:color w:val="auto"/>
                      <w:szCs w:val="21"/>
                    </w:rPr>
                  </w:pPr>
                </w:p>
              </w:tc>
              <w:tc>
                <w:tcPr>
                  <w:tcW w:w="439" w:type="pct"/>
                  <w:vMerge w:val="restart"/>
                  <w:shd w:val="clear" w:color="auto" w:fill="auto"/>
                  <w:vAlign w:val="center"/>
                </w:tcPr>
                <w:p>
                  <w:pPr>
                    <w:snapToGrid w:val="0"/>
                    <w:spacing w:line="276" w:lineRule="auto"/>
                    <w:jc w:val="center"/>
                    <w:rPr>
                      <w:rFonts w:ascii="Times New Roman" w:hAnsi="Times New Roman" w:cs="Times New Roman"/>
                      <w:color w:val="auto"/>
                      <w:szCs w:val="21"/>
                    </w:rPr>
                  </w:pPr>
                  <w:r>
                    <w:rPr>
                      <w:rFonts w:ascii="Times New Roman" w:hAnsi="Times New Roman"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4" w:type="pct"/>
                  <w:vMerge w:val="continue"/>
                  <w:shd w:val="clear" w:color="auto" w:fill="auto"/>
                  <w:vAlign w:val="center"/>
                </w:tcPr>
                <w:p>
                  <w:pPr>
                    <w:snapToGrid w:val="0"/>
                    <w:spacing w:line="276" w:lineRule="auto"/>
                    <w:jc w:val="center"/>
                    <w:rPr>
                      <w:rFonts w:ascii="Times New Roman" w:hAnsi="Times New Roman" w:cs="Times New Roman"/>
                      <w:color w:val="auto"/>
                      <w:szCs w:val="21"/>
                    </w:rPr>
                  </w:pPr>
                </w:p>
              </w:tc>
              <w:tc>
                <w:tcPr>
                  <w:tcW w:w="419" w:type="pct"/>
                  <w:vAlign w:val="center"/>
                </w:tcPr>
                <w:p>
                  <w:pPr>
                    <w:snapToGrid w:val="0"/>
                    <w:spacing w:line="276" w:lineRule="auto"/>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夜</w:t>
                  </w:r>
                </w:p>
              </w:tc>
              <w:tc>
                <w:tcPr>
                  <w:tcW w:w="527" w:type="pct"/>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37.54</w:t>
                  </w:r>
                </w:p>
              </w:tc>
              <w:tc>
                <w:tcPr>
                  <w:tcW w:w="615" w:type="pct"/>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44.60</w:t>
                  </w:r>
                </w:p>
              </w:tc>
              <w:tc>
                <w:tcPr>
                  <w:tcW w:w="605" w:type="pct"/>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45.38</w:t>
                  </w:r>
                </w:p>
              </w:tc>
              <w:tc>
                <w:tcPr>
                  <w:tcW w:w="1678" w:type="pct"/>
                  <w:vMerge w:val="continue"/>
                  <w:vAlign w:val="center"/>
                </w:tcPr>
                <w:p>
                  <w:pPr>
                    <w:snapToGrid w:val="0"/>
                    <w:spacing w:line="276" w:lineRule="auto"/>
                    <w:jc w:val="center"/>
                    <w:rPr>
                      <w:rFonts w:ascii="Times New Roman" w:hAnsi="Times New Roman" w:cs="Times New Roman"/>
                      <w:color w:val="auto"/>
                      <w:szCs w:val="21"/>
                    </w:rPr>
                  </w:pPr>
                </w:p>
              </w:tc>
              <w:tc>
                <w:tcPr>
                  <w:tcW w:w="439" w:type="pct"/>
                  <w:vMerge w:val="continue"/>
                  <w:shd w:val="clear" w:color="auto" w:fill="auto"/>
                  <w:vAlign w:val="center"/>
                </w:tcPr>
                <w:p>
                  <w:pPr>
                    <w:snapToGrid w:val="0"/>
                    <w:spacing w:line="276" w:lineRule="auto"/>
                    <w:jc w:val="center"/>
                    <w:rPr>
                      <w:rFonts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4" w:type="pct"/>
                  <w:vMerge w:val="restart"/>
                  <w:shd w:val="clear" w:color="auto" w:fill="auto"/>
                  <w:vAlign w:val="center"/>
                </w:tcPr>
                <w:p>
                  <w:pPr>
                    <w:snapToGrid w:val="0"/>
                    <w:spacing w:line="276" w:lineRule="auto"/>
                    <w:jc w:val="center"/>
                    <w:rPr>
                      <w:rFonts w:ascii="Times New Roman" w:hAnsi="Times New Roman" w:cs="Times New Roman"/>
                      <w:color w:val="auto"/>
                      <w:szCs w:val="21"/>
                    </w:rPr>
                  </w:pPr>
                  <w:r>
                    <w:rPr>
                      <w:rFonts w:hint="eastAsia" w:ascii="Times New Roman" w:hAnsi="Times New Roman" w:cs="Times New Roman"/>
                      <w:color w:val="auto"/>
                      <w:szCs w:val="21"/>
                      <w:lang w:eastAsia="zh-CN"/>
                    </w:rPr>
                    <w:t>南</w:t>
                  </w:r>
                  <w:r>
                    <w:rPr>
                      <w:rFonts w:ascii="Times New Roman" w:hAnsi="Times New Roman" w:cs="Times New Roman"/>
                      <w:color w:val="auto"/>
                      <w:szCs w:val="21"/>
                    </w:rPr>
                    <w:t>侧厂界</w:t>
                  </w:r>
                </w:p>
              </w:tc>
              <w:tc>
                <w:tcPr>
                  <w:tcW w:w="419" w:type="pct"/>
                  <w:vAlign w:val="center"/>
                </w:tcPr>
                <w:p>
                  <w:pPr>
                    <w:snapToGrid w:val="0"/>
                    <w:spacing w:line="276" w:lineRule="auto"/>
                    <w:jc w:val="center"/>
                    <w:rPr>
                      <w:rFonts w:hint="eastAsia" w:ascii="Times New Roman" w:hAnsi="Times New Roman" w:eastAsia="等线" w:cs="Times New Roman"/>
                      <w:color w:val="auto"/>
                      <w:szCs w:val="21"/>
                      <w:lang w:val="en-US" w:eastAsia="zh-CN"/>
                    </w:rPr>
                  </w:pPr>
                  <w:r>
                    <w:rPr>
                      <w:rFonts w:hint="eastAsia" w:ascii="Times New Roman" w:hAnsi="Times New Roman" w:cs="Times New Roman"/>
                      <w:color w:val="auto"/>
                      <w:szCs w:val="21"/>
                      <w:lang w:val="en-US" w:eastAsia="zh-CN"/>
                    </w:rPr>
                    <w:t>昼</w:t>
                  </w:r>
                </w:p>
              </w:tc>
              <w:tc>
                <w:tcPr>
                  <w:tcW w:w="527" w:type="pct"/>
                  <w:vAlign w:val="center"/>
                </w:tcPr>
                <w:p>
                  <w:pPr>
                    <w:keepNext w:val="0"/>
                    <w:keepLines w:val="0"/>
                    <w:widowControl/>
                    <w:suppressLineNumbers w:val="0"/>
                    <w:jc w:val="center"/>
                    <w:rPr>
                      <w:rFonts w:hint="default" w:ascii="Times New Roman" w:hAnsi="Times New Roman" w:eastAsia="等线" w:cs="Times New Roman"/>
                      <w:color w:val="auto"/>
                      <w:sz w:val="21"/>
                      <w:szCs w:val="21"/>
                      <w:lang w:val="en-US" w:eastAsia="zh-CN"/>
                    </w:rPr>
                  </w:pPr>
                  <w:r>
                    <w:rPr>
                      <w:rFonts w:hint="eastAsia" w:ascii="Times New Roman" w:hAnsi="Times New Roman" w:eastAsia="等线" w:cs="Times New Roman"/>
                      <w:color w:val="auto"/>
                      <w:sz w:val="21"/>
                      <w:szCs w:val="21"/>
                      <w:lang w:val="en-US" w:eastAsia="zh-CN"/>
                    </w:rPr>
                    <w:t>24.36</w:t>
                  </w:r>
                </w:p>
              </w:tc>
              <w:tc>
                <w:tcPr>
                  <w:tcW w:w="615" w:type="pct"/>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57.30</w:t>
                  </w:r>
                </w:p>
              </w:tc>
              <w:tc>
                <w:tcPr>
                  <w:tcW w:w="605" w:type="pct"/>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57.30</w:t>
                  </w:r>
                </w:p>
              </w:tc>
              <w:tc>
                <w:tcPr>
                  <w:tcW w:w="1678" w:type="pct"/>
                  <w:vMerge w:val="continue"/>
                  <w:vAlign w:val="center"/>
                </w:tcPr>
                <w:p>
                  <w:pPr>
                    <w:snapToGrid w:val="0"/>
                    <w:spacing w:line="276" w:lineRule="auto"/>
                    <w:jc w:val="center"/>
                    <w:rPr>
                      <w:rFonts w:ascii="Times New Roman" w:hAnsi="Times New Roman" w:cs="Times New Roman"/>
                      <w:color w:val="auto"/>
                      <w:szCs w:val="21"/>
                    </w:rPr>
                  </w:pPr>
                </w:p>
              </w:tc>
              <w:tc>
                <w:tcPr>
                  <w:tcW w:w="439" w:type="pct"/>
                  <w:vMerge w:val="restart"/>
                  <w:shd w:val="clear" w:color="auto" w:fill="auto"/>
                  <w:vAlign w:val="center"/>
                </w:tcPr>
                <w:p>
                  <w:pPr>
                    <w:snapToGrid w:val="0"/>
                    <w:spacing w:line="276" w:lineRule="auto"/>
                    <w:jc w:val="center"/>
                    <w:rPr>
                      <w:rFonts w:ascii="Times New Roman" w:hAnsi="Times New Roman" w:cs="Times New Roman"/>
                      <w:color w:val="auto"/>
                      <w:szCs w:val="21"/>
                    </w:rPr>
                  </w:pPr>
                  <w:r>
                    <w:rPr>
                      <w:rFonts w:ascii="Times New Roman" w:hAnsi="Times New Roman"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4" w:type="pct"/>
                  <w:vMerge w:val="continue"/>
                  <w:shd w:val="clear" w:color="auto" w:fill="auto"/>
                  <w:vAlign w:val="center"/>
                </w:tcPr>
                <w:p>
                  <w:pPr>
                    <w:snapToGrid w:val="0"/>
                    <w:spacing w:line="276" w:lineRule="auto"/>
                    <w:jc w:val="center"/>
                    <w:rPr>
                      <w:rFonts w:ascii="Times New Roman" w:hAnsi="Times New Roman" w:cs="Times New Roman"/>
                      <w:color w:val="auto"/>
                      <w:szCs w:val="21"/>
                    </w:rPr>
                  </w:pPr>
                </w:p>
              </w:tc>
              <w:tc>
                <w:tcPr>
                  <w:tcW w:w="419" w:type="pct"/>
                  <w:vAlign w:val="center"/>
                </w:tcPr>
                <w:p>
                  <w:pPr>
                    <w:snapToGrid w:val="0"/>
                    <w:spacing w:line="276" w:lineRule="auto"/>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夜</w:t>
                  </w:r>
                </w:p>
              </w:tc>
              <w:tc>
                <w:tcPr>
                  <w:tcW w:w="527" w:type="pct"/>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22.61</w:t>
                  </w:r>
                </w:p>
              </w:tc>
              <w:tc>
                <w:tcPr>
                  <w:tcW w:w="615" w:type="pct"/>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47.80</w:t>
                  </w:r>
                </w:p>
              </w:tc>
              <w:tc>
                <w:tcPr>
                  <w:tcW w:w="605" w:type="pct"/>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47.81</w:t>
                  </w:r>
                </w:p>
              </w:tc>
              <w:tc>
                <w:tcPr>
                  <w:tcW w:w="1678" w:type="pct"/>
                  <w:vMerge w:val="continue"/>
                  <w:vAlign w:val="center"/>
                </w:tcPr>
                <w:p>
                  <w:pPr>
                    <w:snapToGrid w:val="0"/>
                    <w:spacing w:line="276" w:lineRule="auto"/>
                    <w:jc w:val="center"/>
                    <w:rPr>
                      <w:rFonts w:ascii="Times New Roman" w:hAnsi="Times New Roman" w:cs="Times New Roman"/>
                      <w:color w:val="auto"/>
                      <w:szCs w:val="21"/>
                    </w:rPr>
                  </w:pPr>
                </w:p>
              </w:tc>
              <w:tc>
                <w:tcPr>
                  <w:tcW w:w="439" w:type="pct"/>
                  <w:vMerge w:val="continue"/>
                  <w:shd w:val="clear" w:color="auto" w:fill="auto"/>
                  <w:vAlign w:val="center"/>
                </w:tcPr>
                <w:p>
                  <w:pPr>
                    <w:snapToGrid w:val="0"/>
                    <w:spacing w:line="276" w:lineRule="auto"/>
                    <w:jc w:val="center"/>
                    <w:rPr>
                      <w:rFonts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4" w:type="pct"/>
                  <w:vMerge w:val="restart"/>
                  <w:shd w:val="clear" w:color="auto" w:fill="auto"/>
                  <w:vAlign w:val="center"/>
                </w:tcPr>
                <w:p>
                  <w:pPr>
                    <w:snapToGrid w:val="0"/>
                    <w:spacing w:line="276" w:lineRule="auto"/>
                    <w:jc w:val="center"/>
                    <w:rPr>
                      <w:rFonts w:ascii="Times New Roman" w:hAnsi="Times New Roman" w:cs="Times New Roman"/>
                      <w:color w:val="auto"/>
                      <w:szCs w:val="21"/>
                    </w:rPr>
                  </w:pPr>
                  <w:r>
                    <w:rPr>
                      <w:rFonts w:ascii="Times New Roman" w:hAnsi="Times New Roman" w:cs="Times New Roman"/>
                      <w:color w:val="auto"/>
                      <w:szCs w:val="21"/>
                    </w:rPr>
                    <w:t>西侧厂界</w:t>
                  </w:r>
                </w:p>
              </w:tc>
              <w:tc>
                <w:tcPr>
                  <w:tcW w:w="419" w:type="pct"/>
                  <w:vAlign w:val="center"/>
                </w:tcPr>
                <w:p>
                  <w:pPr>
                    <w:snapToGrid w:val="0"/>
                    <w:spacing w:line="276" w:lineRule="auto"/>
                    <w:jc w:val="center"/>
                    <w:rPr>
                      <w:rFonts w:hint="eastAsia" w:ascii="Times New Roman" w:hAnsi="Times New Roman" w:eastAsia="等线" w:cs="Times New Roman"/>
                      <w:color w:val="auto"/>
                      <w:szCs w:val="21"/>
                      <w:lang w:val="en-US" w:eastAsia="zh-CN"/>
                    </w:rPr>
                  </w:pPr>
                  <w:r>
                    <w:rPr>
                      <w:rFonts w:hint="eastAsia" w:ascii="Times New Roman" w:hAnsi="Times New Roman" w:cs="Times New Roman"/>
                      <w:color w:val="auto"/>
                      <w:szCs w:val="21"/>
                      <w:lang w:val="en-US" w:eastAsia="zh-CN"/>
                    </w:rPr>
                    <w:t>昼</w:t>
                  </w:r>
                </w:p>
              </w:tc>
              <w:tc>
                <w:tcPr>
                  <w:tcW w:w="527" w:type="pct"/>
                  <w:vAlign w:val="center"/>
                </w:tcPr>
                <w:p>
                  <w:pPr>
                    <w:keepNext w:val="0"/>
                    <w:keepLines w:val="0"/>
                    <w:widowControl/>
                    <w:suppressLineNumbers w:val="0"/>
                    <w:jc w:val="center"/>
                    <w:rPr>
                      <w:rFonts w:hint="default" w:ascii="Times New Roman" w:hAnsi="Times New Roman" w:eastAsia="等线" w:cs="Times New Roman"/>
                      <w:color w:val="auto"/>
                      <w:sz w:val="21"/>
                      <w:szCs w:val="21"/>
                      <w:lang w:val="en-US" w:eastAsia="zh-CN"/>
                    </w:rPr>
                  </w:pPr>
                  <w:r>
                    <w:rPr>
                      <w:rFonts w:hint="eastAsia" w:ascii="Times New Roman" w:hAnsi="Times New Roman" w:eastAsia="等线" w:cs="Times New Roman"/>
                      <w:color w:val="auto"/>
                      <w:sz w:val="21"/>
                      <w:szCs w:val="21"/>
                      <w:lang w:val="en-US" w:eastAsia="zh-CN"/>
                    </w:rPr>
                    <w:t>18.80</w:t>
                  </w:r>
                </w:p>
              </w:tc>
              <w:tc>
                <w:tcPr>
                  <w:tcW w:w="615" w:type="pct"/>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55.70</w:t>
                  </w:r>
                </w:p>
              </w:tc>
              <w:tc>
                <w:tcPr>
                  <w:tcW w:w="605" w:type="pct"/>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55.70</w:t>
                  </w:r>
                </w:p>
              </w:tc>
              <w:tc>
                <w:tcPr>
                  <w:tcW w:w="1678" w:type="pct"/>
                  <w:vMerge w:val="continue"/>
                  <w:vAlign w:val="center"/>
                </w:tcPr>
                <w:p>
                  <w:pPr>
                    <w:snapToGrid w:val="0"/>
                    <w:spacing w:line="276" w:lineRule="auto"/>
                    <w:jc w:val="center"/>
                    <w:rPr>
                      <w:rFonts w:hint="default" w:ascii="Times New Roman" w:hAnsi="Times New Roman" w:cs="Times New Roman"/>
                      <w:color w:val="auto"/>
                      <w:szCs w:val="21"/>
                      <w:lang w:val="en-US"/>
                    </w:rPr>
                  </w:pPr>
                </w:p>
              </w:tc>
              <w:tc>
                <w:tcPr>
                  <w:tcW w:w="439" w:type="pct"/>
                  <w:vMerge w:val="restart"/>
                  <w:shd w:val="clear" w:color="auto" w:fill="auto"/>
                  <w:vAlign w:val="center"/>
                </w:tcPr>
                <w:p>
                  <w:pPr>
                    <w:snapToGrid w:val="0"/>
                    <w:spacing w:line="276" w:lineRule="auto"/>
                    <w:jc w:val="center"/>
                    <w:rPr>
                      <w:rFonts w:ascii="Times New Roman" w:hAnsi="Times New Roman" w:cs="Times New Roman"/>
                      <w:color w:val="auto"/>
                      <w:szCs w:val="21"/>
                    </w:rPr>
                  </w:pPr>
                  <w:r>
                    <w:rPr>
                      <w:rFonts w:ascii="Times New Roman" w:hAnsi="Times New Roman"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4" w:type="pct"/>
                  <w:vMerge w:val="continue"/>
                  <w:shd w:val="clear" w:color="auto" w:fill="auto"/>
                  <w:vAlign w:val="center"/>
                </w:tcPr>
                <w:p>
                  <w:pPr>
                    <w:snapToGrid w:val="0"/>
                    <w:spacing w:line="276" w:lineRule="auto"/>
                    <w:jc w:val="center"/>
                    <w:rPr>
                      <w:rFonts w:ascii="Times New Roman" w:hAnsi="Times New Roman" w:cs="Times New Roman"/>
                      <w:color w:val="auto"/>
                      <w:szCs w:val="21"/>
                    </w:rPr>
                  </w:pPr>
                </w:p>
              </w:tc>
              <w:tc>
                <w:tcPr>
                  <w:tcW w:w="419" w:type="pct"/>
                  <w:vAlign w:val="center"/>
                </w:tcPr>
                <w:p>
                  <w:pPr>
                    <w:snapToGrid w:val="0"/>
                    <w:spacing w:line="276" w:lineRule="auto"/>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夜</w:t>
                  </w:r>
                </w:p>
              </w:tc>
              <w:tc>
                <w:tcPr>
                  <w:tcW w:w="527" w:type="pct"/>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16.96</w:t>
                  </w:r>
                </w:p>
              </w:tc>
              <w:tc>
                <w:tcPr>
                  <w:tcW w:w="615" w:type="pct"/>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46.60</w:t>
                  </w:r>
                </w:p>
              </w:tc>
              <w:tc>
                <w:tcPr>
                  <w:tcW w:w="605" w:type="pct"/>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46.60</w:t>
                  </w:r>
                </w:p>
              </w:tc>
              <w:tc>
                <w:tcPr>
                  <w:tcW w:w="1678" w:type="pct"/>
                  <w:vMerge w:val="continue"/>
                  <w:vAlign w:val="center"/>
                </w:tcPr>
                <w:p>
                  <w:pPr>
                    <w:snapToGrid w:val="0"/>
                    <w:spacing w:line="276" w:lineRule="auto"/>
                    <w:jc w:val="center"/>
                    <w:rPr>
                      <w:rFonts w:ascii="Times New Roman" w:hAnsi="Times New Roman" w:cs="Times New Roman"/>
                      <w:color w:val="auto"/>
                      <w:szCs w:val="21"/>
                    </w:rPr>
                  </w:pPr>
                </w:p>
              </w:tc>
              <w:tc>
                <w:tcPr>
                  <w:tcW w:w="439" w:type="pct"/>
                  <w:vMerge w:val="continue"/>
                  <w:shd w:val="clear" w:color="auto" w:fill="auto"/>
                  <w:vAlign w:val="center"/>
                </w:tcPr>
                <w:p>
                  <w:pPr>
                    <w:snapToGrid w:val="0"/>
                    <w:spacing w:line="276" w:lineRule="auto"/>
                    <w:jc w:val="center"/>
                    <w:rPr>
                      <w:rFonts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4"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val="0"/>
                    <w:ind w:right="0" w:rightChars="0"/>
                    <w:jc w:val="center"/>
                    <w:textAlignment w:val="auto"/>
                    <w:rPr>
                      <w:rFonts w:hint="default" w:ascii="Times New Roman" w:hAnsi="Times New Roman" w:eastAsia="宋体" w:cs="Times New Roman"/>
                      <w:color w:val="auto"/>
                      <w:szCs w:val="21"/>
                    </w:rPr>
                  </w:pPr>
                  <w:r>
                    <w:rPr>
                      <w:rFonts w:hint="eastAsia" w:ascii="Times New Roman" w:hAnsi="Times New Roman" w:eastAsia="宋体" w:cs="Times New Roman"/>
                      <w:color w:val="auto"/>
                      <w:spacing w:val="0"/>
                      <w:sz w:val="21"/>
                      <w:szCs w:val="21"/>
                      <w:lang w:val="en-US" w:eastAsia="zh-CN"/>
                    </w:rPr>
                    <w:t>司家窝铺</w:t>
                  </w:r>
                  <w:r>
                    <w:rPr>
                      <w:rFonts w:hint="default" w:ascii="Times New Roman" w:hAnsi="Times New Roman" w:eastAsia="宋体" w:cs="Times New Roman"/>
                      <w:color w:val="auto"/>
                      <w:spacing w:val="0"/>
                      <w:sz w:val="21"/>
                      <w:szCs w:val="21"/>
                      <w:lang w:val="en-US" w:eastAsia="zh-CN"/>
                    </w:rPr>
                    <w:t>1#</w:t>
                  </w:r>
                </w:p>
              </w:tc>
              <w:tc>
                <w:tcPr>
                  <w:tcW w:w="419" w:type="pct"/>
                  <w:vAlign w:val="center"/>
                </w:tcPr>
                <w:p>
                  <w:pPr>
                    <w:snapToGrid w:val="0"/>
                    <w:spacing w:line="276" w:lineRule="auto"/>
                    <w:jc w:val="center"/>
                    <w:rPr>
                      <w:rFonts w:hint="eastAsia" w:ascii="Times New Roman" w:hAnsi="Times New Roman" w:eastAsia="等线" w:cs="Times New Roman"/>
                      <w:color w:val="auto"/>
                      <w:szCs w:val="21"/>
                      <w:lang w:val="en-US" w:eastAsia="zh-CN"/>
                    </w:rPr>
                  </w:pPr>
                  <w:r>
                    <w:rPr>
                      <w:rFonts w:hint="eastAsia" w:ascii="Times New Roman" w:hAnsi="Times New Roman" w:cs="Times New Roman"/>
                      <w:color w:val="auto"/>
                      <w:szCs w:val="21"/>
                      <w:lang w:val="en-US" w:eastAsia="zh-CN"/>
                    </w:rPr>
                    <w:t>昼</w:t>
                  </w:r>
                </w:p>
              </w:tc>
              <w:tc>
                <w:tcPr>
                  <w:tcW w:w="527"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等线" w:cs="Times New Roman"/>
                      <w:color w:val="auto"/>
                      <w:sz w:val="21"/>
                      <w:szCs w:val="21"/>
                      <w:lang w:val="en-US" w:eastAsia="zh-CN"/>
                    </w:rPr>
                  </w:pPr>
                  <w:r>
                    <w:rPr>
                      <w:rFonts w:hint="eastAsia" w:ascii="Times New Roman" w:hAnsi="Times New Roman" w:eastAsia="等线" w:cs="Times New Roman"/>
                      <w:color w:val="auto"/>
                      <w:sz w:val="21"/>
                      <w:szCs w:val="21"/>
                      <w:lang w:val="en-US" w:eastAsia="zh-CN"/>
                    </w:rPr>
                    <w:t>48.64</w:t>
                  </w:r>
                </w:p>
              </w:tc>
              <w:tc>
                <w:tcPr>
                  <w:tcW w:w="615"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50.40</w:t>
                  </w:r>
                </w:p>
              </w:tc>
              <w:tc>
                <w:tcPr>
                  <w:tcW w:w="605" w:type="pct"/>
                  <w:vAlign w:val="center"/>
                </w:tcPr>
                <w:p>
                  <w:pPr>
                    <w:keepNext w:val="0"/>
                    <w:keepLines w:val="0"/>
                    <w:widowControl/>
                    <w:suppressLineNumbers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52.62</w:t>
                  </w:r>
                </w:p>
              </w:tc>
              <w:tc>
                <w:tcPr>
                  <w:tcW w:w="1678" w:type="pct"/>
                  <w:vMerge w:val="restart"/>
                  <w:vAlign w:val="center"/>
                </w:tcPr>
                <w:p>
                  <w:pPr>
                    <w:snapToGrid w:val="0"/>
                    <w:spacing w:line="276" w:lineRule="auto"/>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《声环境质量标准》（GB3096-2008）2类区标准</w:t>
                  </w:r>
                </w:p>
                <w:p>
                  <w:pPr>
                    <w:snapToGrid w:val="0"/>
                    <w:spacing w:line="276" w:lineRule="auto"/>
                    <w:jc w:val="center"/>
                    <w:rPr>
                      <w:rFonts w:ascii="Times New Roman" w:hAnsi="Times New Roman" w:cs="Times New Roman"/>
                      <w:color w:val="auto"/>
                      <w:szCs w:val="21"/>
                    </w:rPr>
                  </w:pPr>
                  <w:r>
                    <w:rPr>
                      <w:rFonts w:hint="default" w:ascii="Times New Roman" w:hAnsi="Times New Roman" w:cs="Times New Roman"/>
                      <w:color w:val="auto"/>
                      <w:szCs w:val="21"/>
                      <w:lang w:val="en-US" w:eastAsia="zh-CN"/>
                    </w:rPr>
                    <w:t>昼间≤60，夜间≤50</w:t>
                  </w:r>
                </w:p>
              </w:tc>
              <w:tc>
                <w:tcPr>
                  <w:tcW w:w="439" w:type="pct"/>
                  <w:vMerge w:val="restart"/>
                  <w:shd w:val="clear" w:color="auto" w:fill="auto"/>
                  <w:vAlign w:val="center"/>
                </w:tcPr>
                <w:p>
                  <w:pPr>
                    <w:snapToGrid w:val="0"/>
                    <w:spacing w:line="276" w:lineRule="auto"/>
                    <w:jc w:val="center"/>
                    <w:rPr>
                      <w:rFonts w:ascii="Times New Roman" w:hAnsi="Times New Roman" w:cs="Times New Roman"/>
                      <w:color w:val="auto"/>
                      <w:szCs w:val="21"/>
                    </w:rPr>
                  </w:pPr>
                  <w:r>
                    <w:rPr>
                      <w:rFonts w:ascii="Times New Roman" w:hAnsi="Times New Roman"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4"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val="0"/>
                    <w:ind w:right="0" w:rightChars="0"/>
                    <w:jc w:val="center"/>
                    <w:textAlignment w:val="auto"/>
                    <w:rPr>
                      <w:rFonts w:hint="default" w:ascii="Times New Roman" w:hAnsi="Times New Roman" w:eastAsia="宋体" w:cs="Times New Roman"/>
                      <w:color w:val="auto"/>
                      <w:spacing w:val="0"/>
                      <w:sz w:val="21"/>
                      <w:szCs w:val="21"/>
                      <w:lang w:val="en-US" w:eastAsia="zh-CN"/>
                    </w:rPr>
                  </w:pPr>
                </w:p>
              </w:tc>
              <w:tc>
                <w:tcPr>
                  <w:tcW w:w="419" w:type="pct"/>
                  <w:vAlign w:val="center"/>
                </w:tcPr>
                <w:p>
                  <w:pPr>
                    <w:snapToGrid w:val="0"/>
                    <w:spacing w:line="276" w:lineRule="auto"/>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夜</w:t>
                  </w:r>
                </w:p>
              </w:tc>
              <w:tc>
                <w:tcPr>
                  <w:tcW w:w="527"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等线" w:cs="Times New Roman"/>
                      <w:color w:val="auto"/>
                      <w:sz w:val="21"/>
                      <w:szCs w:val="21"/>
                      <w:lang w:val="en-US" w:eastAsia="zh-CN"/>
                    </w:rPr>
                  </w:pPr>
                  <w:r>
                    <w:rPr>
                      <w:rFonts w:hint="eastAsia" w:ascii="Times New Roman" w:hAnsi="Times New Roman" w:eastAsia="等线" w:cs="Times New Roman"/>
                      <w:color w:val="auto"/>
                      <w:sz w:val="21"/>
                      <w:szCs w:val="21"/>
                      <w:lang w:val="en-US" w:eastAsia="zh-CN"/>
                    </w:rPr>
                    <w:t>48.63</w:t>
                  </w:r>
                </w:p>
              </w:tc>
              <w:tc>
                <w:tcPr>
                  <w:tcW w:w="615" w:type="pct"/>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38.30</w:t>
                  </w:r>
                </w:p>
              </w:tc>
              <w:tc>
                <w:tcPr>
                  <w:tcW w:w="605" w:type="pct"/>
                  <w:vAlign w:val="center"/>
                </w:tcPr>
                <w:p>
                  <w:pPr>
                    <w:keepNext w:val="0"/>
                    <w:keepLines w:val="0"/>
                    <w:widowControl/>
                    <w:suppressLineNumbers w:val="0"/>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49.02</w:t>
                  </w:r>
                </w:p>
              </w:tc>
              <w:tc>
                <w:tcPr>
                  <w:tcW w:w="1678" w:type="pct"/>
                  <w:vMerge w:val="continue"/>
                  <w:vAlign w:val="center"/>
                </w:tcPr>
                <w:p>
                  <w:pPr>
                    <w:snapToGrid w:val="0"/>
                    <w:spacing w:line="276" w:lineRule="auto"/>
                    <w:jc w:val="center"/>
                    <w:rPr>
                      <w:rFonts w:hint="eastAsia" w:ascii="Times New Roman" w:hAnsi="Times New Roman" w:cs="Times New Roman"/>
                      <w:color w:val="auto"/>
                      <w:szCs w:val="21"/>
                      <w:lang w:val="en-US" w:eastAsia="zh-CN"/>
                    </w:rPr>
                  </w:pPr>
                </w:p>
              </w:tc>
              <w:tc>
                <w:tcPr>
                  <w:tcW w:w="439" w:type="pct"/>
                  <w:vMerge w:val="continue"/>
                  <w:shd w:val="clear" w:color="auto" w:fill="auto"/>
                  <w:vAlign w:val="center"/>
                </w:tcPr>
                <w:p>
                  <w:pPr>
                    <w:snapToGrid w:val="0"/>
                    <w:spacing w:line="276" w:lineRule="auto"/>
                    <w:jc w:val="center"/>
                    <w:rPr>
                      <w:rFonts w:ascii="Times New Roman" w:hAnsi="Times New Roman" w:cs="Times New Roman"/>
                      <w:color w:val="auto"/>
                      <w:szCs w:val="21"/>
                    </w:rPr>
                  </w:pPr>
                </w:p>
              </w:tc>
            </w:tr>
          </w:tbl>
          <w:p>
            <w:pPr>
              <w:adjustRightInd w:val="0"/>
              <w:snapToGrid w:val="0"/>
              <w:spacing w:before="156" w:beforeLines="50" w:line="360" w:lineRule="auto"/>
              <w:ind w:firstLine="482"/>
              <w:rPr>
                <w:rFonts w:hint="eastAsia"/>
                <w:color w:val="auto"/>
                <w:lang w:eastAsia="zh-CN"/>
              </w:rPr>
            </w:pPr>
            <w:r>
              <w:rPr>
                <w:rFonts w:hint="default" w:ascii="Times New Roman" w:hAnsi="Times New Roman" w:cs="Times New Roman"/>
                <w:color w:val="auto"/>
                <w:kern w:val="0"/>
                <w:sz w:val="24"/>
                <w:szCs w:val="24"/>
                <w:lang w:val="zh-CN"/>
              </w:rPr>
              <w:t>项目</w:t>
            </w:r>
            <w:r>
              <w:rPr>
                <w:rFonts w:hint="eastAsia" w:ascii="Times New Roman" w:hAnsi="Times New Roman" w:cs="Times New Roman"/>
                <w:color w:val="auto"/>
                <w:kern w:val="0"/>
                <w:sz w:val="24"/>
                <w:szCs w:val="24"/>
                <w:lang w:val="zh-CN"/>
              </w:rPr>
              <w:t>运营期</w:t>
            </w:r>
            <w:r>
              <w:rPr>
                <w:rFonts w:hint="default" w:ascii="Times New Roman" w:hAnsi="Times New Roman" w:cs="Times New Roman"/>
                <w:color w:val="auto"/>
                <w:kern w:val="0"/>
                <w:sz w:val="24"/>
                <w:szCs w:val="24"/>
                <w:lang w:val="zh-CN"/>
              </w:rPr>
              <w:t>声级等值线</w:t>
            </w:r>
            <w:r>
              <w:rPr>
                <w:rFonts w:hint="default" w:ascii="Times New Roman" w:hAnsi="Times New Roman" w:cs="Times New Roman"/>
                <w:color w:val="auto"/>
                <w:sz w:val="24"/>
                <w:szCs w:val="24"/>
              </w:rPr>
              <w:t>见</w:t>
            </w:r>
            <w:r>
              <w:rPr>
                <w:rFonts w:hint="eastAsia" w:ascii="Times New Roman" w:hAnsi="Times New Roman" w:cs="Times New Roman"/>
                <w:color w:val="auto"/>
                <w:sz w:val="24"/>
                <w:szCs w:val="24"/>
                <w:lang w:eastAsia="zh-CN"/>
              </w:rPr>
              <w:t>下图：</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color w:val="FF0000"/>
                <w:sz w:val="21"/>
                <w:szCs w:val="21"/>
              </w:rPr>
            </w:pPr>
            <w:r>
              <w:rPr>
                <w:rFonts w:hint="default" w:ascii="Times New Roman" w:hAnsi="Times New Roman" w:eastAsia="宋体" w:cs="Times New Roman"/>
              </w:rPr>
              <w:drawing>
                <wp:inline distT="0" distB="0" distL="114300" distR="114300">
                  <wp:extent cx="5209540" cy="4335145"/>
                  <wp:effectExtent l="0" t="0" r="10160" b="825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8"/>
                          <a:stretch>
                            <a:fillRect/>
                          </a:stretch>
                        </pic:blipFill>
                        <pic:spPr>
                          <a:xfrm>
                            <a:off x="0" y="0"/>
                            <a:ext cx="5209540" cy="43351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cs="Times New Roman" w:eastAsiaTheme="minorEastAsia"/>
                <w:color w:val="auto"/>
                <w:sz w:val="24"/>
                <w:lang w:eastAsia="zh-CN"/>
              </w:rPr>
            </w:pPr>
            <w:r>
              <w:rPr>
                <w:rFonts w:hint="default" w:ascii="Times New Roman" w:hAnsi="Times New Roman" w:cs="Times New Roman"/>
                <w:b/>
                <w:color w:val="auto"/>
                <w:sz w:val="21"/>
                <w:szCs w:val="21"/>
              </w:rPr>
              <w:t>图</w:t>
            </w:r>
            <w:r>
              <w:rPr>
                <w:rFonts w:hint="eastAsia" w:ascii="Times New Roman" w:hAnsi="Times New Roman" w:cs="Times New Roman"/>
                <w:b/>
                <w:color w:val="auto"/>
                <w:sz w:val="21"/>
                <w:szCs w:val="21"/>
                <w:lang w:val="en-US" w:eastAsia="zh-CN"/>
              </w:rPr>
              <w:t>4-1</w:t>
            </w:r>
            <w:r>
              <w:rPr>
                <w:rFonts w:hint="default" w:ascii="Times New Roman" w:hAnsi="Times New Roman" w:cs="Times New Roman"/>
                <w:b/>
                <w:color w:val="auto"/>
                <w:sz w:val="21"/>
                <w:szCs w:val="21"/>
              </w:rPr>
              <w:t xml:space="preserve">  噪声贡献值分布图</w:t>
            </w:r>
          </w:p>
          <w:p>
            <w:pPr>
              <w:pStyle w:val="14"/>
              <w:adjustRightInd w:val="0"/>
              <w:snapToGrid w:val="0"/>
              <w:spacing w:line="360" w:lineRule="auto"/>
              <w:ind w:firstLine="480"/>
              <w:rPr>
                <w:rFonts w:hint="eastAsia" w:ascii="Times New Roman" w:hAnsi="Times New Roman" w:cs="Times New Roman"/>
                <w:sz w:val="24"/>
                <w:lang w:eastAsia="zh-CN"/>
              </w:rPr>
            </w:pPr>
            <w:r>
              <w:rPr>
                <w:rFonts w:hint="eastAsia" w:ascii="Times New Roman" w:hAnsi="Times New Roman" w:cs="Times New Roman"/>
                <w:sz w:val="24"/>
                <w:lang w:eastAsia="zh-CN"/>
              </w:rPr>
              <w:t>根据上表</w:t>
            </w:r>
            <w:r>
              <w:rPr>
                <w:rFonts w:hint="eastAsia" w:ascii="Times New Roman" w:hAnsi="Times New Roman" w:cs="Times New Roman"/>
                <w:sz w:val="24"/>
                <w:lang w:val="en-US" w:eastAsia="zh-CN"/>
              </w:rPr>
              <w:t>预测</w:t>
            </w:r>
            <w:r>
              <w:rPr>
                <w:rFonts w:hint="eastAsia" w:ascii="Times New Roman" w:hAnsi="Times New Roman" w:cs="Times New Roman"/>
                <w:sz w:val="24"/>
                <w:lang w:eastAsia="zh-CN"/>
              </w:rPr>
              <w:t>结果可知，项目四厂界噪声符合</w:t>
            </w:r>
            <w:r>
              <w:rPr>
                <w:rFonts w:hint="default" w:ascii="Times New Roman" w:hAnsi="Times New Roman" w:eastAsia="宋体" w:cs="Times New Roman"/>
                <w:color w:val="auto"/>
                <w:sz w:val="24"/>
                <w:szCs w:val="24"/>
              </w:rPr>
              <w:t>《工业企业厂界环境噪声排放标准》(GB12348-2008)中</w:t>
            </w:r>
            <w:r>
              <w:rPr>
                <w:rFonts w:hint="default" w:ascii="Times New Roman" w:hAnsi="Times New Roman" w:eastAsia="宋体" w:cs="Times New Roman"/>
                <w:color w:val="auto"/>
                <w:sz w:val="24"/>
                <w:szCs w:val="24"/>
                <w:lang w:eastAsia="zh-CN"/>
              </w:rPr>
              <w:t>的</w:t>
            </w:r>
            <w:r>
              <w:rPr>
                <w:rFonts w:hint="default" w:ascii="Times New Roman" w:hAnsi="Times New Roman" w:eastAsia="宋体" w:cs="Times New Roman"/>
                <w:color w:val="auto"/>
                <w:sz w:val="24"/>
                <w:szCs w:val="24"/>
                <w:lang w:val="en-US" w:eastAsia="zh-CN"/>
              </w:rPr>
              <w:t>2类</w:t>
            </w:r>
            <w:r>
              <w:rPr>
                <w:rFonts w:hint="default" w:ascii="Times New Roman" w:hAnsi="Times New Roman" w:eastAsia="宋体" w:cs="Times New Roman"/>
                <w:color w:val="auto"/>
                <w:sz w:val="24"/>
                <w:szCs w:val="24"/>
              </w:rPr>
              <w:t>标准</w:t>
            </w:r>
            <w:r>
              <w:rPr>
                <w:rFonts w:hint="eastAsia" w:ascii="Times New Roman" w:hAnsi="Times New Roman" w:cs="Times New Roman"/>
                <w:sz w:val="24"/>
                <w:lang w:eastAsia="zh-CN"/>
              </w:rPr>
              <w:t>。敏感点</w:t>
            </w:r>
            <w:r>
              <w:rPr>
                <w:rFonts w:hint="eastAsia" w:ascii="Times New Roman" w:hAnsi="Times New Roman" w:cs="Times New Roman"/>
                <w:sz w:val="24"/>
                <w:lang w:val="en-US" w:eastAsia="zh-CN"/>
              </w:rPr>
              <w:t>司家窝铺村声环境</w:t>
            </w:r>
            <w:r>
              <w:rPr>
                <w:rFonts w:hint="eastAsia" w:ascii="Times New Roman" w:hAnsi="Times New Roman" w:cs="Times New Roman"/>
                <w:sz w:val="24"/>
                <w:lang w:eastAsia="zh-CN"/>
              </w:rPr>
              <w:t>满足《声环境质量标准》（GB3096-2008）2类区标准要求。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ascii="Times New Roman" w:hAnsi="Times New Roman" w:cs="Times New Roman"/>
                <w:b w:val="0"/>
                <w:bCs w:val="0"/>
                <w:color w:val="auto"/>
                <w:sz w:val="24"/>
              </w:rPr>
            </w:pPr>
            <w:r>
              <w:rPr>
                <w:rFonts w:hint="eastAsia" w:ascii="Times New Roman" w:hAnsi="Times New Roman" w:cs="Times New Roman"/>
                <w:b w:val="0"/>
                <w:bCs w:val="0"/>
                <w:color w:val="auto"/>
                <w:sz w:val="24"/>
              </w:rPr>
              <w:t>（</w:t>
            </w:r>
            <w:r>
              <w:rPr>
                <w:rFonts w:hint="eastAsia" w:ascii="Times New Roman" w:hAnsi="Times New Roman" w:cs="Times New Roman"/>
                <w:b w:val="0"/>
                <w:bCs w:val="0"/>
                <w:color w:val="auto"/>
                <w:sz w:val="24"/>
                <w:lang w:val="en-US" w:eastAsia="zh-CN"/>
              </w:rPr>
              <w:t>2</w:t>
            </w:r>
            <w:r>
              <w:rPr>
                <w:rFonts w:hint="eastAsia" w:ascii="Times New Roman" w:hAnsi="Times New Roman" w:cs="Times New Roman"/>
                <w:b w:val="0"/>
                <w:bCs w:val="0"/>
                <w:color w:val="auto"/>
                <w:sz w:val="24"/>
              </w:rPr>
              <w:t>）监测要求</w:t>
            </w:r>
          </w:p>
          <w:p>
            <w:pPr>
              <w:adjustRightInd w:val="0"/>
              <w:snapToGrid w:val="0"/>
              <w:spacing w:line="360" w:lineRule="auto"/>
              <w:ind w:firstLine="480"/>
              <w:rPr>
                <w:rFonts w:ascii="Times New Roman" w:hAnsi="Times New Roman" w:cs="Times New Roman"/>
                <w:color w:val="auto"/>
                <w:sz w:val="24"/>
              </w:rPr>
            </w:pPr>
            <w:r>
              <w:rPr>
                <w:rFonts w:hint="eastAsia" w:ascii="Times New Roman" w:hAnsi="Times New Roman" w:cs="Times New Roman"/>
                <w:color w:val="auto"/>
                <w:sz w:val="24"/>
                <w:lang w:val="en-US" w:eastAsia="zh-CN"/>
              </w:rPr>
              <w:t>根据《排污单位自行监测技术指南 火力发电及锅炉》（HJ 820-2017</w:t>
            </w:r>
            <w:r>
              <w:rPr>
                <w:rFonts w:hint="eastAsia" w:ascii="Times New Roman" w:hAnsi="Times New Roman" w:cs="Times New Roman"/>
                <w:color w:val="auto"/>
                <w:sz w:val="24"/>
                <w:lang w:eastAsia="zh-CN"/>
              </w:rPr>
              <w:t>），</w:t>
            </w:r>
            <w:r>
              <w:rPr>
                <w:rFonts w:ascii="Times New Roman" w:hAnsi="Times New Roman" w:cs="Times New Roman"/>
                <w:color w:val="auto"/>
                <w:sz w:val="24"/>
              </w:rPr>
              <w:t>项目</w:t>
            </w:r>
            <w:r>
              <w:rPr>
                <w:rFonts w:hint="eastAsia" w:ascii="Times New Roman" w:hAnsi="Times New Roman" w:cs="Times New Roman"/>
                <w:color w:val="auto"/>
                <w:sz w:val="24"/>
              </w:rPr>
              <w:t>噪声源</w:t>
            </w:r>
            <w:r>
              <w:rPr>
                <w:rFonts w:ascii="Times New Roman" w:hAnsi="Times New Roman" w:cs="Times New Roman"/>
                <w:color w:val="auto"/>
                <w:sz w:val="24"/>
              </w:rPr>
              <w:t>监测要求详见下表：</w:t>
            </w:r>
          </w:p>
          <w:p>
            <w:pPr>
              <w:snapToGrid w:val="0"/>
              <w:spacing w:line="360" w:lineRule="auto"/>
              <w:jc w:val="center"/>
              <w:rPr>
                <w:rFonts w:ascii="Times New Roman" w:hAnsi="Times New Roman" w:cs="Times New Roman"/>
                <w:b/>
                <w:bCs/>
                <w:color w:val="auto"/>
                <w:szCs w:val="21"/>
              </w:rPr>
            </w:pPr>
            <w:r>
              <w:rPr>
                <w:rFonts w:hint="eastAsia" w:ascii="Times New Roman" w:hAnsi="Times New Roman" w:cs="Times New Roman"/>
                <w:b/>
                <w:bCs/>
                <w:color w:val="auto"/>
                <w:szCs w:val="21"/>
              </w:rPr>
              <w:t>表4-</w:t>
            </w:r>
            <w:r>
              <w:rPr>
                <w:rFonts w:hint="eastAsia" w:ascii="Times New Roman" w:hAnsi="Times New Roman" w:cs="Times New Roman"/>
                <w:b/>
                <w:bCs/>
                <w:color w:val="auto"/>
                <w:szCs w:val="21"/>
                <w:lang w:val="en-US" w:eastAsia="zh-CN"/>
              </w:rPr>
              <w:t xml:space="preserve">3 </w:t>
            </w:r>
            <w:r>
              <w:rPr>
                <w:rFonts w:hint="eastAsia" w:ascii="Times New Roman" w:hAnsi="Times New Roman" w:cs="Times New Roman"/>
                <w:b/>
                <w:bCs/>
                <w:color w:val="auto"/>
                <w:szCs w:val="21"/>
              </w:rPr>
              <w:t xml:space="preserve"> 项目噪声源监测要求一览表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1385"/>
              <w:gridCol w:w="1161"/>
              <w:gridCol w:w="1175"/>
              <w:gridCol w:w="3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0" w:type="pct"/>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环境要素</w:t>
                  </w:r>
                </w:p>
              </w:tc>
              <w:tc>
                <w:tcPr>
                  <w:tcW w:w="810" w:type="pct"/>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监测位置</w:t>
                  </w:r>
                </w:p>
              </w:tc>
              <w:tc>
                <w:tcPr>
                  <w:tcW w:w="679" w:type="pct"/>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监测项目</w:t>
                  </w:r>
                </w:p>
              </w:tc>
              <w:tc>
                <w:tcPr>
                  <w:tcW w:w="687" w:type="pct"/>
                  <w:vAlign w:val="center"/>
                </w:tcPr>
                <w:p>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频次</w:t>
                  </w:r>
                </w:p>
              </w:tc>
              <w:tc>
                <w:tcPr>
                  <w:tcW w:w="2162" w:type="pct"/>
                  <w:vAlign w:val="center"/>
                </w:tcPr>
                <w:p>
                  <w:pPr>
                    <w:jc w:val="center"/>
                    <w:rPr>
                      <w:rFonts w:hint="default" w:ascii="Times New Roman" w:hAnsi="Times New Roman" w:eastAsia="宋体" w:cs="Times New Roman"/>
                      <w:b/>
                      <w:color w:val="auto"/>
                      <w:sz w:val="21"/>
                      <w:szCs w:val="21"/>
                    </w:rPr>
                  </w:pPr>
                  <w:r>
                    <w:rPr>
                      <w:rFonts w:hint="default" w:ascii="Times New Roman" w:hAnsi="Times New Roman" w:cs="Times New Roman"/>
                      <w:b/>
                      <w:color w:val="auto"/>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660" w:type="pc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w:t>
                  </w:r>
                </w:p>
              </w:tc>
              <w:tc>
                <w:tcPr>
                  <w:tcW w:w="810" w:type="pc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四厂界外1m处</w:t>
                  </w:r>
                </w:p>
              </w:tc>
              <w:tc>
                <w:tcPr>
                  <w:tcW w:w="679" w:type="pc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Leq</w:t>
                  </w:r>
                </w:p>
              </w:tc>
              <w:tc>
                <w:tcPr>
                  <w:tcW w:w="687" w:type="pc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每</w:t>
                  </w:r>
                  <w:r>
                    <w:rPr>
                      <w:rFonts w:hint="eastAsia" w:ascii="Times New Roman" w:hAnsi="Times New Roman" w:cs="Times New Roman"/>
                      <w:color w:val="auto"/>
                      <w:sz w:val="21"/>
                      <w:szCs w:val="21"/>
                      <w:lang w:val="en-US" w:eastAsia="zh-CN"/>
                    </w:rPr>
                    <w:t>季度</w:t>
                  </w: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次</w:t>
                  </w:r>
                </w:p>
              </w:tc>
              <w:tc>
                <w:tcPr>
                  <w:tcW w:w="2162" w:type="pct"/>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《工业企业厂界环境噪声排放标准》(GB12348-2008)中</w:t>
                  </w:r>
                  <w:r>
                    <w:rPr>
                      <w:rFonts w:hint="default" w:ascii="Times New Roman" w:hAnsi="Times New Roman" w:cs="Times New Roman"/>
                      <w:color w:val="auto"/>
                      <w:sz w:val="21"/>
                      <w:szCs w:val="21"/>
                      <w:lang w:eastAsia="zh-CN"/>
                    </w:rPr>
                    <w:t>的</w:t>
                  </w:r>
                  <w:r>
                    <w:rPr>
                      <w:rFonts w:hint="default" w:ascii="Times New Roman" w:hAnsi="Times New Roman" w:cs="Times New Roman"/>
                      <w:color w:val="auto"/>
                      <w:sz w:val="21"/>
                      <w:szCs w:val="21"/>
                      <w:lang w:val="en-US" w:eastAsia="zh-CN"/>
                    </w:rPr>
                    <w:t>2类</w:t>
                  </w:r>
                  <w:r>
                    <w:rPr>
                      <w:rFonts w:hint="default" w:ascii="Times New Roman" w:hAnsi="Times New Roman" w:cs="Times New Roman"/>
                      <w:color w:val="auto"/>
                      <w:sz w:val="21"/>
                      <w:szCs w:val="21"/>
                    </w:rPr>
                    <w:t>标准</w:t>
                  </w:r>
                </w:p>
              </w:tc>
            </w:tr>
          </w:tbl>
          <w:p>
            <w:pPr>
              <w:keepNext w:val="0"/>
              <w:keepLines w:val="0"/>
              <w:pageBreakBefore w:val="0"/>
              <w:widowControl w:val="0"/>
              <w:kinsoku/>
              <w:wordWrap/>
              <w:overflowPunct/>
              <w:topLinePunct w:val="0"/>
              <w:autoSpaceDE/>
              <w:autoSpaceDN/>
              <w:bidi w:val="0"/>
              <w:adjustRightInd w:val="0"/>
              <w:snapToGrid w:val="0"/>
              <w:spacing w:before="156" w:beforeLines="50" w:line="360" w:lineRule="auto"/>
              <w:ind w:firstLine="482"/>
              <w:textAlignment w:val="auto"/>
              <w:rPr>
                <w:rFonts w:ascii="Times New Roman" w:hAnsi="Times New Roman" w:cs="Times New Roman"/>
                <w:b/>
                <w:bCs/>
                <w:color w:val="000000"/>
                <w:sz w:val="24"/>
              </w:rPr>
            </w:pPr>
            <w:r>
              <w:rPr>
                <w:rFonts w:hint="eastAsia" w:ascii="Times New Roman" w:hAnsi="Times New Roman" w:cs="Times New Roman"/>
                <w:b/>
                <w:bCs/>
                <w:color w:val="000000"/>
                <w:sz w:val="24"/>
              </w:rPr>
              <w:t>4</w:t>
            </w:r>
            <w:r>
              <w:rPr>
                <w:rFonts w:ascii="Times New Roman" w:hAnsi="Times New Roman" w:cs="Times New Roman"/>
                <w:b/>
                <w:bCs/>
                <w:color w:val="000000"/>
                <w:sz w:val="24"/>
              </w:rPr>
              <w:t>、固体废物</w:t>
            </w:r>
          </w:p>
          <w:p>
            <w:pPr>
              <w:pStyle w:val="14"/>
              <w:adjustRightInd w:val="0"/>
              <w:snapToGrid w:val="0"/>
              <w:spacing w:line="360" w:lineRule="auto"/>
              <w:ind w:firstLine="480"/>
              <w:rPr>
                <w:rFonts w:hint="eastAsia" w:ascii="Times New Roman" w:hAnsi="Times New Roman" w:cs="Times New Roman"/>
                <w:sz w:val="24"/>
              </w:rPr>
            </w:pPr>
            <w:r>
              <w:rPr>
                <w:rFonts w:hint="eastAsia" w:ascii="Times New Roman" w:hAnsi="Times New Roman" w:cs="Times New Roman"/>
                <w:sz w:val="24"/>
              </w:rPr>
              <w:t>项目生产运行阶段产生的固体废物为一般工业固体废物炉渣</w:t>
            </w:r>
            <w:r>
              <w:rPr>
                <w:rFonts w:hint="eastAsia" w:ascii="Times New Roman" w:hAnsi="Times New Roman" w:cs="Times New Roman"/>
                <w:sz w:val="24"/>
                <w:lang w:eastAsia="zh-CN"/>
              </w:rPr>
              <w:t>、</w:t>
            </w:r>
            <w:r>
              <w:rPr>
                <w:rFonts w:hint="eastAsia" w:ascii="Times New Roman" w:hAnsi="Times New Roman" w:cs="Times New Roman"/>
                <w:sz w:val="24"/>
                <w:lang w:val="en-US" w:eastAsia="zh-CN"/>
              </w:rPr>
              <w:t>锅炉除尘灰、破碎工序除尘灰、脱硫过程会产生池底固形物MgSO</w:t>
            </w:r>
            <w:r>
              <w:rPr>
                <w:rFonts w:hint="eastAsia" w:ascii="Times New Roman" w:hAnsi="Times New Roman" w:cs="Times New Roman"/>
                <w:sz w:val="24"/>
                <w:vertAlign w:val="subscript"/>
                <w:lang w:val="en-US" w:eastAsia="zh-CN"/>
              </w:rPr>
              <w:t>4</w:t>
            </w:r>
            <w:r>
              <w:rPr>
                <w:rFonts w:hint="eastAsia" w:ascii="Times New Roman" w:hAnsi="Times New Roman" w:cs="Times New Roman"/>
                <w:sz w:val="24"/>
                <w:lang w:val="en-US" w:eastAsia="zh-CN"/>
              </w:rPr>
              <w:t>、废渗透膜</w:t>
            </w:r>
            <w:r>
              <w:rPr>
                <w:rFonts w:hint="eastAsia" w:ascii="Times New Roman" w:hAnsi="Times New Roman" w:cs="Times New Roman"/>
                <w:sz w:val="24"/>
              </w:rPr>
              <w:t>以及危险废物废润滑油、废油桶。</w:t>
            </w:r>
          </w:p>
          <w:p>
            <w:pPr>
              <w:pStyle w:val="14"/>
              <w:numPr>
                <w:ilvl w:val="0"/>
                <w:numId w:val="9"/>
              </w:numPr>
              <w:adjustRightInd w:val="0"/>
              <w:snapToGrid w:val="0"/>
              <w:spacing w:line="360" w:lineRule="auto"/>
              <w:ind w:firstLine="480"/>
              <w:rPr>
                <w:rFonts w:hint="eastAsia" w:ascii="Times New Roman" w:hAnsi="Times New Roman" w:cs="Times New Roman"/>
                <w:sz w:val="24"/>
                <w:lang w:eastAsia="zh-CN"/>
              </w:rPr>
            </w:pPr>
            <w:r>
              <w:rPr>
                <w:rFonts w:hint="eastAsia" w:ascii="Times New Roman" w:hAnsi="Times New Roman" w:cs="Times New Roman"/>
                <w:sz w:val="24"/>
              </w:rPr>
              <w:t>炉渣</w:t>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sz w:val="24"/>
                <w:lang w:eastAsia="zh-CN"/>
              </w:rPr>
            </w:pPr>
            <w:r>
              <w:rPr>
                <w:rFonts w:hint="default" w:ascii="Times New Roman" w:hAnsi="Times New Roman" w:eastAsia="宋体" w:cs="Times New Roman"/>
                <w:sz w:val="24"/>
                <w:szCs w:val="22"/>
                <w:lang w:val="en-US" w:eastAsia="zh-CN"/>
              </w:rPr>
              <w:t>煤质中</w:t>
            </w:r>
            <w:r>
              <w:rPr>
                <w:rFonts w:hint="default" w:ascii="Times New Roman" w:hAnsi="Times New Roman" w:eastAsia="宋体" w:cs="Times New Roman"/>
                <w:sz w:val="24"/>
                <w:szCs w:val="22"/>
              </w:rPr>
              <w:t>收到基灰份</w:t>
            </w:r>
            <w:r>
              <w:rPr>
                <w:rFonts w:hint="default" w:ascii="Times New Roman" w:hAnsi="Times New Roman" w:eastAsia="宋体" w:cs="Times New Roman"/>
                <w:sz w:val="24"/>
                <w:szCs w:val="22"/>
                <w:lang w:val="en-US" w:eastAsia="zh-CN"/>
              </w:rPr>
              <w:t>A为</w:t>
            </w:r>
            <w:r>
              <w:rPr>
                <w:rFonts w:hint="eastAsia" w:ascii="Times New Roman" w:hAnsi="Times New Roman" w:cs="Times New Roman"/>
                <w:sz w:val="24"/>
                <w:szCs w:val="22"/>
                <w:lang w:val="en-US" w:eastAsia="zh-CN"/>
              </w:rPr>
              <w:t>17.69</w:t>
            </w:r>
            <w:r>
              <w:rPr>
                <w:rFonts w:hint="default" w:ascii="Times New Roman" w:hAnsi="Times New Roman" w:eastAsia="宋体" w:cs="Times New Roman"/>
                <w:sz w:val="24"/>
                <w:szCs w:val="22"/>
                <w:lang w:val="en-US" w:eastAsia="zh-CN"/>
              </w:rPr>
              <w:t>%，</w:t>
            </w:r>
            <w:r>
              <w:rPr>
                <w:rFonts w:hint="default" w:ascii="Times New Roman" w:hAnsi="Times New Roman" w:eastAsia="宋体" w:cs="Times New Roman"/>
                <w:sz w:val="24"/>
                <w:szCs w:val="22"/>
              </w:rPr>
              <w:t>根据《</w:t>
            </w:r>
            <w:r>
              <w:rPr>
                <w:rFonts w:hint="default" w:ascii="Times New Roman" w:hAnsi="Times New Roman" w:eastAsia="宋体" w:cs="Times New Roman"/>
                <w:sz w:val="24"/>
                <w:szCs w:val="22"/>
                <w:lang w:val="en-US" w:eastAsia="zh-CN"/>
              </w:rPr>
              <w:t>排放源统计调查产排污核算方法和系数手册</w:t>
            </w:r>
            <w:r>
              <w:rPr>
                <w:rFonts w:hint="default" w:ascii="Times New Roman" w:hAnsi="Times New Roman" w:eastAsia="宋体" w:cs="Times New Roman"/>
                <w:sz w:val="24"/>
                <w:szCs w:val="22"/>
              </w:rPr>
              <w:t>》</w:t>
            </w:r>
            <w:r>
              <w:rPr>
                <w:rFonts w:hint="eastAsia" w:ascii="Times New Roman" w:hAnsi="Times New Roman" w:eastAsia="宋体" w:cs="Times New Roman"/>
                <w:sz w:val="24"/>
                <w:szCs w:val="22"/>
                <w:lang w:eastAsia="zh-CN"/>
              </w:rPr>
              <w:t>中</w:t>
            </w:r>
            <w:r>
              <w:rPr>
                <w:rFonts w:hint="default" w:ascii="Times New Roman" w:hAnsi="Times New Roman" w:eastAsia="宋体" w:cs="Times New Roman"/>
                <w:sz w:val="24"/>
                <w:szCs w:val="22"/>
                <w:lang w:val="en-US" w:eastAsia="zh-CN"/>
              </w:rPr>
              <w:t>锅炉产排污量核算系数手册</w:t>
            </w:r>
            <w:r>
              <w:rPr>
                <w:rFonts w:hint="default" w:ascii="Times New Roman" w:hAnsi="Times New Roman" w:eastAsia="宋体" w:cs="Times New Roman"/>
                <w:sz w:val="24"/>
                <w:szCs w:val="22"/>
              </w:rPr>
              <w:t>，炉渣</w:t>
            </w:r>
            <w:r>
              <w:rPr>
                <w:rFonts w:hint="default" w:ascii="Times New Roman" w:hAnsi="Times New Roman" w:eastAsia="宋体" w:cs="Times New Roman"/>
                <w:sz w:val="24"/>
                <w:szCs w:val="22"/>
                <w:lang w:val="en-US" w:eastAsia="zh-CN"/>
              </w:rPr>
              <w:t>产生量为</w:t>
            </w:r>
            <w:r>
              <w:rPr>
                <w:rFonts w:hint="eastAsia" w:ascii="Times New Roman" w:hAnsi="Times New Roman" w:cs="Times New Roman"/>
                <w:sz w:val="24"/>
                <w:lang w:val="en-US" w:eastAsia="zh-CN"/>
              </w:rPr>
              <w:t>5.25A</w:t>
            </w:r>
            <w:r>
              <w:rPr>
                <w:rFonts w:hint="default" w:ascii="Times New Roman" w:hAnsi="Times New Roman" w:eastAsia="宋体" w:cs="Times New Roman"/>
                <w:sz w:val="24"/>
                <w:szCs w:val="22"/>
                <w:lang w:val="en-US" w:eastAsia="zh-CN"/>
              </w:rPr>
              <w:t>千克/吨原料，原料使用量</w:t>
            </w:r>
            <w:r>
              <w:rPr>
                <w:rFonts w:hint="eastAsia" w:ascii="Times New Roman" w:hAnsi="Times New Roman" w:eastAsia="宋体" w:cs="Times New Roman"/>
                <w:sz w:val="24"/>
                <w:szCs w:val="22"/>
                <w:lang w:val="en-US" w:eastAsia="zh-CN"/>
              </w:rPr>
              <w:t>为9680t/a，</w:t>
            </w:r>
            <w:r>
              <w:rPr>
                <w:rFonts w:hint="default" w:ascii="Times New Roman" w:hAnsi="Times New Roman" w:eastAsia="宋体" w:cs="Times New Roman"/>
                <w:sz w:val="24"/>
                <w:szCs w:val="22"/>
                <w:lang w:val="en-US" w:eastAsia="zh-CN"/>
              </w:rPr>
              <w:t>即</w:t>
            </w:r>
            <w:r>
              <w:rPr>
                <w:rFonts w:hint="default" w:ascii="Times New Roman" w:hAnsi="Times New Roman" w:eastAsia="宋体" w:cs="Times New Roman"/>
                <w:sz w:val="24"/>
                <w:szCs w:val="22"/>
              </w:rPr>
              <w:t>炉渣</w:t>
            </w:r>
            <w:r>
              <w:rPr>
                <w:rFonts w:hint="default" w:ascii="Times New Roman" w:hAnsi="Times New Roman" w:eastAsia="宋体" w:cs="Times New Roman"/>
                <w:sz w:val="24"/>
                <w:szCs w:val="22"/>
                <w:lang w:val="en-US" w:eastAsia="zh-CN"/>
              </w:rPr>
              <w:t>产生量为</w:t>
            </w:r>
            <w:r>
              <w:rPr>
                <w:rFonts w:hint="eastAsia" w:ascii="Times New Roman" w:hAnsi="Times New Roman" w:cs="Times New Roman"/>
                <w:sz w:val="24"/>
                <w:szCs w:val="22"/>
                <w:lang w:val="en-US" w:eastAsia="zh-CN"/>
              </w:rPr>
              <w:t>899</w:t>
            </w:r>
            <w:r>
              <w:rPr>
                <w:rFonts w:hint="default" w:ascii="Times New Roman" w:hAnsi="Times New Roman" w:eastAsia="宋体" w:cs="Times New Roman"/>
                <w:sz w:val="24"/>
                <w:szCs w:val="22"/>
                <w:lang w:val="en-US" w:eastAsia="zh-CN"/>
              </w:rPr>
              <w:t>t/a，集中收集后</w:t>
            </w:r>
            <w:r>
              <w:rPr>
                <w:rFonts w:hint="eastAsia" w:ascii="Times New Roman" w:hAnsi="Times New Roman" w:eastAsia="宋体" w:cs="Times New Roman"/>
                <w:sz w:val="24"/>
                <w:szCs w:val="22"/>
                <w:lang w:val="en-US" w:eastAsia="zh-CN"/>
              </w:rPr>
              <w:t>外售。</w:t>
            </w:r>
          </w:p>
          <w:p>
            <w:pPr>
              <w:pStyle w:val="14"/>
              <w:numPr>
                <w:ilvl w:val="0"/>
                <w:numId w:val="9"/>
              </w:numPr>
              <w:adjustRightInd w:val="0"/>
              <w:snapToGrid w:val="0"/>
              <w:spacing w:line="360" w:lineRule="auto"/>
              <w:ind w:firstLine="480"/>
              <w:rPr>
                <w:rFonts w:ascii="Times New Roman" w:hAnsi="Times New Roman" w:cs="Times New Roman"/>
                <w:color w:val="auto"/>
                <w:sz w:val="24"/>
              </w:rPr>
            </w:pPr>
            <w:r>
              <w:rPr>
                <w:rFonts w:hint="eastAsia" w:ascii="Times New Roman" w:hAnsi="Times New Roman" w:cs="Times New Roman"/>
                <w:color w:val="auto"/>
                <w:sz w:val="24"/>
                <w:lang w:val="en-US" w:eastAsia="zh-CN"/>
              </w:rPr>
              <w:t>锅炉除尘灰</w:t>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cs="Times New Roman"/>
                <w:color w:val="auto"/>
                <w:sz w:val="24"/>
              </w:rPr>
            </w:pPr>
            <w:r>
              <w:rPr>
                <w:rFonts w:hint="default" w:ascii="Times New Roman" w:hAnsi="Times New Roman" w:cs="Times New Roman"/>
                <w:color w:val="auto"/>
                <w:sz w:val="24"/>
                <w:lang w:val="en-US" w:eastAsia="zh-CN"/>
              </w:rPr>
              <w:t>项目锅炉烟尘排放量为1.142t/a，布袋除尘效率取值99.</w:t>
            </w:r>
            <w:r>
              <w:rPr>
                <w:rFonts w:hint="eastAsia" w:ascii="Times New Roman" w:hAnsi="Times New Roman" w:cs="Times New Roman"/>
                <w:color w:val="auto"/>
                <w:sz w:val="24"/>
                <w:lang w:val="en-US" w:eastAsia="zh-CN"/>
              </w:rPr>
              <w:t>9</w:t>
            </w:r>
            <w:r>
              <w:rPr>
                <w:rFonts w:hint="default" w:ascii="Times New Roman" w:hAnsi="Times New Roman" w:cs="Times New Roman"/>
                <w:color w:val="auto"/>
                <w:sz w:val="24"/>
                <w:lang w:val="en-US" w:eastAsia="zh-CN"/>
              </w:rPr>
              <w:t>%，则除尘灰产生量为</w:t>
            </w:r>
            <w:r>
              <w:rPr>
                <w:rFonts w:hint="eastAsia" w:ascii="Times New Roman" w:hAnsi="Times New Roman" w:cs="Times New Roman"/>
                <w:color w:val="auto"/>
                <w:sz w:val="24"/>
                <w:lang w:val="en-US" w:eastAsia="zh-CN"/>
              </w:rPr>
              <w:t>1142</w:t>
            </w:r>
            <w:r>
              <w:rPr>
                <w:rFonts w:hint="default" w:ascii="Times New Roman" w:hAnsi="Times New Roman" w:cs="Times New Roman"/>
                <w:color w:val="auto"/>
                <w:sz w:val="24"/>
                <w:lang w:val="en-US" w:eastAsia="zh-CN"/>
              </w:rPr>
              <w:t>t。</w:t>
            </w:r>
            <w:r>
              <w:rPr>
                <w:rFonts w:hint="default" w:ascii="Times New Roman" w:hAnsi="Times New Roman" w:eastAsia="宋体" w:cs="Times New Roman"/>
                <w:sz w:val="24"/>
                <w:szCs w:val="22"/>
                <w:lang w:val="en-US" w:eastAsia="zh-CN"/>
              </w:rPr>
              <w:t>集中收集后</w:t>
            </w:r>
            <w:r>
              <w:rPr>
                <w:rFonts w:hint="eastAsia" w:ascii="Times New Roman" w:hAnsi="Times New Roman" w:eastAsia="宋体" w:cs="Times New Roman"/>
                <w:sz w:val="24"/>
                <w:szCs w:val="22"/>
                <w:lang w:val="en-US" w:eastAsia="zh-CN"/>
              </w:rPr>
              <w:t>外售</w:t>
            </w:r>
            <w:r>
              <w:rPr>
                <w:rFonts w:ascii="Times New Roman" w:hAnsi="Times New Roman" w:cs="Times New Roman"/>
                <w:color w:val="auto"/>
                <w:sz w:val="24"/>
              </w:rPr>
              <w:t>。</w:t>
            </w:r>
          </w:p>
          <w:p>
            <w:pPr>
              <w:pStyle w:val="14"/>
              <w:numPr>
                <w:ilvl w:val="0"/>
                <w:numId w:val="7"/>
              </w:numPr>
              <w:adjustRightInd w:val="0"/>
              <w:snapToGrid w:val="0"/>
              <w:spacing w:line="360" w:lineRule="auto"/>
              <w:ind w:left="0" w:leftChars="0" w:firstLine="480" w:firstLineChars="200"/>
              <w:rPr>
                <w:rFonts w:hint="eastAsia"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破碎工序除尘灰</w:t>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eastAsia"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破碎工序除尘灰产生量为1.035t/a，收集后作为燃料回用</w:t>
            </w:r>
            <w:r>
              <w:rPr>
                <w:rFonts w:hint="eastAsia" w:ascii="Times New Roman" w:hAnsi="Times New Roman" w:cs="Times New Roman"/>
                <w:color w:val="000000" w:themeColor="text1"/>
                <w:sz w:val="24"/>
                <w:lang w:val="en-US" w:eastAsia="zh-CN"/>
                <w14:textFill>
                  <w14:solidFill>
                    <w14:schemeClr w14:val="tx1"/>
                  </w14:solidFill>
                </w14:textFill>
              </w:rPr>
              <w:t>。</w:t>
            </w:r>
          </w:p>
          <w:p>
            <w:pPr>
              <w:pStyle w:val="14"/>
              <w:numPr>
                <w:ilvl w:val="0"/>
                <w:numId w:val="7"/>
              </w:numPr>
              <w:adjustRightInd w:val="0"/>
              <w:snapToGrid w:val="0"/>
              <w:spacing w:line="360" w:lineRule="auto"/>
              <w:ind w:left="0" w:leftChars="0" w:firstLine="480" w:firstLineChars="200"/>
              <w:rPr>
                <w:rFonts w:hint="eastAsia" w:ascii="Times New Roman" w:hAnsi="Times New Roman" w:cs="Times New Roman" w:eastAsiaTheme="minorEastAsia"/>
                <w:sz w:val="24"/>
                <w:lang w:eastAsia="zh-CN"/>
              </w:rPr>
            </w:pPr>
            <w:r>
              <w:rPr>
                <w:rFonts w:hint="eastAsia" w:ascii="Times New Roman" w:hAnsi="Times New Roman" w:cs="Times New Roman"/>
                <w:sz w:val="24"/>
                <w:lang w:val="en-US" w:eastAsia="zh-CN"/>
              </w:rPr>
              <w:t>脱硫过程会产生池底固形物MgSO</w:t>
            </w:r>
            <w:r>
              <w:rPr>
                <w:rFonts w:hint="eastAsia" w:ascii="Times New Roman" w:hAnsi="Times New Roman" w:cs="Times New Roman"/>
                <w:sz w:val="24"/>
                <w:vertAlign w:val="subscript"/>
                <w:lang w:val="en-US" w:eastAsia="zh-CN"/>
              </w:rPr>
              <w:t>4</w:t>
            </w:r>
          </w:p>
          <w:p>
            <w:pPr>
              <w:pStyle w:val="14"/>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脱</w:t>
            </w:r>
            <w:r>
              <w:rPr>
                <w:rFonts w:hint="eastAsia" w:ascii="Times New Roman" w:hAnsi="Times New Roman" w:cs="Times New Roman"/>
                <w:color w:val="auto"/>
                <w:sz w:val="24"/>
                <w:lang w:val="en-US" w:eastAsia="zh-CN"/>
              </w:rPr>
              <w:t>硫塔产生的固形物MgSO</w:t>
            </w:r>
            <w:r>
              <w:rPr>
                <w:rFonts w:hint="eastAsia" w:ascii="Times New Roman" w:hAnsi="Times New Roman" w:cs="Times New Roman"/>
                <w:color w:val="auto"/>
                <w:sz w:val="24"/>
                <w:vertAlign w:val="subscript"/>
                <w:lang w:val="en-US" w:eastAsia="zh-CN"/>
              </w:rPr>
              <w:t>4</w:t>
            </w:r>
            <w:r>
              <w:rPr>
                <w:rFonts w:hint="eastAsia" w:ascii="Times New Roman" w:hAnsi="Times New Roman" w:cs="Times New Roman"/>
                <w:color w:val="auto"/>
                <w:sz w:val="24"/>
                <w:lang w:val="en-US" w:eastAsia="zh-CN"/>
              </w:rPr>
              <w:t>产生量为258t/a，集中收集后外售。</w:t>
            </w:r>
          </w:p>
          <w:p>
            <w:pPr>
              <w:pStyle w:val="14"/>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废渗透膜</w:t>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废渗透膜每两年更换一次，每次产生量为1t/2a，由厂家回收。</w:t>
            </w:r>
          </w:p>
          <w:p>
            <w:pPr>
              <w:pStyle w:val="14"/>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废润滑油和废油桶</w:t>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项目生产机械设备要进行定期维护保养及维修，该过程会产生一定量的废润滑油和废油桶，废润滑油产生量约为0.</w:t>
            </w:r>
            <w:r>
              <w:rPr>
                <w:rFonts w:hint="eastAsia" w:ascii="Times New Roman" w:hAnsi="Times New Roman" w:eastAsia="宋体" w:cs="Times New Roman"/>
                <w:color w:val="auto"/>
                <w:kern w:val="0"/>
                <w:sz w:val="24"/>
                <w:szCs w:val="24"/>
                <w:lang w:val="en-US" w:eastAsia="zh-CN" w:bidi="ar"/>
              </w:rPr>
              <w:t>2</w:t>
            </w:r>
            <w:r>
              <w:rPr>
                <w:rFonts w:hint="default" w:ascii="Times New Roman" w:hAnsi="Times New Roman" w:eastAsia="宋体" w:cs="Times New Roman"/>
                <w:color w:val="auto"/>
                <w:kern w:val="0"/>
                <w:sz w:val="24"/>
                <w:szCs w:val="24"/>
                <w:lang w:val="en-US" w:eastAsia="zh-CN" w:bidi="ar"/>
              </w:rPr>
              <w:t>t/a，废油桶产生量约为0.</w:t>
            </w:r>
            <w:r>
              <w:rPr>
                <w:rFonts w:hint="eastAsia" w:ascii="Times New Roman" w:hAnsi="Times New Roman" w:eastAsia="宋体" w:cs="Times New Roman"/>
                <w:color w:val="auto"/>
                <w:kern w:val="0"/>
                <w:sz w:val="24"/>
                <w:szCs w:val="24"/>
                <w:lang w:val="en-US" w:eastAsia="zh-CN" w:bidi="ar"/>
              </w:rPr>
              <w:t>1</w:t>
            </w:r>
            <w:r>
              <w:rPr>
                <w:rFonts w:hint="default" w:ascii="Times New Roman" w:hAnsi="Times New Roman" w:eastAsia="宋体" w:cs="Times New Roman"/>
                <w:color w:val="auto"/>
                <w:kern w:val="0"/>
                <w:sz w:val="24"/>
                <w:szCs w:val="24"/>
                <w:lang w:val="en-US" w:eastAsia="zh-CN" w:bidi="ar"/>
              </w:rPr>
              <w:t>t/a</w:t>
            </w:r>
            <w:r>
              <w:rPr>
                <w:rFonts w:hint="eastAsia" w:ascii="Times New Roman" w:hAnsi="Times New Roman" w:eastAsia="宋体" w:cs="Times New Roman"/>
                <w:color w:val="auto"/>
                <w:kern w:val="0"/>
                <w:sz w:val="24"/>
                <w:szCs w:val="24"/>
                <w:lang w:val="en-US" w:eastAsia="zh-CN" w:bidi="ar"/>
              </w:rPr>
              <w:t>。</w:t>
            </w:r>
          </w:p>
          <w:p>
            <w:pPr>
              <w:snapToGrid w:val="0"/>
              <w:spacing w:line="360" w:lineRule="auto"/>
              <w:jc w:val="center"/>
              <w:rPr>
                <w:rFonts w:ascii="Times New Roman" w:hAnsi="Times New Roman" w:cs="Times New Roman"/>
                <w:b/>
                <w:bCs/>
                <w:szCs w:val="21"/>
              </w:rPr>
            </w:pPr>
            <w:r>
              <w:rPr>
                <w:rFonts w:ascii="Times New Roman" w:hAnsi="Times New Roman" w:cs="Times New Roman"/>
                <w:b/>
                <w:bCs/>
                <w:szCs w:val="21"/>
              </w:rPr>
              <w:t>表</w:t>
            </w:r>
            <w:r>
              <w:rPr>
                <w:rFonts w:hint="eastAsia" w:ascii="Times New Roman" w:hAnsi="Times New Roman" w:cs="Times New Roman"/>
                <w:b/>
                <w:bCs/>
                <w:szCs w:val="21"/>
              </w:rPr>
              <w:t>4-</w:t>
            </w:r>
            <w:r>
              <w:rPr>
                <w:rFonts w:hint="eastAsia" w:ascii="Times New Roman" w:hAnsi="Times New Roman" w:cs="Times New Roman"/>
                <w:b/>
                <w:bCs/>
                <w:szCs w:val="21"/>
                <w:lang w:val="en-US" w:eastAsia="zh-CN"/>
              </w:rPr>
              <w:t>4</w:t>
            </w:r>
            <w:r>
              <w:rPr>
                <w:rFonts w:hint="eastAsia" w:ascii="Times New Roman" w:hAnsi="Times New Roman" w:cs="Times New Roman"/>
                <w:b/>
                <w:bCs/>
                <w:szCs w:val="21"/>
              </w:rPr>
              <w:t xml:space="preserve"> </w:t>
            </w:r>
            <w:r>
              <w:rPr>
                <w:rFonts w:ascii="Times New Roman" w:hAnsi="Times New Roman" w:cs="Times New Roman"/>
                <w:b/>
                <w:bCs/>
                <w:szCs w:val="21"/>
              </w:rPr>
              <w:t xml:space="preserve"> 固体废物产生情况一览表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846"/>
              <w:gridCol w:w="568"/>
              <w:gridCol w:w="1197"/>
              <w:gridCol w:w="693"/>
              <w:gridCol w:w="587"/>
              <w:gridCol w:w="657"/>
              <w:gridCol w:w="899"/>
              <w:gridCol w:w="498"/>
              <w:gridCol w:w="1132"/>
              <w:gridCol w:w="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2" w:type="pct"/>
                  <w:vAlign w:val="center"/>
                </w:tcPr>
                <w:p>
                  <w:pPr>
                    <w:jc w:val="center"/>
                    <w:rPr>
                      <w:rFonts w:ascii="Times New Roman" w:hAnsi="Times New Roman" w:cs="Times New Roman"/>
                      <w:b/>
                      <w:bCs/>
                      <w:szCs w:val="21"/>
                    </w:rPr>
                  </w:pPr>
                  <w:r>
                    <w:rPr>
                      <w:rFonts w:ascii="Times New Roman" w:hAnsi="Times New Roman" w:cs="Times New Roman"/>
                      <w:b/>
                      <w:bCs/>
                      <w:szCs w:val="21"/>
                    </w:rPr>
                    <w:t>产生环节</w:t>
                  </w:r>
                </w:p>
              </w:tc>
              <w:tc>
                <w:tcPr>
                  <w:tcW w:w="494" w:type="pct"/>
                  <w:vAlign w:val="center"/>
                </w:tcPr>
                <w:p>
                  <w:pPr>
                    <w:jc w:val="center"/>
                    <w:rPr>
                      <w:rFonts w:ascii="Times New Roman" w:hAnsi="Times New Roman" w:cs="Times New Roman"/>
                      <w:b/>
                      <w:bCs/>
                      <w:szCs w:val="21"/>
                    </w:rPr>
                  </w:pPr>
                  <w:r>
                    <w:rPr>
                      <w:rFonts w:ascii="Times New Roman" w:hAnsi="Times New Roman" w:cs="Times New Roman"/>
                      <w:b/>
                      <w:bCs/>
                      <w:szCs w:val="21"/>
                    </w:rPr>
                    <w:t>名称</w:t>
                  </w:r>
                </w:p>
              </w:tc>
              <w:tc>
                <w:tcPr>
                  <w:tcW w:w="332" w:type="pct"/>
                  <w:vAlign w:val="center"/>
                </w:tcPr>
                <w:p>
                  <w:pPr>
                    <w:jc w:val="center"/>
                    <w:rPr>
                      <w:rFonts w:ascii="Times New Roman" w:hAnsi="Times New Roman" w:cs="Times New Roman"/>
                      <w:b/>
                      <w:bCs/>
                      <w:szCs w:val="21"/>
                    </w:rPr>
                  </w:pPr>
                  <w:r>
                    <w:rPr>
                      <w:rFonts w:ascii="Times New Roman" w:hAnsi="Times New Roman" w:cs="Times New Roman"/>
                      <w:b/>
                      <w:bCs/>
                      <w:szCs w:val="21"/>
                    </w:rPr>
                    <w:t>属性</w:t>
                  </w:r>
                </w:p>
              </w:tc>
              <w:tc>
                <w:tcPr>
                  <w:tcW w:w="699" w:type="pct"/>
                  <w:vAlign w:val="center"/>
                </w:tcPr>
                <w:p>
                  <w:pPr>
                    <w:jc w:val="center"/>
                    <w:rPr>
                      <w:rFonts w:ascii="Times New Roman" w:hAnsi="Times New Roman" w:cs="Times New Roman"/>
                      <w:b/>
                      <w:bCs/>
                      <w:szCs w:val="21"/>
                    </w:rPr>
                  </w:pPr>
                  <w:r>
                    <w:rPr>
                      <w:rFonts w:ascii="Times New Roman" w:hAnsi="Times New Roman" w:cs="Times New Roman"/>
                      <w:b/>
                      <w:bCs/>
                      <w:szCs w:val="21"/>
                    </w:rPr>
                    <w:t>编码</w:t>
                  </w:r>
                </w:p>
              </w:tc>
              <w:tc>
                <w:tcPr>
                  <w:tcW w:w="405" w:type="pct"/>
                  <w:vAlign w:val="center"/>
                </w:tcPr>
                <w:p>
                  <w:pPr>
                    <w:jc w:val="center"/>
                    <w:rPr>
                      <w:rFonts w:ascii="Times New Roman" w:hAnsi="Times New Roman" w:cs="Times New Roman"/>
                      <w:b/>
                      <w:bCs/>
                      <w:szCs w:val="21"/>
                    </w:rPr>
                  </w:pPr>
                  <w:r>
                    <w:rPr>
                      <w:rFonts w:ascii="Times New Roman" w:hAnsi="Times New Roman" w:cs="Times New Roman"/>
                      <w:b/>
                      <w:bCs/>
                      <w:szCs w:val="21"/>
                    </w:rPr>
                    <w:t>主要有毒有害物质名称</w:t>
                  </w:r>
                </w:p>
              </w:tc>
              <w:tc>
                <w:tcPr>
                  <w:tcW w:w="343" w:type="pct"/>
                  <w:vAlign w:val="center"/>
                </w:tcPr>
                <w:p>
                  <w:pPr>
                    <w:jc w:val="center"/>
                    <w:rPr>
                      <w:rFonts w:ascii="Times New Roman" w:hAnsi="Times New Roman" w:cs="Times New Roman"/>
                      <w:b/>
                      <w:bCs/>
                      <w:szCs w:val="21"/>
                    </w:rPr>
                  </w:pPr>
                  <w:r>
                    <w:rPr>
                      <w:rFonts w:ascii="Times New Roman" w:hAnsi="Times New Roman" w:cs="Times New Roman"/>
                      <w:b/>
                      <w:bCs/>
                      <w:szCs w:val="21"/>
                    </w:rPr>
                    <w:t>物理性状</w:t>
                  </w:r>
                </w:p>
              </w:tc>
              <w:tc>
                <w:tcPr>
                  <w:tcW w:w="384" w:type="pct"/>
                  <w:vAlign w:val="center"/>
                </w:tcPr>
                <w:p>
                  <w:pPr>
                    <w:jc w:val="center"/>
                    <w:rPr>
                      <w:rFonts w:ascii="Times New Roman" w:hAnsi="Times New Roman" w:cs="Times New Roman"/>
                      <w:b/>
                      <w:bCs/>
                      <w:szCs w:val="21"/>
                    </w:rPr>
                  </w:pPr>
                  <w:r>
                    <w:rPr>
                      <w:rFonts w:ascii="Times New Roman" w:hAnsi="Times New Roman" w:cs="Times New Roman"/>
                      <w:b/>
                      <w:bCs/>
                      <w:szCs w:val="21"/>
                    </w:rPr>
                    <w:t>环境危险特性</w:t>
                  </w:r>
                </w:p>
              </w:tc>
              <w:tc>
                <w:tcPr>
                  <w:tcW w:w="525" w:type="pct"/>
                  <w:vAlign w:val="center"/>
                </w:tcPr>
                <w:p>
                  <w:pPr>
                    <w:jc w:val="center"/>
                    <w:rPr>
                      <w:rFonts w:ascii="Times New Roman" w:hAnsi="Times New Roman" w:cs="Times New Roman"/>
                      <w:b/>
                      <w:bCs/>
                      <w:szCs w:val="21"/>
                    </w:rPr>
                  </w:pPr>
                  <w:r>
                    <w:rPr>
                      <w:rFonts w:ascii="Times New Roman" w:hAnsi="Times New Roman" w:cs="Times New Roman"/>
                      <w:b/>
                      <w:bCs/>
                      <w:szCs w:val="21"/>
                    </w:rPr>
                    <w:t>年度产生量</w:t>
                  </w:r>
                </w:p>
              </w:tc>
              <w:tc>
                <w:tcPr>
                  <w:tcW w:w="291" w:type="pct"/>
                  <w:vAlign w:val="center"/>
                </w:tcPr>
                <w:p>
                  <w:pPr>
                    <w:jc w:val="center"/>
                    <w:rPr>
                      <w:rFonts w:ascii="Times New Roman" w:hAnsi="Times New Roman" w:cs="Times New Roman"/>
                      <w:b/>
                      <w:bCs/>
                      <w:szCs w:val="21"/>
                    </w:rPr>
                  </w:pPr>
                  <w:r>
                    <w:rPr>
                      <w:rFonts w:ascii="Times New Roman" w:hAnsi="Times New Roman" w:cs="Times New Roman"/>
                      <w:b/>
                      <w:bCs/>
                      <w:szCs w:val="21"/>
                    </w:rPr>
                    <w:t>贮存方式</w:t>
                  </w:r>
                </w:p>
              </w:tc>
              <w:tc>
                <w:tcPr>
                  <w:tcW w:w="661" w:type="pct"/>
                  <w:vAlign w:val="center"/>
                </w:tcPr>
                <w:p>
                  <w:pPr>
                    <w:jc w:val="center"/>
                    <w:rPr>
                      <w:rFonts w:ascii="Times New Roman" w:hAnsi="Times New Roman" w:cs="Times New Roman"/>
                      <w:b/>
                      <w:bCs/>
                      <w:szCs w:val="21"/>
                    </w:rPr>
                  </w:pPr>
                  <w:r>
                    <w:rPr>
                      <w:rFonts w:ascii="Times New Roman" w:hAnsi="Times New Roman" w:cs="Times New Roman"/>
                      <w:b/>
                      <w:bCs/>
                      <w:szCs w:val="21"/>
                    </w:rPr>
                    <w:t>处置方式及去向</w:t>
                  </w:r>
                </w:p>
              </w:tc>
              <w:tc>
                <w:tcPr>
                  <w:tcW w:w="526" w:type="pct"/>
                  <w:vAlign w:val="center"/>
                </w:tcPr>
                <w:p>
                  <w:pPr>
                    <w:jc w:val="center"/>
                    <w:rPr>
                      <w:rFonts w:ascii="Times New Roman" w:hAnsi="Times New Roman" w:cs="Times New Roman"/>
                      <w:b/>
                      <w:bCs/>
                      <w:szCs w:val="21"/>
                    </w:rPr>
                  </w:pPr>
                  <w:r>
                    <w:rPr>
                      <w:rFonts w:hint="eastAsia" w:ascii="Times New Roman" w:hAnsi="Times New Roman" w:cs="Times New Roman"/>
                      <w:b/>
                      <w:bCs/>
                      <w:szCs w:val="21"/>
                    </w:rPr>
                    <w:t>利</w:t>
                  </w:r>
                  <w:r>
                    <w:rPr>
                      <w:rFonts w:ascii="Times New Roman" w:hAnsi="Times New Roman" w:cs="Times New Roman"/>
                      <w:b/>
                      <w:bCs/>
                      <w:szCs w:val="21"/>
                    </w:rPr>
                    <w:t>用或处置量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 w:type="pct"/>
                  <w:vAlign w:val="center"/>
                </w:tcPr>
                <w:p>
                  <w:pPr>
                    <w:adjustRightInd w:val="0"/>
                    <w:snapToGrid w:val="0"/>
                    <w:spacing w:line="240" w:lineRule="atLeast"/>
                    <w:jc w:val="center"/>
                    <w:rPr>
                      <w:rFonts w:ascii="Times New Roman" w:hAnsi="Times New Roman" w:cs="Times New Roman"/>
                      <w:szCs w:val="21"/>
                    </w:rPr>
                  </w:pPr>
                  <w:r>
                    <w:rPr>
                      <w:rFonts w:hint="eastAsia" w:ascii="Times New Roman" w:hAnsi="Times New Roman" w:eastAsia="宋体" w:cs="Times New Roman"/>
                      <w:szCs w:val="21"/>
                    </w:rPr>
                    <w:t>锅炉炉膛</w:t>
                  </w:r>
                </w:p>
              </w:tc>
              <w:tc>
                <w:tcPr>
                  <w:tcW w:w="494" w:type="pct"/>
                  <w:vAlign w:val="center"/>
                </w:tcPr>
                <w:p>
                  <w:pPr>
                    <w:jc w:val="center"/>
                    <w:rPr>
                      <w:rFonts w:ascii="Times New Roman" w:hAnsi="Times New Roman" w:cs="Times New Roman"/>
                      <w:szCs w:val="21"/>
                    </w:rPr>
                  </w:pPr>
                  <w:r>
                    <w:rPr>
                      <w:rFonts w:hint="eastAsia" w:ascii="Times New Roman" w:hAnsi="Times New Roman" w:cs="Times New Roman"/>
                      <w:szCs w:val="21"/>
                    </w:rPr>
                    <w:t>炉渣</w:t>
                  </w:r>
                </w:p>
              </w:tc>
              <w:tc>
                <w:tcPr>
                  <w:tcW w:w="332" w:type="pct"/>
                  <w:vAlign w:val="center"/>
                </w:tcPr>
                <w:p>
                  <w:pPr>
                    <w:jc w:val="center"/>
                    <w:rPr>
                      <w:rFonts w:ascii="Times New Roman" w:hAnsi="Times New Roman" w:cs="Times New Roman"/>
                      <w:szCs w:val="21"/>
                    </w:rPr>
                  </w:pPr>
                  <w:r>
                    <w:rPr>
                      <w:rFonts w:ascii="Times New Roman" w:hAnsi="Times New Roman" w:cs="Times New Roman"/>
                      <w:szCs w:val="21"/>
                    </w:rPr>
                    <w:t>一般工业固体废物</w:t>
                  </w:r>
                </w:p>
              </w:tc>
              <w:tc>
                <w:tcPr>
                  <w:tcW w:w="699" w:type="pct"/>
                  <w:vAlign w:val="center"/>
                </w:tcPr>
                <w:p>
                  <w:pPr>
                    <w:jc w:val="center"/>
                    <w:rPr>
                      <w:rFonts w:hint="default" w:ascii="Times New Roman" w:hAnsi="Times New Roman" w:cs="Times New Roman"/>
                      <w:szCs w:val="21"/>
                      <w:lang w:val="en-US"/>
                    </w:rPr>
                  </w:pPr>
                  <w:r>
                    <w:rPr>
                      <w:rFonts w:hint="eastAsia" w:ascii="Times New Roman" w:hAnsi="Times New Roman" w:cs="Times New Roman"/>
                      <w:szCs w:val="21"/>
                      <w:lang w:val="en-US" w:eastAsia="zh-CN"/>
                    </w:rPr>
                    <w:t>443</w:t>
                  </w:r>
                  <w:r>
                    <w:rPr>
                      <w:rFonts w:hint="eastAsia" w:ascii="Times New Roman" w:hAnsi="Times New Roman" w:cs="Times New Roman"/>
                      <w:szCs w:val="21"/>
                    </w:rPr>
                    <w:t>-9</w:t>
                  </w:r>
                  <w:r>
                    <w:rPr>
                      <w:rFonts w:ascii="Times New Roman" w:hAnsi="Times New Roman" w:cs="Times New Roman"/>
                      <w:szCs w:val="21"/>
                    </w:rPr>
                    <w:t>99</w:t>
                  </w:r>
                  <w:r>
                    <w:rPr>
                      <w:rFonts w:hint="eastAsia" w:ascii="Times New Roman" w:hAnsi="Times New Roman" w:cs="Times New Roman"/>
                      <w:szCs w:val="21"/>
                    </w:rPr>
                    <w:t>-</w:t>
                  </w:r>
                  <w:r>
                    <w:rPr>
                      <w:rFonts w:hint="eastAsia" w:ascii="Times New Roman" w:hAnsi="Times New Roman" w:cs="Times New Roman"/>
                      <w:szCs w:val="21"/>
                      <w:lang w:val="en-US" w:eastAsia="zh-CN"/>
                    </w:rPr>
                    <w:t>64</w:t>
                  </w:r>
                </w:p>
              </w:tc>
              <w:tc>
                <w:tcPr>
                  <w:tcW w:w="405" w:type="pct"/>
                  <w:vAlign w:val="center"/>
                </w:tcPr>
                <w:p>
                  <w:pPr>
                    <w:jc w:val="center"/>
                    <w:rPr>
                      <w:rFonts w:ascii="Times New Roman" w:hAnsi="Times New Roman" w:cs="Times New Roman"/>
                      <w:szCs w:val="21"/>
                    </w:rPr>
                  </w:pPr>
                  <w:r>
                    <w:rPr>
                      <w:rFonts w:ascii="Times New Roman" w:hAnsi="Times New Roman" w:cs="Times New Roman"/>
                      <w:szCs w:val="21"/>
                    </w:rPr>
                    <w:t>颗粒物</w:t>
                  </w:r>
                </w:p>
              </w:tc>
              <w:tc>
                <w:tcPr>
                  <w:tcW w:w="343" w:type="pct"/>
                  <w:vAlign w:val="center"/>
                </w:tcPr>
                <w:p>
                  <w:pPr>
                    <w:jc w:val="center"/>
                    <w:rPr>
                      <w:rFonts w:ascii="Times New Roman" w:hAnsi="Times New Roman" w:cs="Times New Roman"/>
                      <w:szCs w:val="21"/>
                    </w:rPr>
                  </w:pPr>
                  <w:r>
                    <w:rPr>
                      <w:rFonts w:ascii="Times New Roman" w:hAnsi="Times New Roman" w:cs="Times New Roman"/>
                      <w:szCs w:val="21"/>
                    </w:rPr>
                    <w:t>固态</w:t>
                  </w:r>
                </w:p>
              </w:tc>
              <w:tc>
                <w:tcPr>
                  <w:tcW w:w="384" w:type="pct"/>
                  <w:vAlign w:val="center"/>
                </w:tcPr>
                <w:p>
                  <w:pPr>
                    <w:jc w:val="center"/>
                    <w:rPr>
                      <w:rFonts w:ascii="Times New Roman" w:hAnsi="Times New Roman" w:cs="Times New Roman"/>
                      <w:szCs w:val="21"/>
                    </w:rPr>
                  </w:pPr>
                  <w:r>
                    <w:rPr>
                      <w:rFonts w:ascii="Times New Roman" w:hAnsi="Times New Roman" w:cs="Times New Roman"/>
                      <w:szCs w:val="21"/>
                    </w:rPr>
                    <w:t>/</w:t>
                  </w:r>
                </w:p>
              </w:tc>
              <w:tc>
                <w:tcPr>
                  <w:tcW w:w="525" w:type="pct"/>
                  <w:vAlign w:val="center"/>
                </w:tcPr>
                <w:p>
                  <w:pPr>
                    <w:jc w:val="center"/>
                    <w:rPr>
                      <w:rFonts w:ascii="Times New Roman" w:hAnsi="Times New Roman" w:cs="Times New Roman"/>
                      <w:szCs w:val="21"/>
                    </w:rPr>
                  </w:pPr>
                  <w:r>
                    <w:rPr>
                      <w:rFonts w:hint="eastAsia" w:ascii="Times New Roman" w:hAnsi="Times New Roman" w:cs="Times New Roman"/>
                      <w:szCs w:val="21"/>
                      <w:lang w:val="en-US" w:eastAsia="zh-CN"/>
                    </w:rPr>
                    <w:t>899</w:t>
                  </w:r>
                  <w:r>
                    <w:rPr>
                      <w:rFonts w:hint="eastAsia" w:ascii="Times New Roman" w:hAnsi="Times New Roman" w:cs="Times New Roman"/>
                      <w:szCs w:val="21"/>
                    </w:rPr>
                    <w:t>t/a</w:t>
                  </w:r>
                </w:p>
              </w:tc>
              <w:tc>
                <w:tcPr>
                  <w:tcW w:w="291" w:type="pct"/>
                  <w:vAlign w:val="center"/>
                </w:tcPr>
                <w:p>
                  <w:pPr>
                    <w:jc w:val="center"/>
                    <w:rPr>
                      <w:rFonts w:ascii="Times New Roman" w:hAnsi="Times New Roman" w:cs="Times New Roman"/>
                      <w:szCs w:val="21"/>
                    </w:rPr>
                  </w:pPr>
                  <w:r>
                    <w:rPr>
                      <w:rFonts w:ascii="Times New Roman" w:hAnsi="Times New Roman" w:cs="Times New Roman"/>
                      <w:szCs w:val="21"/>
                    </w:rPr>
                    <w:t>袋装</w:t>
                  </w:r>
                </w:p>
              </w:tc>
              <w:tc>
                <w:tcPr>
                  <w:tcW w:w="661" w:type="pct"/>
                  <w:vAlign w:val="center"/>
                </w:tcPr>
                <w:p>
                  <w:pPr>
                    <w:jc w:val="center"/>
                    <w:rPr>
                      <w:rFonts w:ascii="Times New Roman" w:hAnsi="Times New Roman" w:cs="Times New Roman"/>
                      <w:szCs w:val="21"/>
                    </w:rPr>
                  </w:pPr>
                  <w:r>
                    <w:rPr>
                      <w:rFonts w:hint="default" w:ascii="Times New Roman" w:hAnsi="Times New Roman" w:cs="Times New Roman"/>
                      <w:szCs w:val="21"/>
                      <w:lang w:val="en-US" w:eastAsia="zh-CN"/>
                    </w:rPr>
                    <w:t>集中收集后</w:t>
                  </w:r>
                  <w:r>
                    <w:rPr>
                      <w:rFonts w:hint="eastAsia" w:ascii="Times New Roman" w:hAnsi="Times New Roman" w:cs="Times New Roman"/>
                      <w:szCs w:val="21"/>
                      <w:lang w:val="en-US" w:eastAsia="zh-CN"/>
                    </w:rPr>
                    <w:t>外售</w:t>
                  </w:r>
                </w:p>
              </w:tc>
              <w:tc>
                <w:tcPr>
                  <w:tcW w:w="526" w:type="pct"/>
                  <w:vAlign w:val="center"/>
                </w:tcPr>
                <w:p>
                  <w:pPr>
                    <w:jc w:val="center"/>
                    <w:rPr>
                      <w:rFonts w:ascii="Times New Roman" w:hAnsi="Times New Roman" w:cs="Times New Roman"/>
                      <w:szCs w:val="21"/>
                    </w:rPr>
                  </w:pPr>
                  <w:r>
                    <w:rPr>
                      <w:rFonts w:hint="eastAsia" w:ascii="Times New Roman" w:hAnsi="Times New Roman" w:cs="Times New Roman"/>
                      <w:szCs w:val="21"/>
                      <w:lang w:val="en-US" w:eastAsia="zh-CN"/>
                    </w:rPr>
                    <w:t>899</w:t>
                  </w:r>
                  <w:r>
                    <w:rPr>
                      <w:rFonts w:hint="eastAsia" w:ascii="Times New Roman" w:hAnsi="Times New Roman" w:cs="Times New Roman"/>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 w:type="pct"/>
                  <w:vAlign w:val="center"/>
                </w:tcPr>
                <w:p>
                  <w:pPr>
                    <w:adjustRightInd w:val="0"/>
                    <w:snapToGrid w:val="0"/>
                    <w:spacing w:line="240" w:lineRule="atLeast"/>
                    <w:jc w:val="center"/>
                    <w:rPr>
                      <w:rFonts w:ascii="Times New Roman" w:hAnsi="Times New Roman" w:cs="Times New Roman"/>
                      <w:color w:val="FF0000"/>
                      <w:szCs w:val="21"/>
                    </w:rPr>
                  </w:pPr>
                  <w:r>
                    <w:rPr>
                      <w:rFonts w:hint="eastAsia" w:ascii="Times New Roman" w:hAnsi="Times New Roman" w:eastAsia="宋体" w:cs="Times New Roman"/>
                      <w:szCs w:val="21"/>
                      <w:lang w:eastAsia="zh-CN"/>
                    </w:rPr>
                    <w:t>锅炉</w:t>
                  </w:r>
                  <w:r>
                    <w:rPr>
                      <w:rFonts w:hint="eastAsia" w:ascii="Times New Roman" w:hAnsi="Times New Roman" w:eastAsia="宋体" w:cs="Times New Roman"/>
                      <w:szCs w:val="21"/>
                    </w:rPr>
                    <w:t>除尘器布袋</w:t>
                  </w:r>
                </w:p>
              </w:tc>
              <w:tc>
                <w:tcPr>
                  <w:tcW w:w="494"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锅炉</w:t>
                  </w:r>
                  <w:r>
                    <w:rPr>
                      <w:rFonts w:hint="eastAsia" w:ascii="Times New Roman" w:hAnsi="Times New Roman" w:cs="Times New Roman"/>
                      <w:color w:val="000000" w:themeColor="text1"/>
                      <w:szCs w:val="21"/>
                      <w14:textFill>
                        <w14:solidFill>
                          <w14:schemeClr w14:val="tx1"/>
                        </w14:solidFill>
                      </w14:textFill>
                    </w:rPr>
                    <w:t>除尘灰</w:t>
                  </w:r>
                </w:p>
              </w:tc>
              <w:tc>
                <w:tcPr>
                  <w:tcW w:w="332" w:type="pct"/>
                  <w:vAlign w:val="center"/>
                </w:tcPr>
                <w:p>
                  <w:pPr>
                    <w:jc w:val="center"/>
                    <w:rPr>
                      <w:rFonts w:ascii="Times New Roman" w:hAnsi="Times New Roman" w:cs="Times New Roman"/>
                      <w:color w:val="000000" w:themeColor="text1"/>
                      <w:szCs w:val="21"/>
                      <w:highlight w:val="yellow"/>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一般工业固体废物</w:t>
                  </w:r>
                </w:p>
              </w:tc>
              <w:tc>
                <w:tcPr>
                  <w:tcW w:w="699" w:type="pct"/>
                  <w:vAlign w:val="center"/>
                </w:tcPr>
                <w:p>
                  <w:pPr>
                    <w:jc w:val="center"/>
                    <w:rPr>
                      <w:rFonts w:ascii="Times New Roman" w:hAnsi="Times New Roman" w:cs="Times New Roman"/>
                      <w:color w:val="000000" w:themeColor="text1"/>
                      <w:szCs w:val="21"/>
                      <w:highlight w:val="yellow"/>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443</w:t>
                  </w:r>
                  <w:r>
                    <w:rPr>
                      <w:rFonts w:hint="eastAsia" w:ascii="Times New Roman" w:hAnsi="Times New Roman" w:cs="Times New Roman"/>
                      <w:color w:val="000000" w:themeColor="text1"/>
                      <w:szCs w:val="21"/>
                      <w14:textFill>
                        <w14:solidFill>
                          <w14:schemeClr w14:val="tx1"/>
                        </w14:solidFill>
                      </w14:textFill>
                    </w:rPr>
                    <w:t>-9</w:t>
                  </w:r>
                  <w:r>
                    <w:rPr>
                      <w:rFonts w:ascii="Times New Roman" w:hAnsi="Times New Roman" w:cs="Times New Roman"/>
                      <w:color w:val="000000" w:themeColor="text1"/>
                      <w:szCs w:val="21"/>
                      <w14:textFill>
                        <w14:solidFill>
                          <w14:schemeClr w14:val="tx1"/>
                        </w14:solidFill>
                      </w14:textFill>
                    </w:rPr>
                    <w:t>99</w:t>
                  </w:r>
                  <w:r>
                    <w:rPr>
                      <w:rFonts w:hint="eastAsia" w:ascii="Times New Roman" w:hAnsi="Times New Roman" w:cs="Times New Roman"/>
                      <w:color w:val="000000" w:themeColor="text1"/>
                      <w:szCs w:val="21"/>
                      <w14:textFill>
                        <w14:solidFill>
                          <w14:schemeClr w14:val="tx1"/>
                        </w14:solidFill>
                      </w14:textFill>
                    </w:rPr>
                    <w:t>-66</w:t>
                  </w:r>
                </w:p>
              </w:tc>
              <w:tc>
                <w:tcPr>
                  <w:tcW w:w="405"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颗粒物</w:t>
                  </w:r>
                </w:p>
              </w:tc>
              <w:tc>
                <w:tcPr>
                  <w:tcW w:w="343"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固态</w:t>
                  </w:r>
                </w:p>
              </w:tc>
              <w:tc>
                <w:tcPr>
                  <w:tcW w:w="384"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525"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1142t/a</w:t>
                  </w:r>
                </w:p>
              </w:tc>
              <w:tc>
                <w:tcPr>
                  <w:tcW w:w="291"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袋装</w:t>
                  </w:r>
                </w:p>
              </w:tc>
              <w:tc>
                <w:tcPr>
                  <w:tcW w:w="661"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集中收集后</w:t>
                  </w:r>
                  <w:r>
                    <w:rPr>
                      <w:rFonts w:hint="eastAsia" w:ascii="Times New Roman" w:hAnsi="Times New Roman" w:cs="Times New Roman"/>
                      <w:color w:val="000000" w:themeColor="text1"/>
                      <w:szCs w:val="21"/>
                      <w:lang w:val="en-US" w:eastAsia="zh-CN"/>
                      <w14:textFill>
                        <w14:solidFill>
                          <w14:schemeClr w14:val="tx1"/>
                        </w14:solidFill>
                      </w14:textFill>
                    </w:rPr>
                    <w:t>外售</w:t>
                  </w:r>
                </w:p>
              </w:tc>
              <w:tc>
                <w:tcPr>
                  <w:tcW w:w="526"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1142t/a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 w:type="pct"/>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Times New Roman" w:hAnsi="Times New Roman" w:cs="Times New Roman" w:eastAsiaTheme="minorEastAsia"/>
                      <w:smallCaps w:val="0"/>
                      <w:color w:val="FF0000"/>
                      <w:kern w:val="2"/>
                      <w:sz w:val="21"/>
                      <w:szCs w:val="21"/>
                      <w:vertAlign w:val="baseline"/>
                      <w:lang w:val="en-US" w:eastAsia="zh-CN" w:bidi="ar-SA"/>
                    </w:rPr>
                  </w:pPr>
                  <w:r>
                    <w:rPr>
                      <w:rFonts w:hint="eastAsia" w:ascii="Times New Roman" w:hAnsi="Times New Roman"/>
                      <w:color w:val="000000" w:themeColor="text1"/>
                      <w:sz w:val="21"/>
                      <w:szCs w:val="21"/>
                      <w:highlight w:val="none"/>
                      <w:lang w:val="en-US" w:eastAsia="zh-CN"/>
                      <w14:textFill>
                        <w14:solidFill>
                          <w14:schemeClr w14:val="tx1"/>
                        </w14:solidFill>
                      </w14:textFill>
                    </w:rPr>
                    <w:t>脉冲除尘器布袋</w:t>
                  </w:r>
                </w:p>
              </w:tc>
              <w:tc>
                <w:tcPr>
                  <w:tcW w:w="494" w:type="pct"/>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mallCap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除尘器</w:t>
                  </w:r>
                  <w:r>
                    <w:rPr>
                      <w:rFonts w:hint="default" w:ascii="Times New Roman" w:hAnsi="Times New Roman" w:eastAsia="宋体" w:cs="Times New Roman"/>
                      <w:smallCaps w:val="0"/>
                      <w:color w:val="000000" w:themeColor="text1"/>
                      <w:sz w:val="21"/>
                      <w:szCs w:val="21"/>
                      <w:highlight w:val="none"/>
                      <w:vertAlign w:val="baseline"/>
                      <w:lang w:val="en-US" w:eastAsia="zh-CN" w:bidi="ar-SA"/>
                      <w14:textFill>
                        <w14:solidFill>
                          <w14:schemeClr w14:val="tx1"/>
                        </w14:solidFill>
                      </w14:textFill>
                    </w:rPr>
                    <w:t>除尘灰</w:t>
                  </w:r>
                </w:p>
              </w:tc>
              <w:tc>
                <w:tcPr>
                  <w:tcW w:w="332" w:type="pct"/>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both"/>
                    <w:textAlignment w:val="auto"/>
                    <w:rPr>
                      <w:rFonts w:hint="default" w:ascii="Times New Roman" w:hAnsi="Times New Roman" w:eastAsia="宋体" w:cs="Times New Roman"/>
                      <w:smallCap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smallCaps w:val="0"/>
                      <w:color w:val="000000" w:themeColor="text1"/>
                      <w:sz w:val="21"/>
                      <w:szCs w:val="21"/>
                      <w:highlight w:val="none"/>
                      <w:vertAlign w:val="baseline"/>
                      <w:lang w:val="en-US" w:eastAsia="zh-CN" w:bidi="ar-SA"/>
                      <w14:textFill>
                        <w14:solidFill>
                          <w14:schemeClr w14:val="tx1"/>
                        </w14:solidFill>
                      </w14:textFill>
                    </w:rPr>
                    <w:t>一般工业固体废物</w:t>
                  </w:r>
                </w:p>
              </w:tc>
              <w:tc>
                <w:tcPr>
                  <w:tcW w:w="699" w:type="pct"/>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mallCap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eastAsia="宋体" w:cs="Times New Roman"/>
                      <w:smallCaps w:val="0"/>
                      <w:color w:val="000000" w:themeColor="text1"/>
                      <w:kern w:val="2"/>
                      <w:sz w:val="21"/>
                      <w:szCs w:val="21"/>
                      <w:highlight w:val="none"/>
                      <w:vertAlign w:val="baseline"/>
                      <w:lang w:val="en-US" w:eastAsia="zh-CN" w:bidi="ar-SA"/>
                      <w14:textFill>
                        <w14:solidFill>
                          <w14:schemeClr w14:val="tx1"/>
                        </w14:solidFill>
                      </w14:textFill>
                    </w:rPr>
                    <w:t>443-001-66</w:t>
                  </w:r>
                </w:p>
              </w:tc>
              <w:tc>
                <w:tcPr>
                  <w:tcW w:w="405" w:type="pct"/>
                  <w:vAlign w:val="center"/>
                </w:tcPr>
                <w:p>
                  <w:pPr>
                    <w:jc w:val="center"/>
                    <w:rPr>
                      <w:rFonts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颗粒物</w:t>
                  </w:r>
                </w:p>
              </w:tc>
              <w:tc>
                <w:tcPr>
                  <w:tcW w:w="343" w:type="pct"/>
                  <w:vAlign w:val="center"/>
                </w:tcPr>
                <w:p>
                  <w:pPr>
                    <w:jc w:val="center"/>
                    <w:rPr>
                      <w:rFonts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固态</w:t>
                  </w:r>
                </w:p>
              </w:tc>
              <w:tc>
                <w:tcPr>
                  <w:tcW w:w="384" w:type="pct"/>
                  <w:vAlign w:val="center"/>
                </w:tcPr>
                <w:p>
                  <w:pPr>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w:t>
                  </w:r>
                </w:p>
              </w:tc>
              <w:tc>
                <w:tcPr>
                  <w:tcW w:w="525" w:type="pct"/>
                  <w:vAlign w:val="center"/>
                </w:tcPr>
                <w:p>
                  <w:pPr>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1.035t/a</w:t>
                  </w:r>
                </w:p>
              </w:tc>
              <w:tc>
                <w:tcPr>
                  <w:tcW w:w="291" w:type="pct"/>
                  <w:vAlign w:val="center"/>
                </w:tcPr>
                <w:p>
                  <w:pPr>
                    <w:jc w:val="center"/>
                    <w:rPr>
                      <w:rFonts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袋装</w:t>
                  </w:r>
                </w:p>
              </w:tc>
              <w:tc>
                <w:tcPr>
                  <w:tcW w:w="661" w:type="pct"/>
                  <w:vAlign w:val="center"/>
                </w:tcPr>
                <w:p>
                  <w:pPr>
                    <w:jc w:val="cente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收集后作为燃料回用</w:t>
                  </w:r>
                </w:p>
              </w:tc>
              <w:tc>
                <w:tcPr>
                  <w:tcW w:w="526" w:type="pct"/>
                  <w:vAlign w:val="center"/>
                </w:tcPr>
                <w:p>
                  <w:pPr>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1.035t/a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 w:type="pct"/>
                  <w:vAlign w:val="center"/>
                </w:tcPr>
                <w:p>
                  <w:pPr>
                    <w:jc w:val="center"/>
                    <w:rPr>
                      <w:rFonts w:hint="eastAsia" w:ascii="Times New Roman" w:hAnsi="Times New Roman" w:cs="Times New Roman" w:eastAsiaTheme="minorEastAsia"/>
                      <w:szCs w:val="21"/>
                      <w:lang w:eastAsia="zh-CN"/>
                    </w:rPr>
                  </w:pPr>
                  <w:r>
                    <w:rPr>
                      <w:rFonts w:hint="eastAsia" w:ascii="Times New Roman" w:hAnsi="Times New Roman" w:cs="Times New Roman"/>
                      <w:szCs w:val="21"/>
                      <w:lang w:val="en-US" w:eastAsia="zh-CN"/>
                    </w:rPr>
                    <w:t>脱硫塔</w:t>
                  </w:r>
                </w:p>
              </w:tc>
              <w:tc>
                <w:tcPr>
                  <w:tcW w:w="494" w:type="pct"/>
                  <w:vAlign w:val="center"/>
                </w:tcPr>
                <w:p>
                  <w:pPr>
                    <w:jc w:val="center"/>
                    <w:rPr>
                      <w:rFonts w:hint="eastAsia" w:ascii="Times New Roman" w:hAnsi="Times New Roman" w:cs="Times New Roman"/>
                      <w:szCs w:val="21"/>
                    </w:rPr>
                  </w:pPr>
                  <w:r>
                    <w:rPr>
                      <w:rFonts w:hint="eastAsia" w:ascii="Times New Roman" w:hAnsi="Times New Roman" w:cs="Times New Roman"/>
                      <w:szCs w:val="21"/>
                      <w:lang w:val="en-US" w:eastAsia="zh-CN"/>
                    </w:rPr>
                    <w:t>固形物MgSO</w:t>
                  </w:r>
                  <w:r>
                    <w:rPr>
                      <w:rFonts w:hint="eastAsia" w:ascii="Times New Roman" w:hAnsi="Times New Roman" w:cs="Times New Roman"/>
                      <w:szCs w:val="21"/>
                      <w:vertAlign w:val="subscript"/>
                      <w:lang w:val="en-US" w:eastAsia="zh-CN"/>
                    </w:rPr>
                    <w:t>4</w:t>
                  </w:r>
                </w:p>
              </w:tc>
              <w:tc>
                <w:tcPr>
                  <w:tcW w:w="332" w:type="pct"/>
                  <w:vAlign w:val="center"/>
                </w:tcPr>
                <w:p>
                  <w:pPr>
                    <w:jc w:val="center"/>
                    <w:rPr>
                      <w:rFonts w:ascii="Times New Roman" w:hAnsi="Times New Roman" w:cs="Times New Roman"/>
                      <w:szCs w:val="21"/>
                    </w:rPr>
                  </w:pPr>
                  <w:r>
                    <w:rPr>
                      <w:rFonts w:hint="default" w:ascii="Times New Roman" w:hAnsi="Times New Roman" w:cs="Times New Roman"/>
                      <w:szCs w:val="21"/>
                      <w:lang w:val="en-US" w:eastAsia="zh-CN"/>
                    </w:rPr>
                    <w:t>一般工业固体废物</w:t>
                  </w:r>
                </w:p>
              </w:tc>
              <w:tc>
                <w:tcPr>
                  <w:tcW w:w="699" w:type="pct"/>
                  <w:vAlign w:val="center"/>
                </w:tcPr>
                <w:p>
                  <w:pPr>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443-999-99</w:t>
                  </w:r>
                </w:p>
              </w:tc>
              <w:tc>
                <w:tcPr>
                  <w:tcW w:w="405" w:type="pct"/>
                  <w:vAlign w:val="center"/>
                </w:tcPr>
                <w:p>
                  <w:pPr>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w:t>
                  </w:r>
                </w:p>
              </w:tc>
              <w:tc>
                <w:tcPr>
                  <w:tcW w:w="343" w:type="pct"/>
                  <w:vAlign w:val="center"/>
                </w:tcPr>
                <w:p>
                  <w:pPr>
                    <w:jc w:val="center"/>
                    <w:rPr>
                      <w:rFonts w:ascii="Times New Roman" w:hAnsi="Times New Roman" w:cs="Times New Roman"/>
                      <w:szCs w:val="21"/>
                    </w:rPr>
                  </w:pPr>
                  <w:r>
                    <w:rPr>
                      <w:rFonts w:ascii="Times New Roman" w:hAnsi="Times New Roman" w:cs="Times New Roman"/>
                      <w:szCs w:val="21"/>
                    </w:rPr>
                    <w:t>固态</w:t>
                  </w:r>
                </w:p>
              </w:tc>
              <w:tc>
                <w:tcPr>
                  <w:tcW w:w="384" w:type="pct"/>
                  <w:vAlign w:val="center"/>
                </w:tcPr>
                <w:p>
                  <w:pPr>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w:t>
                  </w:r>
                </w:p>
              </w:tc>
              <w:tc>
                <w:tcPr>
                  <w:tcW w:w="525" w:type="pct"/>
                  <w:vAlign w:val="center"/>
                </w:tcPr>
                <w:p>
                  <w:pPr>
                    <w:jc w:val="center"/>
                    <w:rPr>
                      <w:rFonts w:ascii="Times New Roman" w:hAnsi="Times New Roman" w:cs="Times New Roman"/>
                      <w:szCs w:val="21"/>
                    </w:rPr>
                  </w:pPr>
                  <w:r>
                    <w:rPr>
                      <w:rFonts w:hint="eastAsia" w:ascii="Times New Roman" w:hAnsi="Times New Roman" w:cs="Times New Roman"/>
                      <w:szCs w:val="21"/>
                      <w:lang w:val="en-US" w:eastAsia="zh-CN"/>
                    </w:rPr>
                    <w:t>258t/a</w:t>
                  </w:r>
                </w:p>
              </w:tc>
              <w:tc>
                <w:tcPr>
                  <w:tcW w:w="291" w:type="pct"/>
                  <w:vAlign w:val="center"/>
                </w:tcPr>
                <w:p>
                  <w:pPr>
                    <w:jc w:val="center"/>
                    <w:rPr>
                      <w:rFonts w:ascii="Times New Roman" w:hAnsi="Times New Roman" w:cs="Times New Roman"/>
                      <w:szCs w:val="21"/>
                    </w:rPr>
                  </w:pPr>
                  <w:r>
                    <w:rPr>
                      <w:rFonts w:ascii="Times New Roman" w:hAnsi="Times New Roman" w:cs="Times New Roman"/>
                      <w:szCs w:val="21"/>
                    </w:rPr>
                    <w:t>袋装</w:t>
                  </w:r>
                </w:p>
              </w:tc>
              <w:tc>
                <w:tcPr>
                  <w:tcW w:w="661" w:type="pct"/>
                  <w:vAlign w:val="center"/>
                </w:tcPr>
                <w:p>
                  <w:pPr>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集中收集后外售</w:t>
                  </w:r>
                </w:p>
              </w:tc>
              <w:tc>
                <w:tcPr>
                  <w:tcW w:w="526" w:type="pct"/>
                  <w:vAlign w:val="center"/>
                </w:tcPr>
                <w:p>
                  <w:pPr>
                    <w:jc w:val="center"/>
                    <w:rPr>
                      <w:rFonts w:ascii="Times New Roman" w:hAnsi="Times New Roman" w:cs="Times New Roman"/>
                      <w:szCs w:val="21"/>
                    </w:rPr>
                  </w:pPr>
                  <w:r>
                    <w:rPr>
                      <w:rFonts w:hint="eastAsia" w:ascii="Times New Roman" w:hAnsi="Times New Roman" w:cs="Times New Roman"/>
                      <w:szCs w:val="21"/>
                      <w:lang w:val="en-US" w:eastAsia="zh-CN"/>
                    </w:rPr>
                    <w:t>258t/a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 w:type="pct"/>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ascii="Times New Roman" w:hAnsi="Times New Roman" w:cs="Times New Roman"/>
                      <w:szCs w:val="21"/>
                    </w:rPr>
                  </w:pPr>
                  <w:r>
                    <w:rPr>
                      <w:rFonts w:hint="eastAsia" w:ascii="Times New Roman" w:hAnsi="Times New Roman" w:cs="Times New Roman" w:eastAsiaTheme="minorEastAsia"/>
                      <w:kern w:val="2"/>
                      <w:sz w:val="21"/>
                      <w:szCs w:val="21"/>
                      <w:lang w:val="en-US" w:eastAsia="zh-CN" w:bidi="ar-SA"/>
                    </w:rPr>
                    <w:t>软水制备</w:t>
                  </w:r>
                </w:p>
              </w:tc>
              <w:tc>
                <w:tcPr>
                  <w:tcW w:w="494" w:type="pct"/>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ascii="Times New Roman" w:hAnsi="Times New Roman" w:cs="Times New Roman"/>
                      <w:szCs w:val="21"/>
                    </w:rPr>
                  </w:pPr>
                  <w:r>
                    <w:rPr>
                      <w:rFonts w:hint="eastAsia" w:ascii="Times New Roman" w:hAnsi="Times New Roman"/>
                      <w:color w:val="auto"/>
                      <w:sz w:val="21"/>
                      <w:szCs w:val="21"/>
                      <w:highlight w:val="none"/>
                      <w:lang w:val="en-US" w:eastAsia="zh-CN"/>
                    </w:rPr>
                    <w:t>废反渗透膜</w:t>
                  </w:r>
                </w:p>
              </w:tc>
              <w:tc>
                <w:tcPr>
                  <w:tcW w:w="332" w:type="pct"/>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both"/>
                    <w:textAlignment w:val="auto"/>
                    <w:rPr>
                      <w:rFonts w:ascii="Times New Roman" w:hAnsi="Times New Roman" w:cs="Times New Roman"/>
                      <w:szCs w:val="21"/>
                    </w:rPr>
                  </w:pPr>
                  <w:r>
                    <w:rPr>
                      <w:rFonts w:hint="default" w:ascii="Times New Roman" w:hAnsi="Times New Roman" w:eastAsia="宋体" w:cs="Times New Roman"/>
                      <w:smallCaps w:val="0"/>
                      <w:color w:val="auto"/>
                      <w:sz w:val="21"/>
                      <w:szCs w:val="21"/>
                      <w:highlight w:val="none"/>
                      <w:vertAlign w:val="baseline"/>
                      <w:lang w:val="en-US" w:eastAsia="zh-CN" w:bidi="ar-SA"/>
                    </w:rPr>
                    <w:t>一般工业固体废物</w:t>
                  </w:r>
                </w:p>
              </w:tc>
              <w:tc>
                <w:tcPr>
                  <w:tcW w:w="699" w:type="pct"/>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szCs w:val="21"/>
                      <w:lang w:val="en-US"/>
                    </w:rPr>
                  </w:pPr>
                  <w:r>
                    <w:rPr>
                      <w:rFonts w:hint="eastAsia" w:ascii="Times New Roman" w:hAnsi="Times New Roman" w:eastAsia="宋体" w:cs="Times New Roman"/>
                      <w:smallCaps w:val="0"/>
                      <w:color w:val="auto"/>
                      <w:kern w:val="2"/>
                      <w:sz w:val="21"/>
                      <w:szCs w:val="21"/>
                      <w:highlight w:val="none"/>
                      <w:vertAlign w:val="baseline"/>
                      <w:lang w:val="en-US" w:eastAsia="zh-CN" w:bidi="ar-SA"/>
                    </w:rPr>
                    <w:t>443-001-99</w:t>
                  </w:r>
                </w:p>
              </w:tc>
              <w:tc>
                <w:tcPr>
                  <w:tcW w:w="405" w:type="pct"/>
                  <w:vAlign w:val="center"/>
                </w:tcPr>
                <w:p>
                  <w:pPr>
                    <w:jc w:val="center"/>
                    <w:rPr>
                      <w:rFonts w:hint="eastAsia" w:ascii="Times New Roman" w:hAnsi="Times New Roman" w:cs="Times New Roman" w:eastAsiaTheme="minorEastAsia"/>
                      <w:szCs w:val="21"/>
                      <w:lang w:eastAsia="zh-CN"/>
                    </w:rPr>
                  </w:pPr>
                  <w:r>
                    <w:rPr>
                      <w:rFonts w:hint="eastAsia" w:ascii="Times New Roman" w:hAnsi="Times New Roman" w:cs="Times New Roman"/>
                      <w:szCs w:val="21"/>
                      <w:lang w:val="en-US" w:eastAsia="zh-CN"/>
                    </w:rPr>
                    <w:t>/</w:t>
                  </w:r>
                </w:p>
              </w:tc>
              <w:tc>
                <w:tcPr>
                  <w:tcW w:w="343" w:type="pct"/>
                  <w:vAlign w:val="center"/>
                </w:tcPr>
                <w:p>
                  <w:pPr>
                    <w:jc w:val="center"/>
                    <w:rPr>
                      <w:rFonts w:ascii="Times New Roman" w:hAnsi="Times New Roman" w:cs="Times New Roman"/>
                      <w:szCs w:val="21"/>
                    </w:rPr>
                  </w:pPr>
                  <w:r>
                    <w:rPr>
                      <w:rFonts w:ascii="Times New Roman" w:hAnsi="Times New Roman" w:cs="Times New Roman"/>
                      <w:szCs w:val="21"/>
                    </w:rPr>
                    <w:t>固态</w:t>
                  </w:r>
                </w:p>
              </w:tc>
              <w:tc>
                <w:tcPr>
                  <w:tcW w:w="384" w:type="pct"/>
                  <w:vAlign w:val="center"/>
                </w:tcPr>
                <w:p>
                  <w:pPr>
                    <w:jc w:val="center"/>
                    <w:rPr>
                      <w:rFonts w:ascii="Times New Roman" w:hAnsi="Times New Roman" w:cs="Times New Roman"/>
                      <w:szCs w:val="21"/>
                    </w:rPr>
                  </w:pPr>
                  <w:r>
                    <w:rPr>
                      <w:rFonts w:ascii="Times New Roman" w:hAnsi="Times New Roman" w:cs="Times New Roman"/>
                      <w:szCs w:val="21"/>
                    </w:rPr>
                    <w:t>/</w:t>
                  </w:r>
                </w:p>
              </w:tc>
              <w:tc>
                <w:tcPr>
                  <w:tcW w:w="525" w:type="pct"/>
                  <w:vAlign w:val="center"/>
                </w:tcPr>
                <w:p>
                  <w:pPr>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1t/2a</w:t>
                  </w:r>
                </w:p>
              </w:tc>
              <w:tc>
                <w:tcPr>
                  <w:tcW w:w="291" w:type="pct"/>
                  <w:vAlign w:val="center"/>
                </w:tcPr>
                <w:p>
                  <w:pPr>
                    <w:jc w:val="center"/>
                    <w:rPr>
                      <w:rFonts w:ascii="Times New Roman" w:hAnsi="Times New Roman" w:cs="Times New Roman"/>
                      <w:szCs w:val="21"/>
                    </w:rPr>
                  </w:pPr>
                  <w:r>
                    <w:rPr>
                      <w:rFonts w:ascii="Times New Roman" w:hAnsi="Times New Roman" w:cs="Times New Roman"/>
                      <w:szCs w:val="21"/>
                    </w:rPr>
                    <w:t>袋装</w:t>
                  </w:r>
                </w:p>
              </w:tc>
              <w:tc>
                <w:tcPr>
                  <w:tcW w:w="661" w:type="pct"/>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由厂家回收</w:t>
                  </w:r>
                </w:p>
              </w:tc>
              <w:tc>
                <w:tcPr>
                  <w:tcW w:w="526" w:type="pct"/>
                  <w:vAlign w:val="center"/>
                </w:tcPr>
                <w:p>
                  <w:pPr>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1t/2a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332" w:type="pct"/>
                  <w:vMerge w:val="restart"/>
                  <w:vAlign w:val="center"/>
                </w:tcPr>
                <w:p>
                  <w:pPr>
                    <w:snapToGrid w:val="0"/>
                    <w:jc w:val="center"/>
                    <w:rPr>
                      <w:rFonts w:ascii="Times New Roman" w:hAnsi="Times New Roman" w:cs="Times New Roman"/>
                      <w:szCs w:val="21"/>
                    </w:rPr>
                  </w:pPr>
                  <w:r>
                    <w:rPr>
                      <w:rFonts w:hint="eastAsia" w:ascii="Times New Roman" w:hAnsi="Times New Roman" w:cs="Times New Roman"/>
                      <w:color w:val="000000"/>
                      <w:szCs w:val="21"/>
                    </w:rPr>
                    <w:t>设备维护</w:t>
                  </w:r>
                </w:p>
              </w:tc>
              <w:tc>
                <w:tcPr>
                  <w:tcW w:w="494" w:type="pct"/>
                  <w:vAlign w:val="center"/>
                </w:tcPr>
                <w:p>
                  <w:pPr>
                    <w:snapToGrid w:val="0"/>
                    <w:jc w:val="center"/>
                    <w:rPr>
                      <w:rFonts w:ascii="Times New Roman" w:hAnsi="Times New Roman" w:cs="Times New Roman"/>
                      <w:szCs w:val="21"/>
                    </w:rPr>
                  </w:pPr>
                  <w:r>
                    <w:rPr>
                      <w:rFonts w:hint="eastAsia" w:ascii="Times New Roman" w:hAnsi="Times New Roman" w:cs="Times New Roman"/>
                      <w:color w:val="000000"/>
                      <w:szCs w:val="21"/>
                    </w:rPr>
                    <w:t>废润滑油</w:t>
                  </w:r>
                </w:p>
              </w:tc>
              <w:tc>
                <w:tcPr>
                  <w:tcW w:w="332" w:type="pct"/>
                  <w:vAlign w:val="center"/>
                </w:tcPr>
                <w:p>
                  <w:pPr>
                    <w:snapToGrid w:val="0"/>
                    <w:jc w:val="center"/>
                    <w:rPr>
                      <w:rFonts w:ascii="Times New Roman" w:hAnsi="Times New Roman" w:cs="Times New Roman"/>
                      <w:szCs w:val="21"/>
                    </w:rPr>
                  </w:pPr>
                  <w:r>
                    <w:rPr>
                      <w:rFonts w:hint="eastAsia" w:ascii="Times New Roman" w:hAnsi="Times New Roman" w:cs="Times New Roman"/>
                      <w:color w:val="000000"/>
                      <w:szCs w:val="21"/>
                    </w:rPr>
                    <w:t>危险废物</w:t>
                  </w:r>
                </w:p>
              </w:tc>
              <w:tc>
                <w:tcPr>
                  <w:tcW w:w="699" w:type="pct"/>
                  <w:vAlign w:val="center"/>
                </w:tcPr>
                <w:p>
                  <w:pPr>
                    <w:pStyle w:val="19"/>
                    <w:widowControl w:val="0"/>
                    <w:snapToGrid w:val="0"/>
                    <w:spacing w:beforeAutospacing="0" w:afterAutospacing="0"/>
                    <w:jc w:val="center"/>
                    <w:rPr>
                      <w:rFonts w:hint="default" w:ascii="Times New Roman" w:hAnsi="Times New Roman"/>
                      <w:szCs w:val="21"/>
                    </w:rPr>
                  </w:pPr>
                  <w:r>
                    <w:rPr>
                      <w:rFonts w:ascii="Times New Roman" w:hAnsi="Times New Roman"/>
                      <w:sz w:val="21"/>
                      <w:szCs w:val="21"/>
                    </w:rPr>
                    <w:t>900-21</w:t>
                  </w:r>
                  <w:r>
                    <w:rPr>
                      <w:rFonts w:hint="eastAsia" w:ascii="Times New Roman" w:hAnsi="Times New Roman"/>
                      <w:sz w:val="21"/>
                      <w:szCs w:val="21"/>
                      <w:lang w:val="en-US" w:eastAsia="zh-CN"/>
                    </w:rPr>
                    <w:t>7</w:t>
                  </w:r>
                  <w:r>
                    <w:rPr>
                      <w:rFonts w:ascii="Times New Roman" w:hAnsi="Times New Roman"/>
                      <w:sz w:val="21"/>
                      <w:szCs w:val="21"/>
                    </w:rPr>
                    <w:t>-08</w:t>
                  </w:r>
                </w:p>
              </w:tc>
              <w:tc>
                <w:tcPr>
                  <w:tcW w:w="405" w:type="pct"/>
                  <w:vAlign w:val="center"/>
                </w:tcPr>
                <w:p>
                  <w:pPr>
                    <w:pStyle w:val="19"/>
                    <w:widowControl w:val="0"/>
                    <w:snapToGrid w:val="0"/>
                    <w:spacing w:beforeAutospacing="0" w:afterAutospacing="0"/>
                    <w:jc w:val="center"/>
                    <w:rPr>
                      <w:rFonts w:hint="default" w:ascii="Times New Roman" w:hAnsi="Times New Roman"/>
                      <w:szCs w:val="21"/>
                    </w:rPr>
                  </w:pPr>
                  <w:r>
                    <w:rPr>
                      <w:rFonts w:ascii="Times New Roman" w:hAnsi="Times New Roman"/>
                      <w:sz w:val="21"/>
                      <w:szCs w:val="21"/>
                    </w:rPr>
                    <w:t>废矿物油</w:t>
                  </w:r>
                </w:p>
              </w:tc>
              <w:tc>
                <w:tcPr>
                  <w:tcW w:w="343" w:type="pct"/>
                  <w:vAlign w:val="center"/>
                </w:tcPr>
                <w:p>
                  <w:pPr>
                    <w:snapToGrid w:val="0"/>
                    <w:jc w:val="center"/>
                    <w:rPr>
                      <w:rFonts w:ascii="Times New Roman" w:hAnsi="Times New Roman" w:cs="Times New Roman"/>
                      <w:szCs w:val="21"/>
                    </w:rPr>
                  </w:pPr>
                  <w:r>
                    <w:rPr>
                      <w:rFonts w:hint="eastAsia" w:ascii="Times New Roman" w:hAnsi="Times New Roman" w:cs="Times New Roman"/>
                      <w:color w:val="000000"/>
                      <w:szCs w:val="21"/>
                    </w:rPr>
                    <w:t>液态</w:t>
                  </w:r>
                </w:p>
              </w:tc>
              <w:tc>
                <w:tcPr>
                  <w:tcW w:w="384" w:type="pct"/>
                  <w:vAlign w:val="center"/>
                </w:tcPr>
                <w:p>
                  <w:pPr>
                    <w:snapToGrid w:val="0"/>
                    <w:jc w:val="center"/>
                    <w:rPr>
                      <w:rFonts w:ascii="Times New Roman" w:hAnsi="Times New Roman" w:cs="Times New Roman"/>
                      <w:szCs w:val="21"/>
                    </w:rPr>
                  </w:pPr>
                  <w:r>
                    <w:rPr>
                      <w:rFonts w:hint="eastAsia" w:ascii="Times New Roman" w:hAnsi="Times New Roman" w:cs="Times New Roman"/>
                      <w:color w:val="000000"/>
                      <w:szCs w:val="21"/>
                    </w:rPr>
                    <w:t>T，I</w:t>
                  </w:r>
                </w:p>
              </w:tc>
              <w:tc>
                <w:tcPr>
                  <w:tcW w:w="525" w:type="pct"/>
                  <w:vAlign w:val="center"/>
                </w:tcPr>
                <w:p>
                  <w:pPr>
                    <w:snapToGrid w:val="0"/>
                    <w:jc w:val="center"/>
                    <w:rPr>
                      <w:rFonts w:ascii="Times New Roman" w:hAnsi="Times New Roman" w:cs="Times New Roman"/>
                      <w:szCs w:val="21"/>
                    </w:rPr>
                  </w:pPr>
                  <w:r>
                    <w:rPr>
                      <w:rFonts w:hint="eastAsia" w:ascii="Times New Roman" w:hAnsi="Times New Roman" w:cs="Times New Roman"/>
                      <w:color w:val="000000"/>
                      <w:szCs w:val="21"/>
                    </w:rPr>
                    <w:t>0.</w:t>
                  </w:r>
                  <w:r>
                    <w:rPr>
                      <w:rFonts w:hint="eastAsia" w:ascii="Times New Roman" w:hAnsi="Times New Roman" w:cs="Times New Roman"/>
                      <w:color w:val="000000"/>
                      <w:szCs w:val="21"/>
                      <w:lang w:val="en-US" w:eastAsia="zh-CN"/>
                    </w:rPr>
                    <w:t>2</w:t>
                  </w:r>
                  <w:r>
                    <w:rPr>
                      <w:rFonts w:hint="eastAsia" w:ascii="Times New Roman" w:hAnsi="Times New Roman" w:cs="Times New Roman"/>
                      <w:color w:val="000000"/>
                      <w:szCs w:val="21"/>
                    </w:rPr>
                    <w:t>t/a</w:t>
                  </w:r>
                </w:p>
              </w:tc>
              <w:tc>
                <w:tcPr>
                  <w:tcW w:w="291" w:type="pct"/>
                  <w:vMerge w:val="restart"/>
                  <w:vAlign w:val="center"/>
                </w:tcPr>
                <w:p>
                  <w:pPr>
                    <w:snapToGrid w:val="0"/>
                    <w:jc w:val="center"/>
                    <w:rPr>
                      <w:rFonts w:ascii="Times New Roman" w:hAnsi="Times New Roman" w:cs="Times New Roman"/>
                      <w:szCs w:val="21"/>
                    </w:rPr>
                  </w:pPr>
                  <w:r>
                    <w:rPr>
                      <w:rFonts w:hint="eastAsia" w:ascii="Times New Roman" w:hAnsi="Times New Roman" w:cs="Times New Roman"/>
                      <w:color w:val="000000"/>
                      <w:szCs w:val="21"/>
                    </w:rPr>
                    <w:t>于危废间内暂存</w:t>
                  </w:r>
                </w:p>
              </w:tc>
              <w:tc>
                <w:tcPr>
                  <w:tcW w:w="661" w:type="pct"/>
                  <w:vMerge w:val="restart"/>
                  <w:vAlign w:val="center"/>
                </w:tcPr>
                <w:p>
                  <w:pPr>
                    <w:snapToGrid w:val="0"/>
                    <w:jc w:val="center"/>
                    <w:rPr>
                      <w:rFonts w:ascii="Times New Roman" w:hAnsi="Times New Roman" w:eastAsia="宋体" w:cs="Times New Roman"/>
                      <w:szCs w:val="21"/>
                    </w:rPr>
                  </w:pPr>
                  <w:r>
                    <w:rPr>
                      <w:rFonts w:hint="eastAsia" w:ascii="Times New Roman" w:hAnsi="Times New Roman" w:cs="Times New Roman"/>
                      <w:color w:val="000000"/>
                      <w:szCs w:val="21"/>
                    </w:rPr>
                    <w:t>集中收集至危废间内，定期交由有资质单位处置</w:t>
                  </w:r>
                </w:p>
              </w:tc>
              <w:tc>
                <w:tcPr>
                  <w:tcW w:w="526" w:type="pct"/>
                  <w:vAlign w:val="center"/>
                </w:tcPr>
                <w:p>
                  <w:pPr>
                    <w:snapToGrid w:val="0"/>
                    <w:jc w:val="center"/>
                    <w:rPr>
                      <w:rFonts w:ascii="Times New Roman" w:hAnsi="Times New Roman" w:cs="Times New Roman"/>
                      <w:szCs w:val="21"/>
                    </w:rPr>
                  </w:pPr>
                  <w:r>
                    <w:rPr>
                      <w:rFonts w:hint="eastAsia" w:ascii="Times New Roman" w:hAnsi="Times New Roman" w:cs="Times New Roman"/>
                      <w:color w:val="000000"/>
                      <w:szCs w:val="21"/>
                    </w:rPr>
                    <w:t>0.</w:t>
                  </w:r>
                  <w:r>
                    <w:rPr>
                      <w:rFonts w:hint="eastAsia" w:ascii="Times New Roman" w:hAnsi="Times New Roman" w:cs="Times New Roman"/>
                      <w:color w:val="000000"/>
                      <w:szCs w:val="21"/>
                      <w:lang w:val="en-US" w:eastAsia="zh-CN"/>
                    </w:rPr>
                    <w:t>2</w:t>
                  </w:r>
                  <w:r>
                    <w:rPr>
                      <w:rFonts w:hint="eastAsia" w:ascii="Times New Roman" w:hAnsi="Times New Roman" w:cs="Times New Roman"/>
                      <w:color w:val="000000"/>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 w:type="pct"/>
                  <w:vMerge w:val="continue"/>
                  <w:vAlign w:val="center"/>
                </w:tcPr>
                <w:p>
                  <w:pPr>
                    <w:snapToGrid w:val="0"/>
                    <w:jc w:val="center"/>
                    <w:rPr>
                      <w:rFonts w:ascii="Times New Roman" w:hAnsi="Times New Roman" w:cs="Times New Roman"/>
                      <w:szCs w:val="21"/>
                    </w:rPr>
                  </w:pPr>
                </w:p>
              </w:tc>
              <w:tc>
                <w:tcPr>
                  <w:tcW w:w="494" w:type="pct"/>
                  <w:vAlign w:val="center"/>
                </w:tcPr>
                <w:p>
                  <w:pPr>
                    <w:snapToGrid w:val="0"/>
                    <w:jc w:val="center"/>
                    <w:rPr>
                      <w:rFonts w:ascii="Times New Roman" w:hAnsi="Times New Roman" w:cs="Times New Roman"/>
                      <w:szCs w:val="21"/>
                    </w:rPr>
                  </w:pPr>
                  <w:r>
                    <w:rPr>
                      <w:rFonts w:hint="eastAsia" w:ascii="Times New Roman" w:hAnsi="Times New Roman" w:cs="Times New Roman"/>
                      <w:color w:val="000000"/>
                      <w:szCs w:val="21"/>
                    </w:rPr>
                    <w:t>废油桶</w:t>
                  </w:r>
                </w:p>
              </w:tc>
              <w:tc>
                <w:tcPr>
                  <w:tcW w:w="332" w:type="pct"/>
                  <w:vAlign w:val="center"/>
                </w:tcPr>
                <w:p>
                  <w:pPr>
                    <w:snapToGrid w:val="0"/>
                    <w:jc w:val="center"/>
                    <w:rPr>
                      <w:rFonts w:ascii="Times New Roman" w:hAnsi="Times New Roman" w:cs="Times New Roman"/>
                      <w:szCs w:val="21"/>
                    </w:rPr>
                  </w:pPr>
                  <w:r>
                    <w:rPr>
                      <w:rFonts w:hint="eastAsia" w:ascii="Times New Roman" w:hAnsi="Times New Roman" w:cs="Times New Roman"/>
                      <w:color w:val="000000"/>
                      <w:szCs w:val="21"/>
                    </w:rPr>
                    <w:t>危险废物</w:t>
                  </w:r>
                </w:p>
              </w:tc>
              <w:tc>
                <w:tcPr>
                  <w:tcW w:w="699" w:type="pct"/>
                  <w:vAlign w:val="center"/>
                </w:tcPr>
                <w:p>
                  <w:pPr>
                    <w:pStyle w:val="19"/>
                    <w:widowControl w:val="0"/>
                    <w:snapToGrid w:val="0"/>
                    <w:spacing w:beforeAutospacing="0" w:afterAutospacing="0"/>
                    <w:jc w:val="center"/>
                    <w:rPr>
                      <w:rFonts w:hint="default" w:ascii="Times New Roman" w:hAnsi="Times New Roman"/>
                      <w:szCs w:val="21"/>
                    </w:rPr>
                  </w:pPr>
                  <w:r>
                    <w:rPr>
                      <w:rFonts w:ascii="Times New Roman" w:hAnsi="Times New Roman"/>
                      <w:sz w:val="21"/>
                      <w:szCs w:val="21"/>
                    </w:rPr>
                    <w:t>900-249-08</w:t>
                  </w:r>
                </w:p>
              </w:tc>
              <w:tc>
                <w:tcPr>
                  <w:tcW w:w="405" w:type="pct"/>
                  <w:vAlign w:val="center"/>
                </w:tcPr>
                <w:p>
                  <w:pPr>
                    <w:pStyle w:val="19"/>
                    <w:widowControl w:val="0"/>
                    <w:snapToGrid w:val="0"/>
                    <w:spacing w:beforeAutospacing="0" w:afterAutospacing="0"/>
                    <w:jc w:val="center"/>
                    <w:rPr>
                      <w:rFonts w:hint="default" w:ascii="Times New Roman" w:hAnsi="Times New Roman"/>
                      <w:szCs w:val="21"/>
                    </w:rPr>
                  </w:pPr>
                  <w:r>
                    <w:rPr>
                      <w:rFonts w:ascii="Times New Roman" w:hAnsi="Times New Roman"/>
                      <w:sz w:val="21"/>
                      <w:szCs w:val="21"/>
                    </w:rPr>
                    <w:t>废矿物油</w:t>
                  </w:r>
                </w:p>
              </w:tc>
              <w:tc>
                <w:tcPr>
                  <w:tcW w:w="343" w:type="pct"/>
                  <w:vAlign w:val="center"/>
                </w:tcPr>
                <w:p>
                  <w:pPr>
                    <w:snapToGrid w:val="0"/>
                    <w:jc w:val="center"/>
                    <w:rPr>
                      <w:rFonts w:ascii="Times New Roman" w:hAnsi="Times New Roman" w:cs="Times New Roman"/>
                      <w:szCs w:val="21"/>
                    </w:rPr>
                  </w:pPr>
                  <w:r>
                    <w:rPr>
                      <w:rFonts w:hint="eastAsia" w:ascii="Times New Roman" w:hAnsi="Times New Roman" w:cs="Times New Roman"/>
                      <w:color w:val="000000"/>
                      <w:szCs w:val="21"/>
                    </w:rPr>
                    <w:t>固态</w:t>
                  </w:r>
                </w:p>
              </w:tc>
              <w:tc>
                <w:tcPr>
                  <w:tcW w:w="384" w:type="pct"/>
                  <w:vAlign w:val="center"/>
                </w:tcPr>
                <w:p>
                  <w:pPr>
                    <w:snapToGrid w:val="0"/>
                    <w:jc w:val="center"/>
                    <w:rPr>
                      <w:rFonts w:ascii="Times New Roman" w:hAnsi="Times New Roman" w:cs="Times New Roman"/>
                      <w:szCs w:val="21"/>
                    </w:rPr>
                  </w:pPr>
                  <w:r>
                    <w:rPr>
                      <w:rFonts w:hint="eastAsia" w:ascii="Times New Roman" w:hAnsi="Times New Roman" w:cs="Times New Roman"/>
                      <w:color w:val="000000"/>
                      <w:szCs w:val="21"/>
                    </w:rPr>
                    <w:t>T，I</w:t>
                  </w:r>
                </w:p>
              </w:tc>
              <w:tc>
                <w:tcPr>
                  <w:tcW w:w="525" w:type="pct"/>
                  <w:vAlign w:val="center"/>
                </w:tcPr>
                <w:p>
                  <w:pPr>
                    <w:snapToGrid w:val="0"/>
                    <w:jc w:val="center"/>
                    <w:rPr>
                      <w:rFonts w:ascii="Times New Roman" w:hAnsi="Times New Roman" w:cs="Times New Roman"/>
                      <w:szCs w:val="21"/>
                    </w:rPr>
                  </w:pPr>
                  <w:r>
                    <w:rPr>
                      <w:rFonts w:hint="eastAsia" w:ascii="Times New Roman" w:hAnsi="Times New Roman" w:cs="Times New Roman"/>
                      <w:color w:val="000000"/>
                      <w:szCs w:val="21"/>
                    </w:rPr>
                    <w:t>0.</w:t>
                  </w:r>
                  <w:r>
                    <w:rPr>
                      <w:rFonts w:hint="eastAsia" w:ascii="Times New Roman" w:hAnsi="Times New Roman" w:cs="Times New Roman"/>
                      <w:color w:val="000000"/>
                      <w:szCs w:val="21"/>
                      <w:lang w:val="en-US" w:eastAsia="zh-CN"/>
                    </w:rPr>
                    <w:t>1</w:t>
                  </w:r>
                  <w:r>
                    <w:rPr>
                      <w:rFonts w:hint="eastAsia" w:ascii="Times New Roman" w:hAnsi="Times New Roman" w:cs="Times New Roman"/>
                      <w:color w:val="000000"/>
                      <w:szCs w:val="21"/>
                    </w:rPr>
                    <w:t>t/a</w:t>
                  </w:r>
                </w:p>
              </w:tc>
              <w:tc>
                <w:tcPr>
                  <w:tcW w:w="291" w:type="pct"/>
                  <w:vMerge w:val="continue"/>
                  <w:vAlign w:val="center"/>
                </w:tcPr>
                <w:p>
                  <w:pPr>
                    <w:snapToGrid w:val="0"/>
                    <w:jc w:val="center"/>
                    <w:rPr>
                      <w:rFonts w:ascii="Times New Roman" w:hAnsi="Times New Roman" w:cs="Times New Roman"/>
                      <w:szCs w:val="21"/>
                    </w:rPr>
                  </w:pPr>
                </w:p>
              </w:tc>
              <w:tc>
                <w:tcPr>
                  <w:tcW w:w="661" w:type="pct"/>
                  <w:vMerge w:val="continue"/>
                  <w:vAlign w:val="center"/>
                </w:tcPr>
                <w:p>
                  <w:pPr>
                    <w:snapToGrid w:val="0"/>
                    <w:jc w:val="center"/>
                    <w:rPr>
                      <w:rFonts w:ascii="Times New Roman" w:hAnsi="Times New Roman" w:eastAsia="宋体" w:cs="Times New Roman"/>
                      <w:szCs w:val="21"/>
                    </w:rPr>
                  </w:pPr>
                </w:p>
              </w:tc>
              <w:tc>
                <w:tcPr>
                  <w:tcW w:w="526" w:type="pct"/>
                  <w:vAlign w:val="center"/>
                </w:tcPr>
                <w:p>
                  <w:pPr>
                    <w:snapToGrid w:val="0"/>
                    <w:jc w:val="center"/>
                    <w:rPr>
                      <w:rFonts w:ascii="Times New Roman" w:hAnsi="Times New Roman" w:cs="Times New Roman"/>
                      <w:szCs w:val="21"/>
                    </w:rPr>
                  </w:pPr>
                  <w:r>
                    <w:rPr>
                      <w:rFonts w:hint="eastAsia" w:ascii="Times New Roman" w:hAnsi="Times New Roman" w:cs="Times New Roman"/>
                      <w:color w:val="000000"/>
                      <w:szCs w:val="21"/>
                    </w:rPr>
                    <w:t>0.</w:t>
                  </w:r>
                  <w:r>
                    <w:rPr>
                      <w:rFonts w:hint="eastAsia" w:ascii="Times New Roman" w:hAnsi="Times New Roman" w:cs="Times New Roman"/>
                      <w:color w:val="000000"/>
                      <w:szCs w:val="21"/>
                      <w:lang w:val="en-US" w:eastAsia="zh-CN"/>
                    </w:rPr>
                    <w:t>1</w:t>
                  </w:r>
                  <w:r>
                    <w:rPr>
                      <w:rFonts w:hint="eastAsia" w:ascii="Times New Roman" w:hAnsi="Times New Roman" w:cs="Times New Roman"/>
                      <w:color w:val="000000"/>
                      <w:szCs w:val="21"/>
                    </w:rPr>
                    <w:t>t/a</w:t>
                  </w:r>
                </w:p>
              </w:tc>
            </w:tr>
          </w:tbl>
          <w:p>
            <w:pPr>
              <w:adjustRightInd w:val="0"/>
              <w:snapToGrid w:val="0"/>
              <w:spacing w:before="156" w:beforeLines="50" w:line="360" w:lineRule="auto"/>
              <w:ind w:firstLine="482" w:firstLineChars="200"/>
              <w:rPr>
                <w:rFonts w:ascii="Times New Roman" w:hAnsi="Times New Roman"/>
                <w:b/>
                <w:bCs/>
                <w:sz w:val="24"/>
              </w:rPr>
            </w:pPr>
            <w:r>
              <w:rPr>
                <w:rFonts w:ascii="Times New Roman" w:hAnsi="宋体"/>
                <w:b/>
                <w:bCs/>
                <w:sz w:val="24"/>
              </w:rPr>
              <w:t>（</w:t>
            </w:r>
            <w:r>
              <w:rPr>
                <w:rFonts w:ascii="Times New Roman" w:hAnsi="Times New Roman"/>
                <w:b/>
                <w:bCs/>
                <w:sz w:val="24"/>
              </w:rPr>
              <w:t>1</w:t>
            </w:r>
            <w:r>
              <w:rPr>
                <w:rFonts w:ascii="Times New Roman" w:hAnsi="宋体"/>
                <w:b/>
                <w:bCs/>
                <w:sz w:val="24"/>
              </w:rPr>
              <w:t>）危险废物贮存场所（设施）</w:t>
            </w:r>
          </w:p>
          <w:p>
            <w:pPr>
              <w:snapToGrid w:val="0"/>
              <w:spacing w:line="360" w:lineRule="auto"/>
              <w:ind w:firstLine="480" w:firstLineChars="200"/>
              <w:rPr>
                <w:rFonts w:ascii="Times New Roman" w:hAnsi="Times New Roman"/>
                <w:sz w:val="24"/>
              </w:rPr>
            </w:pPr>
            <w:r>
              <w:rPr>
                <w:rFonts w:hint="eastAsia" w:ascii="Times New Roman" w:hAnsi="宋体"/>
                <w:color w:val="auto"/>
                <w:sz w:val="24"/>
                <w:lang w:eastAsia="zh-CN"/>
              </w:rPr>
              <w:t>依托厂区内现有危险废物贮存间</w:t>
            </w:r>
            <w:r>
              <w:rPr>
                <w:rFonts w:ascii="Times New Roman" w:hAnsi="宋体"/>
                <w:color w:val="auto"/>
                <w:sz w:val="24"/>
              </w:rPr>
              <w:t>，</w:t>
            </w:r>
            <w:r>
              <w:rPr>
                <w:rFonts w:hint="eastAsia" w:ascii="Times New Roman" w:hAnsi="宋体"/>
                <w:color w:val="auto"/>
                <w:sz w:val="24"/>
                <w:lang w:val="en-US" w:eastAsia="zh-CN"/>
              </w:rPr>
              <w:t>建筑面积为</w:t>
            </w:r>
            <w:r>
              <w:rPr>
                <w:rFonts w:hint="eastAsia" w:ascii="Times New Roman" w:hAnsi="宋体"/>
                <w:color w:val="000000" w:themeColor="text1"/>
                <w:sz w:val="24"/>
                <w:lang w:val="en-US" w:eastAsia="zh-CN"/>
                <w14:textFill>
                  <w14:solidFill>
                    <w14:schemeClr w14:val="tx1"/>
                  </w14:solidFill>
                </w14:textFill>
              </w:rPr>
              <w:t>16m</w:t>
            </w:r>
            <w:r>
              <w:rPr>
                <w:rFonts w:hint="eastAsia" w:ascii="Times New Roman" w:hAnsi="宋体"/>
                <w:color w:val="000000" w:themeColor="text1"/>
                <w:sz w:val="24"/>
                <w:vertAlign w:val="superscript"/>
                <w:lang w:val="en-US" w:eastAsia="zh-CN"/>
                <w14:textFill>
                  <w14:solidFill>
                    <w14:schemeClr w14:val="tx1"/>
                  </w14:solidFill>
                </w14:textFill>
              </w:rPr>
              <w:t>2</w:t>
            </w:r>
            <w:r>
              <w:rPr>
                <w:rFonts w:hint="eastAsia" w:ascii="Times New Roman" w:hAnsi="宋体"/>
                <w:color w:val="auto"/>
                <w:sz w:val="24"/>
                <w:lang w:val="en-US" w:eastAsia="zh-CN"/>
              </w:rPr>
              <w:t>，</w:t>
            </w:r>
            <w:r>
              <w:rPr>
                <w:rFonts w:hint="default" w:ascii="Times New Roman" w:hAnsi="Times New Roman" w:eastAsia="宋体" w:cs="Times New Roman"/>
                <w:b w:val="0"/>
                <w:bCs/>
                <w:color w:val="auto"/>
                <w:sz w:val="24"/>
                <w:szCs w:val="24"/>
              </w:rPr>
              <w:t>建设单位按照《危险废物贮存污染控制标准》（GB18597-20</w:t>
            </w:r>
            <w:r>
              <w:rPr>
                <w:rFonts w:hint="default" w:ascii="Times New Roman" w:hAnsi="Times New Roman" w:eastAsia="宋体" w:cs="Times New Roman"/>
                <w:b w:val="0"/>
                <w:bCs/>
                <w:color w:val="auto"/>
                <w:sz w:val="24"/>
                <w:szCs w:val="24"/>
                <w:lang w:val="en-US" w:eastAsia="zh-CN"/>
              </w:rPr>
              <w:t>23</w:t>
            </w:r>
            <w:r>
              <w:rPr>
                <w:rFonts w:hint="default" w:ascii="Times New Roman" w:hAnsi="Times New Roman" w:eastAsia="宋体" w:cs="Times New Roman"/>
                <w:b w:val="0"/>
                <w:bCs/>
                <w:color w:val="auto"/>
                <w:sz w:val="24"/>
                <w:szCs w:val="24"/>
              </w:rPr>
              <w:t>）和《危险废物收集、贮存、运输技术规范》（HJ2025-2012）中相关技术要求设置</w:t>
            </w:r>
            <w:r>
              <w:rPr>
                <w:rFonts w:hint="default" w:ascii="Times New Roman" w:hAnsi="Times New Roman" w:eastAsia="宋体" w:cs="Times New Roman"/>
                <w:b w:val="0"/>
                <w:bCs/>
                <w:color w:val="auto"/>
                <w:sz w:val="24"/>
                <w:szCs w:val="24"/>
                <w:lang w:eastAsia="zh-CN"/>
              </w:rPr>
              <w:t>。</w:t>
            </w:r>
            <w:r>
              <w:rPr>
                <w:rFonts w:hint="default" w:ascii="Times New Roman" w:hAnsi="Times New Roman" w:eastAsia="宋体" w:cs="Times New Roman"/>
                <w:b w:val="0"/>
                <w:bCs/>
                <w:color w:val="auto"/>
                <w:sz w:val="24"/>
                <w:szCs w:val="24"/>
              </w:rPr>
              <w:t>具体如下</w:t>
            </w:r>
            <w:r>
              <w:rPr>
                <w:rFonts w:ascii="Times New Roman" w:hAnsi="宋体"/>
                <w:sz w:val="24"/>
              </w:rPr>
              <w:t>：</w:t>
            </w:r>
          </w:p>
          <w:p>
            <w:pPr>
              <w:pStyle w:val="19"/>
              <w:keepNext w:val="0"/>
              <w:keepLines w:val="0"/>
              <w:pageBreakBefore w:val="0"/>
              <w:widowControl w:val="0"/>
              <w:suppressLineNumbers w:val="0"/>
              <w:kinsoku/>
              <w:wordWrap/>
              <w:overflowPunct/>
              <w:topLinePunct w:val="0"/>
              <w:bidi w:val="0"/>
              <w:snapToGrid/>
              <w:spacing w:beforeAutospacing="0" w:after="0" w:afterAutospacing="0" w:line="360" w:lineRule="auto"/>
              <w:ind w:left="0" w:right="0"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①危险废物贮存设施的选址、设计、建设、运行管理满足GB18597、GBZ1和GBZ2的有关要求。</w:t>
            </w:r>
          </w:p>
          <w:p>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②</w:t>
            </w:r>
            <w:r>
              <w:rPr>
                <w:rFonts w:hint="default" w:ascii="Times New Roman" w:hAnsi="Times New Roman" w:eastAsia="宋体" w:cs="Times New Roman"/>
                <w:color w:val="auto"/>
                <w:sz w:val="24"/>
                <w:szCs w:val="24"/>
              </w:rPr>
              <w:t>贮存危险废物按危险废物的种类和特性进行分区贮存，</w:t>
            </w:r>
            <w:r>
              <w:rPr>
                <w:rFonts w:hint="default" w:ascii="Times New Roman" w:hAnsi="Times New Roman" w:eastAsia="宋体" w:cs="Times New Roman"/>
                <w:color w:val="auto"/>
                <w:kern w:val="0"/>
                <w:sz w:val="24"/>
                <w:szCs w:val="24"/>
              </w:rPr>
              <w:t>每个贮存区域之间设置挡墙间隔，</w:t>
            </w:r>
            <w:r>
              <w:rPr>
                <w:rFonts w:hint="default" w:ascii="Times New Roman" w:hAnsi="Times New Roman" w:eastAsia="宋体" w:cs="Times New Roman"/>
                <w:color w:val="auto"/>
                <w:kern w:val="0"/>
                <w:sz w:val="24"/>
                <w:szCs w:val="24"/>
                <w:lang w:eastAsia="zh-CN"/>
              </w:rPr>
              <w:t>危险废物贮存间</w:t>
            </w:r>
            <w:r>
              <w:rPr>
                <w:rFonts w:hint="default" w:ascii="Times New Roman" w:hAnsi="Times New Roman" w:eastAsia="宋体" w:cs="Times New Roman"/>
                <w:color w:val="auto"/>
                <w:kern w:val="0"/>
                <w:sz w:val="24"/>
                <w:szCs w:val="24"/>
              </w:rPr>
              <w:t>防风、防雨、防晒、防渗（</w:t>
            </w:r>
            <w:r>
              <w:rPr>
                <w:rFonts w:hint="default" w:ascii="Times New Roman" w:hAnsi="Times New Roman" w:eastAsia="宋体" w:cs="Times New Roman"/>
                <w:color w:val="auto"/>
                <w:sz w:val="24"/>
                <w:szCs w:val="24"/>
              </w:rPr>
              <w:t>渗透系数≤10</w:t>
            </w:r>
            <w:r>
              <w:rPr>
                <w:rFonts w:hint="default" w:ascii="Times New Roman" w:hAnsi="Times New Roman" w:eastAsia="宋体" w:cs="Times New Roman"/>
                <w:color w:val="auto"/>
                <w:sz w:val="24"/>
                <w:szCs w:val="24"/>
                <w:vertAlign w:val="superscript"/>
              </w:rPr>
              <w:t>-10</w:t>
            </w:r>
            <w:r>
              <w:rPr>
                <w:rFonts w:hint="default" w:ascii="Times New Roman" w:hAnsi="Times New Roman" w:eastAsia="宋体" w:cs="Times New Roman"/>
                <w:color w:val="auto"/>
                <w:sz w:val="24"/>
                <w:szCs w:val="24"/>
              </w:rPr>
              <w:t>cm/s</w:t>
            </w:r>
            <w:r>
              <w:rPr>
                <w:rFonts w:hint="default" w:ascii="Times New Roman" w:hAnsi="Times New Roman" w:eastAsia="宋体" w:cs="Times New Roman"/>
                <w:color w:val="auto"/>
                <w:kern w:val="0"/>
                <w:sz w:val="24"/>
                <w:szCs w:val="24"/>
              </w:rPr>
              <w:t>）</w:t>
            </w:r>
            <w:r>
              <w:rPr>
                <w:rFonts w:hint="default" w:ascii="Times New Roman" w:hAnsi="Times New Roman" w:eastAsia="宋体" w:cs="Times New Roman"/>
                <w:color w:val="auto"/>
                <w:kern w:val="0"/>
                <w:sz w:val="24"/>
                <w:szCs w:val="24"/>
                <w:lang w:eastAsia="zh-CN"/>
              </w:rPr>
              <w:t>，特别是地面及裙角作防渗防腐处理，按要求设围堰、导流槽、收集池等</w:t>
            </w:r>
            <w:r>
              <w:rPr>
                <w:rFonts w:hint="default" w:ascii="Times New Roman" w:hAnsi="Times New Roman" w:eastAsia="宋体" w:cs="Times New Roman"/>
                <w:color w:val="auto"/>
                <w:kern w:val="0"/>
                <w:sz w:val="24"/>
                <w:szCs w:val="24"/>
              </w:rPr>
              <w:t>。</w:t>
            </w:r>
          </w:p>
          <w:p>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③危险废物贮存设施配备通讯设备、照明设施和消防设施。</w:t>
            </w:r>
          </w:p>
          <w:p>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④危险废物贮存期限按《中华人民共和国固体废物污染环境防治法》的有关规定，及时交由资质单位集中处置。</w:t>
            </w:r>
          </w:p>
          <w:p>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⑤</w:t>
            </w:r>
            <w:r>
              <w:rPr>
                <w:rFonts w:hint="default" w:ascii="Times New Roman" w:hAnsi="Times New Roman" w:eastAsia="宋体" w:cs="Times New Roman"/>
                <w:color w:val="auto"/>
                <w:sz w:val="24"/>
                <w:szCs w:val="24"/>
              </w:rPr>
              <w:t>危险废物贮存单位建立危险废物贮存的台帐制度，</w:t>
            </w:r>
            <w:r>
              <w:rPr>
                <w:rFonts w:hint="default" w:ascii="Times New Roman" w:hAnsi="Times New Roman" w:eastAsia="宋体" w:cs="Times New Roman"/>
                <w:color w:val="auto"/>
                <w:kern w:val="0"/>
                <w:sz w:val="24"/>
                <w:szCs w:val="24"/>
              </w:rPr>
              <w:t>做好危险废物出入库交接记录。</w:t>
            </w:r>
          </w:p>
          <w:p>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⑥存放装载液体、半固体危险废物容器位置，有耐腐蚀的硬化地面，且表面无裂隙。</w:t>
            </w:r>
          </w:p>
          <w:p>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rPr>
              <w:t>⑦</w:t>
            </w:r>
            <w:r>
              <w:rPr>
                <w:rFonts w:hint="default" w:ascii="Times New Roman" w:hAnsi="Times New Roman" w:eastAsia="宋体" w:cs="Times New Roman"/>
                <w:color w:val="auto"/>
                <w:sz w:val="24"/>
                <w:szCs w:val="24"/>
              </w:rPr>
              <w:t>危险废物贮存分为产生单位内部贮存、中转贮存及集中性贮存。</w:t>
            </w:r>
          </w:p>
          <w:p>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kern w:val="0"/>
                <w:sz w:val="24"/>
                <w:szCs w:val="24"/>
              </w:rPr>
              <w:t>⑧</w:t>
            </w:r>
            <w:r>
              <w:rPr>
                <w:rFonts w:hint="default" w:ascii="Times New Roman" w:hAnsi="Times New Roman" w:eastAsia="宋体" w:cs="Times New Roman"/>
                <w:color w:val="auto"/>
                <w:sz w:val="24"/>
                <w:szCs w:val="24"/>
              </w:rPr>
              <w:t>按照相关危险废物管理指标等文件建设危险废物台账</w:t>
            </w:r>
            <w:r>
              <w:rPr>
                <w:rFonts w:hint="default" w:ascii="Times New Roman" w:hAnsi="Times New Roman" w:eastAsia="宋体" w:cs="Times New Roman"/>
                <w:color w:val="auto"/>
                <w:sz w:val="24"/>
                <w:szCs w:val="24"/>
                <w:lang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0" w:afterAutospacing="0" w:line="360" w:lineRule="auto"/>
              <w:ind w:left="0" w:right="0" w:firstLine="480" w:firstLineChars="200"/>
              <w:jc w:val="left"/>
              <w:textAlignment w:val="auto"/>
              <w:rPr>
                <w:rFonts w:ascii="Times New Roman" w:hAnsi="宋体"/>
                <w:sz w:val="24"/>
              </w:rPr>
            </w:pPr>
            <w:r>
              <w:rPr>
                <w:rFonts w:hint="default" w:ascii="Times New Roman" w:hAnsi="Times New Roman" w:eastAsia="宋体" w:cs="Times New Roman"/>
                <w:color w:val="auto"/>
                <w:kern w:val="0"/>
                <w:sz w:val="24"/>
                <w:szCs w:val="24"/>
                <w:lang w:eastAsia="zh-CN"/>
              </w:rPr>
              <w:t>⑨</w:t>
            </w:r>
            <w:r>
              <w:rPr>
                <w:rFonts w:hint="default" w:ascii="Times New Roman" w:hAnsi="Times New Roman" w:eastAsia="宋体" w:cs="Times New Roman"/>
                <w:color w:val="auto"/>
                <w:sz w:val="24"/>
                <w:szCs w:val="24"/>
              </w:rPr>
              <w:t>危险废物暂存场所设置符合《危险废物识别标志设置技术规范》（HJ1276-2022）的专用标志。门口标识牌、分区标识牌和每个油桶上的标识牌按照《危险废物识别标志设置技术规范》（HJ1276-2022）的专用标志进行设置</w:t>
            </w:r>
            <w:r>
              <w:rPr>
                <w:rFonts w:ascii="Times New Roman" w:hAnsi="宋体"/>
                <w:sz w:val="24"/>
              </w:rPr>
              <w:t>。</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lang w:val="en-US" w:eastAsia="zh-CN"/>
              </w:rPr>
            </w:pPr>
            <w:r>
              <w:rPr>
                <w:rFonts w:hint="default" w:ascii="Times New Roman" w:hAnsi="Times New Roman" w:cs="Times New Roman"/>
                <w:b/>
                <w:bCs/>
                <w:color w:val="000000"/>
                <w:lang w:val="en-US" w:eastAsia="zh-CN"/>
              </w:rPr>
              <w:t>表</w:t>
            </w:r>
            <w:r>
              <w:rPr>
                <w:rFonts w:hint="eastAsia" w:ascii="Times New Roman" w:hAnsi="Times New Roman" w:cs="Times New Roman"/>
                <w:b/>
                <w:bCs/>
                <w:color w:val="000000"/>
                <w:lang w:val="en-US" w:eastAsia="zh-CN"/>
              </w:rPr>
              <w:t xml:space="preserve">4-5 </w:t>
            </w:r>
            <w:r>
              <w:rPr>
                <w:rFonts w:hint="default" w:ascii="Times New Roman" w:hAnsi="Times New Roman" w:cs="Times New Roman"/>
                <w:b/>
                <w:bCs/>
                <w:color w:val="000000"/>
                <w:lang w:val="en-US" w:eastAsia="zh-CN"/>
              </w:rPr>
              <w:t xml:space="preserve"> 危险废物贮存场所拟建情况</w:t>
            </w:r>
          </w:p>
          <w:tbl>
            <w:tblPr>
              <w:tblStyle w:val="25"/>
              <w:tblW w:w="493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2"/>
              <w:gridCol w:w="648"/>
              <w:gridCol w:w="1080"/>
              <w:gridCol w:w="795"/>
              <w:gridCol w:w="1246"/>
              <w:gridCol w:w="585"/>
              <w:gridCol w:w="690"/>
              <w:gridCol w:w="1513"/>
              <w:gridCol w:w="722"/>
              <w:gridCol w:w="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9" w:type="pc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序号</w:t>
                  </w:r>
                </w:p>
              </w:tc>
              <w:tc>
                <w:tcPr>
                  <w:tcW w:w="383" w:type="pc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贮存场所名称</w:t>
                  </w:r>
                </w:p>
              </w:tc>
              <w:tc>
                <w:tcPr>
                  <w:tcW w:w="639" w:type="pc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危险废物名称</w:t>
                  </w:r>
                </w:p>
              </w:tc>
              <w:tc>
                <w:tcPr>
                  <w:tcW w:w="470" w:type="pc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危险废物类别</w:t>
                  </w:r>
                </w:p>
              </w:tc>
              <w:tc>
                <w:tcPr>
                  <w:tcW w:w="737" w:type="pc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危险废物代码</w:t>
                  </w:r>
                </w:p>
              </w:tc>
              <w:tc>
                <w:tcPr>
                  <w:tcW w:w="346" w:type="pc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位置</w:t>
                  </w:r>
                </w:p>
              </w:tc>
              <w:tc>
                <w:tcPr>
                  <w:tcW w:w="408" w:type="pc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占地面积</w:t>
                  </w:r>
                </w:p>
              </w:tc>
              <w:tc>
                <w:tcPr>
                  <w:tcW w:w="895" w:type="pc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贮存</w:t>
                  </w:r>
                </w:p>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方式</w:t>
                  </w:r>
                </w:p>
              </w:tc>
              <w:tc>
                <w:tcPr>
                  <w:tcW w:w="427" w:type="pc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贮存能力</w:t>
                  </w:r>
                </w:p>
              </w:tc>
              <w:tc>
                <w:tcPr>
                  <w:tcW w:w="410" w:type="pc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贮存周期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9" w:type="pc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w:t>
                  </w:r>
                </w:p>
              </w:tc>
              <w:tc>
                <w:tcPr>
                  <w:tcW w:w="383" w:type="pct"/>
                  <w:vMerge w:val="restar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危险废物贮存间</w:t>
                  </w:r>
                </w:p>
              </w:tc>
              <w:tc>
                <w:tcPr>
                  <w:tcW w:w="639"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000000"/>
                      <w:kern w:val="2"/>
                      <w:sz w:val="21"/>
                      <w:szCs w:val="21"/>
                      <w:lang w:val="en-US" w:eastAsia="zh-CN" w:bidi="ar-SA"/>
                    </w:rPr>
                  </w:pPr>
                  <w:r>
                    <w:rPr>
                      <w:rFonts w:hint="default" w:ascii="Times New Roman" w:hAnsi="Times New Roman" w:cs="Times New Roman"/>
                      <w:b w:val="0"/>
                      <w:bCs w:val="0"/>
                      <w:color w:val="auto"/>
                      <w:sz w:val="21"/>
                      <w:szCs w:val="21"/>
                      <w:lang w:eastAsia="zh-CN"/>
                    </w:rPr>
                    <w:t>废润滑油</w:t>
                  </w:r>
                </w:p>
              </w:tc>
              <w:tc>
                <w:tcPr>
                  <w:tcW w:w="470"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pacing w:val="-10"/>
                      <w:kern w:val="2"/>
                      <w:sz w:val="21"/>
                      <w:szCs w:val="21"/>
                      <w:lang w:val="en-US" w:eastAsia="zh-CN" w:bidi="ar-SA"/>
                    </w:rPr>
                  </w:pPr>
                  <w:r>
                    <w:rPr>
                      <w:rFonts w:hint="default" w:ascii="Times New Roman" w:hAnsi="Times New Roman" w:cs="Times New Roman"/>
                      <w:b w:val="0"/>
                      <w:bCs w:val="0"/>
                      <w:color w:val="auto"/>
                      <w:sz w:val="21"/>
                      <w:szCs w:val="21"/>
                    </w:rPr>
                    <w:t>HW08</w:t>
                  </w:r>
                </w:p>
              </w:tc>
              <w:tc>
                <w:tcPr>
                  <w:tcW w:w="737"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spacing w:val="-10"/>
                      <w:kern w:val="2"/>
                      <w:sz w:val="21"/>
                      <w:szCs w:val="21"/>
                      <w:lang w:val="en-US" w:eastAsia="zh-CN" w:bidi="ar-SA"/>
                    </w:rPr>
                  </w:pPr>
                  <w:r>
                    <w:rPr>
                      <w:rFonts w:hint="default" w:ascii="Times New Roman" w:hAnsi="Times New Roman" w:cs="Times New Roman"/>
                      <w:b w:val="0"/>
                      <w:bCs w:val="0"/>
                      <w:color w:val="auto"/>
                      <w:sz w:val="21"/>
                      <w:szCs w:val="21"/>
                    </w:rPr>
                    <w:t>900-21</w:t>
                  </w:r>
                  <w:r>
                    <w:rPr>
                      <w:rFonts w:hint="default" w:ascii="Times New Roman" w:hAnsi="Times New Roman" w:cs="Times New Roman"/>
                      <w:b w:val="0"/>
                      <w:bCs w:val="0"/>
                      <w:color w:val="auto"/>
                      <w:sz w:val="21"/>
                      <w:szCs w:val="21"/>
                      <w:lang w:val="en-US" w:eastAsia="zh-CN"/>
                    </w:rPr>
                    <w:t>7</w:t>
                  </w:r>
                  <w:r>
                    <w:rPr>
                      <w:rFonts w:hint="default" w:ascii="Times New Roman" w:hAnsi="Times New Roman" w:cs="Times New Roman"/>
                      <w:b w:val="0"/>
                      <w:bCs w:val="0"/>
                      <w:color w:val="auto"/>
                      <w:sz w:val="21"/>
                      <w:szCs w:val="21"/>
                    </w:rPr>
                    <w:t>-08</w:t>
                  </w:r>
                </w:p>
              </w:tc>
              <w:tc>
                <w:tcPr>
                  <w:tcW w:w="346" w:type="pct"/>
                  <w:vMerge w:val="restar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院内</w:t>
                  </w:r>
                </w:p>
              </w:tc>
              <w:tc>
                <w:tcPr>
                  <w:tcW w:w="408" w:type="pct"/>
                  <w:vMerge w:val="restar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16</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p>
              </w:tc>
              <w:tc>
                <w:tcPr>
                  <w:tcW w:w="895" w:type="pct"/>
                  <w:vMerge w:val="restar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危险废物集中收集后，分区暂存于危险废物贮存间内</w:t>
                  </w:r>
                </w:p>
              </w:tc>
              <w:tc>
                <w:tcPr>
                  <w:tcW w:w="427"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cs="Times New Roman"/>
                      <w:b w:val="0"/>
                      <w:bCs w:val="0"/>
                      <w:color w:val="auto"/>
                      <w:sz w:val="21"/>
                      <w:szCs w:val="21"/>
                      <w:lang w:val="en-US" w:eastAsia="zh-CN"/>
                    </w:rPr>
                    <w:t>0.5</w:t>
                  </w:r>
                </w:p>
              </w:tc>
              <w:tc>
                <w:tcPr>
                  <w:tcW w:w="410" w:type="pct"/>
                  <w:vMerge w:val="restar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9" w:type="pc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color w:val="000000"/>
                      <w:sz w:val="21"/>
                      <w:szCs w:val="21"/>
                      <w:vertAlign w:val="baseline"/>
                      <w:lang w:val="en-US" w:eastAsia="zh-CN"/>
                    </w:rPr>
                    <w:t>2</w:t>
                  </w:r>
                </w:p>
              </w:tc>
              <w:tc>
                <w:tcPr>
                  <w:tcW w:w="383" w:type="pct"/>
                  <w:vMerge w:val="continue"/>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z w:val="21"/>
                      <w:szCs w:val="21"/>
                      <w:vertAlign w:val="baseline"/>
                      <w:lang w:val="en-US" w:eastAsia="zh-CN"/>
                    </w:rPr>
                  </w:pPr>
                </w:p>
              </w:tc>
              <w:tc>
                <w:tcPr>
                  <w:tcW w:w="639"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000000"/>
                      <w:kern w:val="2"/>
                      <w:sz w:val="21"/>
                      <w:szCs w:val="21"/>
                      <w:lang w:val="en-US" w:eastAsia="zh-CN" w:bidi="ar-SA"/>
                    </w:rPr>
                  </w:pPr>
                  <w:r>
                    <w:rPr>
                      <w:rFonts w:hint="default" w:ascii="Times New Roman" w:hAnsi="Times New Roman" w:cs="Times New Roman"/>
                      <w:b w:val="0"/>
                      <w:bCs w:val="0"/>
                      <w:color w:val="auto"/>
                      <w:sz w:val="21"/>
                      <w:szCs w:val="21"/>
                    </w:rPr>
                    <w:t>废油桶</w:t>
                  </w:r>
                </w:p>
              </w:tc>
              <w:tc>
                <w:tcPr>
                  <w:tcW w:w="470"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pacing w:val="-10"/>
                      <w:kern w:val="2"/>
                      <w:sz w:val="21"/>
                      <w:szCs w:val="21"/>
                      <w:lang w:val="en-US" w:eastAsia="zh-CN" w:bidi="ar-SA"/>
                    </w:rPr>
                  </w:pPr>
                  <w:r>
                    <w:rPr>
                      <w:rFonts w:hint="default" w:ascii="Times New Roman" w:hAnsi="Times New Roman" w:cs="Times New Roman"/>
                      <w:b w:val="0"/>
                      <w:bCs w:val="0"/>
                      <w:color w:val="auto"/>
                      <w:sz w:val="21"/>
                      <w:szCs w:val="21"/>
                    </w:rPr>
                    <w:t>HW</w:t>
                  </w:r>
                  <w:r>
                    <w:rPr>
                      <w:rFonts w:hint="default" w:ascii="Times New Roman" w:hAnsi="Times New Roman" w:cs="Times New Roman"/>
                      <w:b w:val="0"/>
                      <w:bCs w:val="0"/>
                      <w:color w:val="auto"/>
                      <w:sz w:val="21"/>
                      <w:szCs w:val="21"/>
                      <w:lang w:val="en-US" w:eastAsia="zh-CN"/>
                    </w:rPr>
                    <w:t>08</w:t>
                  </w:r>
                </w:p>
              </w:tc>
              <w:tc>
                <w:tcPr>
                  <w:tcW w:w="737"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pacing w:val="-10"/>
                      <w:kern w:val="2"/>
                      <w:sz w:val="21"/>
                      <w:szCs w:val="21"/>
                      <w:lang w:val="en-US" w:eastAsia="zh-CN" w:bidi="ar-SA"/>
                    </w:rPr>
                  </w:pPr>
                  <w:r>
                    <w:rPr>
                      <w:rFonts w:hint="default" w:ascii="Times New Roman" w:hAnsi="Times New Roman" w:cs="Times New Roman"/>
                      <w:b w:val="0"/>
                      <w:bCs w:val="0"/>
                      <w:color w:val="auto"/>
                      <w:sz w:val="21"/>
                      <w:szCs w:val="21"/>
                    </w:rPr>
                    <w:t>900-</w:t>
                  </w:r>
                  <w:r>
                    <w:rPr>
                      <w:rFonts w:hint="default" w:ascii="Times New Roman" w:hAnsi="Times New Roman" w:cs="Times New Roman"/>
                      <w:b w:val="0"/>
                      <w:bCs w:val="0"/>
                      <w:color w:val="auto"/>
                      <w:sz w:val="21"/>
                      <w:szCs w:val="21"/>
                      <w:lang w:val="en-US" w:eastAsia="zh-CN"/>
                    </w:rPr>
                    <w:t>249</w:t>
                  </w:r>
                  <w:r>
                    <w:rPr>
                      <w:rFonts w:hint="default" w:ascii="Times New Roman" w:hAnsi="Times New Roman" w:cs="Times New Roman"/>
                      <w:b w:val="0"/>
                      <w:bCs w:val="0"/>
                      <w:color w:val="auto"/>
                      <w:sz w:val="21"/>
                      <w:szCs w:val="21"/>
                    </w:rPr>
                    <w:t>-</w:t>
                  </w:r>
                  <w:r>
                    <w:rPr>
                      <w:rFonts w:hint="default" w:ascii="Times New Roman" w:hAnsi="Times New Roman" w:cs="Times New Roman"/>
                      <w:b w:val="0"/>
                      <w:bCs w:val="0"/>
                      <w:color w:val="auto"/>
                      <w:sz w:val="21"/>
                      <w:szCs w:val="21"/>
                      <w:lang w:val="en-US" w:eastAsia="zh-CN"/>
                    </w:rPr>
                    <w:t>08</w:t>
                  </w:r>
                </w:p>
              </w:tc>
              <w:tc>
                <w:tcPr>
                  <w:tcW w:w="346" w:type="pct"/>
                  <w:vMerge w:val="continue"/>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z w:val="21"/>
                      <w:szCs w:val="21"/>
                      <w:vertAlign w:val="baseline"/>
                      <w:lang w:val="en-US" w:eastAsia="zh-CN"/>
                    </w:rPr>
                  </w:pPr>
                </w:p>
              </w:tc>
              <w:tc>
                <w:tcPr>
                  <w:tcW w:w="408" w:type="pct"/>
                  <w:vMerge w:val="continue"/>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z w:val="21"/>
                      <w:szCs w:val="21"/>
                      <w:vertAlign w:val="baseline"/>
                      <w:lang w:val="en-US" w:eastAsia="zh-CN"/>
                    </w:rPr>
                  </w:pPr>
                </w:p>
              </w:tc>
              <w:tc>
                <w:tcPr>
                  <w:tcW w:w="895" w:type="pct"/>
                  <w:vMerge w:val="continue"/>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z w:val="21"/>
                      <w:szCs w:val="21"/>
                      <w:vertAlign w:val="baseline"/>
                      <w:lang w:val="en-US" w:eastAsia="zh-CN"/>
                    </w:rPr>
                  </w:pPr>
                </w:p>
              </w:tc>
              <w:tc>
                <w:tcPr>
                  <w:tcW w:w="427"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kern w:val="2"/>
                      <w:sz w:val="21"/>
                      <w:szCs w:val="21"/>
                      <w:vertAlign w:val="baseline"/>
                      <w:lang w:val="en-US" w:eastAsia="zh-CN" w:bidi="ar-SA"/>
                    </w:rPr>
                  </w:pPr>
                  <w:r>
                    <w:rPr>
                      <w:rFonts w:hint="default" w:ascii="Times New Roman" w:hAnsi="Times New Roman" w:cs="Times New Roman"/>
                      <w:b w:val="0"/>
                      <w:bCs w:val="0"/>
                      <w:color w:val="auto"/>
                      <w:sz w:val="21"/>
                      <w:szCs w:val="21"/>
                      <w:lang w:val="en-US" w:eastAsia="zh-CN"/>
                    </w:rPr>
                    <w:t>0.5</w:t>
                  </w:r>
                </w:p>
              </w:tc>
              <w:tc>
                <w:tcPr>
                  <w:tcW w:w="410" w:type="pct"/>
                  <w:vMerge w:val="continue"/>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z w:val="21"/>
                      <w:szCs w:val="21"/>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val="0"/>
              <w:spacing w:before="157" w:beforeLines="50" w:line="360" w:lineRule="auto"/>
              <w:ind w:firstLine="482" w:firstLineChars="200"/>
              <w:textAlignment w:val="auto"/>
              <w:rPr>
                <w:rFonts w:ascii="Times New Roman" w:hAnsi="Times New Roman"/>
                <w:b/>
                <w:bCs/>
                <w:sz w:val="24"/>
              </w:rPr>
            </w:pPr>
            <w:r>
              <w:rPr>
                <w:rFonts w:ascii="Times New Roman" w:hAnsi="宋体"/>
                <w:b/>
                <w:bCs/>
                <w:sz w:val="24"/>
              </w:rPr>
              <w:t>（</w:t>
            </w:r>
            <w:r>
              <w:rPr>
                <w:rFonts w:ascii="Times New Roman" w:hAnsi="Times New Roman"/>
                <w:b/>
                <w:bCs/>
                <w:sz w:val="24"/>
              </w:rPr>
              <w:t>2</w:t>
            </w:r>
            <w:r>
              <w:rPr>
                <w:rFonts w:ascii="Times New Roman" w:hAnsi="宋体"/>
                <w:b/>
                <w:bCs/>
                <w:sz w:val="24"/>
              </w:rPr>
              <w:t>）运输过程的环境影响分析</w:t>
            </w:r>
          </w:p>
          <w:p>
            <w:pPr>
              <w:snapToGrid w:val="0"/>
              <w:spacing w:line="360" w:lineRule="auto"/>
              <w:ind w:firstLine="480" w:firstLineChars="200"/>
              <w:rPr>
                <w:rFonts w:ascii="Times New Roman" w:hAnsi="Times New Roman"/>
                <w:sz w:val="24"/>
              </w:rPr>
            </w:pPr>
            <w:r>
              <w:rPr>
                <w:rFonts w:ascii="Times New Roman" w:hAnsi="宋体"/>
                <w:sz w:val="24"/>
              </w:rPr>
              <w:t>项目危险废物运输由建设单位委托有资质的危险废物处置单位进行运输，建设单位配合运输单位员工进行危险废物中转作业，中转装卸及运输过程遵守如下技术要求：</w:t>
            </w:r>
          </w:p>
          <w:p>
            <w:pPr>
              <w:snapToGrid w:val="0"/>
              <w:spacing w:line="360" w:lineRule="auto"/>
              <w:ind w:firstLine="480" w:firstLineChars="200"/>
              <w:rPr>
                <w:rFonts w:ascii="Times New Roman" w:hAnsi="Times New Roman"/>
                <w:sz w:val="24"/>
              </w:rPr>
            </w:pPr>
            <w:r>
              <w:rPr>
                <w:rFonts w:ascii="Times New Roman" w:hAnsi="宋体"/>
                <w:sz w:val="24"/>
              </w:rPr>
              <w:t>①装卸危险废物的工作人员熟悉危险废物的属性，并配备适当的个人防护装备，装卸剧毒废物配备特殊的防护装备。</w:t>
            </w:r>
          </w:p>
          <w:p>
            <w:pPr>
              <w:snapToGrid w:val="0"/>
              <w:spacing w:line="360" w:lineRule="auto"/>
              <w:ind w:firstLine="480" w:firstLineChars="200"/>
              <w:rPr>
                <w:rFonts w:ascii="Times New Roman" w:hAnsi="Times New Roman"/>
                <w:sz w:val="24"/>
              </w:rPr>
            </w:pPr>
            <w:r>
              <w:rPr>
                <w:rFonts w:ascii="Times New Roman" w:hAnsi="宋体"/>
                <w:sz w:val="24"/>
              </w:rPr>
              <w:t>②装卸区配备必要的消防设备和设施，并设置明显的指示标志。</w:t>
            </w:r>
          </w:p>
          <w:p>
            <w:pPr>
              <w:snapToGrid w:val="0"/>
              <w:spacing w:line="360" w:lineRule="auto"/>
              <w:ind w:firstLine="480" w:firstLineChars="200"/>
              <w:rPr>
                <w:rFonts w:ascii="Times New Roman" w:hAnsi="Times New Roman"/>
                <w:sz w:val="24"/>
              </w:rPr>
            </w:pPr>
            <w:r>
              <w:rPr>
                <w:rFonts w:ascii="Times New Roman" w:hAnsi="宋体"/>
                <w:sz w:val="24"/>
              </w:rPr>
              <w:t>③危险废物装卸区设置必要的隔离设施，液态废物卸载区设置收集槽和缓冲罐等必要的应急设施。</w:t>
            </w:r>
          </w:p>
          <w:p>
            <w:pPr>
              <w:snapToGrid w:val="0"/>
              <w:spacing w:line="360" w:lineRule="auto"/>
              <w:ind w:firstLine="482" w:firstLineChars="200"/>
              <w:rPr>
                <w:rFonts w:ascii="Times New Roman" w:hAnsi="Times New Roman"/>
                <w:b/>
                <w:bCs/>
                <w:sz w:val="24"/>
              </w:rPr>
            </w:pPr>
            <w:r>
              <w:rPr>
                <w:rFonts w:ascii="Times New Roman" w:hAnsi="宋体"/>
                <w:b/>
                <w:bCs/>
                <w:sz w:val="24"/>
              </w:rPr>
              <w:t>（</w:t>
            </w:r>
            <w:r>
              <w:rPr>
                <w:rFonts w:ascii="Times New Roman" w:hAnsi="Times New Roman"/>
                <w:b/>
                <w:bCs/>
                <w:sz w:val="24"/>
              </w:rPr>
              <w:t>3</w:t>
            </w:r>
            <w:r>
              <w:rPr>
                <w:rFonts w:ascii="Times New Roman" w:hAnsi="宋体"/>
                <w:b/>
                <w:bCs/>
                <w:sz w:val="24"/>
              </w:rPr>
              <w:t>）</w:t>
            </w:r>
            <w:r>
              <w:rPr>
                <w:rFonts w:hint="eastAsia"/>
                <w:b/>
                <w:bCs/>
                <w:color w:val="auto"/>
                <w:sz w:val="24"/>
                <w:szCs w:val="32"/>
              </w:rPr>
              <w:t>委托利用或者处置的环境影响分析</w:t>
            </w:r>
          </w:p>
          <w:p>
            <w:pPr>
              <w:snapToGrid w:val="0"/>
              <w:spacing w:line="360" w:lineRule="auto"/>
              <w:ind w:firstLine="480" w:firstLineChars="200"/>
              <w:rPr>
                <w:rFonts w:hint="eastAsia" w:ascii="Times New Roman" w:hAnsi="Times New Roman"/>
                <w:color w:val="auto"/>
                <w:sz w:val="24"/>
                <w:szCs w:val="32"/>
              </w:rPr>
            </w:pPr>
            <w:r>
              <w:rPr>
                <w:rFonts w:ascii="Times New Roman" w:hAnsi="Times New Roman"/>
                <w:color w:val="auto"/>
                <w:sz w:val="24"/>
                <w:szCs w:val="32"/>
              </w:rPr>
              <w:t>本项目产生的危险废物</w:t>
            </w:r>
            <w:r>
              <w:rPr>
                <w:rFonts w:hint="eastAsia" w:ascii="Times New Roman" w:hAnsi="Times New Roman"/>
                <w:color w:val="auto"/>
                <w:sz w:val="24"/>
                <w:szCs w:val="32"/>
                <w:lang w:val="en-US" w:eastAsia="zh-CN"/>
              </w:rPr>
              <w:t>为</w:t>
            </w:r>
            <w:r>
              <w:rPr>
                <w:rFonts w:ascii="Times New Roman" w:hAnsi="Times New Roman"/>
                <w:color w:val="auto"/>
                <w:sz w:val="24"/>
                <w:szCs w:val="32"/>
              </w:rPr>
              <w:t>废</w:t>
            </w:r>
            <w:r>
              <w:rPr>
                <w:rFonts w:hint="eastAsia" w:ascii="Times New Roman" w:hAnsi="Times New Roman"/>
                <w:color w:val="auto"/>
                <w:sz w:val="24"/>
                <w:szCs w:val="32"/>
              </w:rPr>
              <w:t>润滑油</w:t>
            </w:r>
            <w:r>
              <w:rPr>
                <w:rFonts w:ascii="Times New Roman" w:hAnsi="Times New Roman"/>
                <w:color w:val="auto"/>
                <w:sz w:val="24"/>
                <w:szCs w:val="32"/>
              </w:rPr>
              <w:t>、废油桶</w:t>
            </w:r>
            <w:r>
              <w:rPr>
                <w:rFonts w:hint="eastAsia" w:ascii="Times New Roman" w:hAnsi="Times New Roman"/>
                <w:color w:val="auto"/>
                <w:sz w:val="24"/>
                <w:szCs w:val="32"/>
                <w:lang w:eastAsia="zh-CN"/>
              </w:rPr>
              <w:t>，</w:t>
            </w:r>
            <w:r>
              <w:rPr>
                <w:rFonts w:ascii="Times New Roman" w:hAnsi="Times New Roman"/>
                <w:color w:val="auto"/>
                <w:sz w:val="24"/>
                <w:szCs w:val="32"/>
              </w:rPr>
              <w:t>暂存于危险废物贮存间内，定期交由</w:t>
            </w:r>
            <w:r>
              <w:rPr>
                <w:rFonts w:hint="eastAsia" w:ascii="Times New Roman" w:hAnsi="Times New Roman"/>
                <w:color w:val="auto"/>
                <w:sz w:val="24"/>
                <w:szCs w:val="32"/>
              </w:rPr>
              <w:t>有资质</w:t>
            </w:r>
            <w:r>
              <w:rPr>
                <w:rFonts w:ascii="Times New Roman" w:hAnsi="Times New Roman"/>
                <w:color w:val="auto"/>
                <w:sz w:val="24"/>
                <w:szCs w:val="32"/>
              </w:rPr>
              <w:t>的单位处理。</w:t>
            </w:r>
            <w:r>
              <w:rPr>
                <w:rFonts w:hint="eastAsia" w:ascii="Times New Roman" w:hAnsi="Times New Roman"/>
                <w:color w:val="auto"/>
                <w:sz w:val="24"/>
                <w:szCs w:val="32"/>
                <w:lang w:eastAsia="zh-CN"/>
              </w:rPr>
              <w:t>承德富龙现代农业发展有限公司于</w:t>
            </w:r>
            <w:r>
              <w:rPr>
                <w:rFonts w:hint="eastAsia" w:ascii="Times New Roman" w:hAnsi="Times New Roman"/>
                <w:color w:val="auto"/>
                <w:sz w:val="24"/>
                <w:szCs w:val="32"/>
                <w:lang w:val="en-US" w:eastAsia="zh-CN"/>
              </w:rPr>
              <w:t>2022年9月19 日与承德双然环保科技有限公司签订危险废物收集转运技术服务合同（见附件），合同中对危险废物收集转运的种类包括</w:t>
            </w:r>
            <w:r>
              <w:rPr>
                <w:rFonts w:ascii="Times New Roman" w:hAnsi="Times New Roman"/>
                <w:color w:val="auto"/>
                <w:sz w:val="24"/>
                <w:szCs w:val="32"/>
              </w:rPr>
              <w:t>废</w:t>
            </w:r>
            <w:r>
              <w:rPr>
                <w:rFonts w:hint="eastAsia" w:ascii="Times New Roman" w:hAnsi="Times New Roman"/>
                <w:color w:val="auto"/>
                <w:sz w:val="24"/>
                <w:szCs w:val="32"/>
              </w:rPr>
              <w:t>润滑油</w:t>
            </w:r>
            <w:r>
              <w:rPr>
                <w:rFonts w:ascii="Times New Roman" w:hAnsi="Times New Roman"/>
                <w:color w:val="auto"/>
                <w:sz w:val="24"/>
                <w:szCs w:val="32"/>
              </w:rPr>
              <w:t>、废油桶</w:t>
            </w:r>
            <w:r>
              <w:rPr>
                <w:rFonts w:hint="eastAsia" w:ascii="Times New Roman" w:hAnsi="Times New Roman"/>
                <w:color w:val="auto"/>
                <w:sz w:val="24"/>
                <w:szCs w:val="32"/>
              </w:rPr>
              <w:t>。</w:t>
            </w:r>
          </w:p>
          <w:p>
            <w:pPr>
              <w:snapToGrid w:val="0"/>
              <w:spacing w:line="360" w:lineRule="auto"/>
              <w:ind w:firstLine="480" w:firstLineChars="200"/>
              <w:rPr>
                <w:rFonts w:hint="eastAsia"/>
                <w:color w:val="auto"/>
                <w:sz w:val="24"/>
                <w:szCs w:val="32"/>
                <w:lang w:eastAsia="zh-CN"/>
              </w:rPr>
            </w:pPr>
            <w:r>
              <w:rPr>
                <w:rFonts w:hint="eastAsia" w:ascii="Times New Roman" w:hAnsi="Times New Roman"/>
                <w:color w:val="auto"/>
                <w:sz w:val="24"/>
                <w:szCs w:val="32"/>
                <w:lang w:eastAsia="zh-CN"/>
              </w:rPr>
              <w:t>因此，</w:t>
            </w:r>
            <w:r>
              <w:rPr>
                <w:rFonts w:ascii="Times New Roman" w:hAnsi="Times New Roman"/>
                <w:color w:val="auto"/>
                <w:sz w:val="24"/>
                <w:szCs w:val="32"/>
              </w:rPr>
              <w:t>本项目</w:t>
            </w:r>
            <w:r>
              <w:rPr>
                <w:rFonts w:hint="eastAsia"/>
                <w:color w:val="auto"/>
                <w:sz w:val="24"/>
                <w:szCs w:val="32"/>
              </w:rPr>
              <w:t>危险废物委托</w:t>
            </w:r>
            <w:r>
              <w:rPr>
                <w:rFonts w:hint="eastAsia"/>
                <w:color w:val="auto"/>
                <w:sz w:val="24"/>
                <w:szCs w:val="32"/>
                <w:lang w:val="en-US" w:eastAsia="zh-CN"/>
              </w:rPr>
              <w:t>承德双然环保科技有限公司</w:t>
            </w:r>
            <w:r>
              <w:rPr>
                <w:rFonts w:hint="eastAsia"/>
                <w:color w:val="auto"/>
                <w:sz w:val="24"/>
                <w:szCs w:val="32"/>
              </w:rPr>
              <w:t>处置可行</w:t>
            </w:r>
            <w:r>
              <w:rPr>
                <w:rFonts w:hint="eastAsia"/>
                <w:color w:val="auto"/>
                <w:sz w:val="24"/>
                <w:szCs w:val="32"/>
                <w:lang w:eastAsia="zh-CN"/>
              </w:rPr>
              <w:t>。</w:t>
            </w:r>
          </w:p>
          <w:p>
            <w:pPr>
              <w:snapToGrid w:val="0"/>
              <w:spacing w:line="360" w:lineRule="auto"/>
              <w:ind w:firstLine="482" w:firstLineChars="200"/>
              <w:rPr>
                <w:rFonts w:hint="eastAsia" w:ascii="Times New Roman" w:hAnsi="宋体"/>
                <w:b/>
                <w:bCs/>
                <w:sz w:val="24"/>
                <w:lang w:eastAsia="zh-CN"/>
              </w:rPr>
            </w:pPr>
            <w:r>
              <w:rPr>
                <w:rFonts w:ascii="Times New Roman" w:hAnsi="宋体"/>
                <w:b/>
                <w:bCs/>
                <w:sz w:val="24"/>
              </w:rPr>
              <w:t>（</w:t>
            </w:r>
            <w:r>
              <w:rPr>
                <w:rFonts w:hint="eastAsia" w:ascii="Times New Roman" w:hAnsi="宋体"/>
                <w:b/>
                <w:bCs/>
                <w:sz w:val="24"/>
                <w:lang w:val="en-US" w:eastAsia="zh-CN"/>
              </w:rPr>
              <w:t>4</w:t>
            </w:r>
            <w:r>
              <w:rPr>
                <w:rFonts w:ascii="Times New Roman" w:hAnsi="宋体"/>
                <w:b/>
                <w:bCs/>
                <w:sz w:val="24"/>
              </w:rPr>
              <w:t>）</w:t>
            </w:r>
            <w:r>
              <w:rPr>
                <w:rFonts w:ascii="Times New Roman" w:hAnsi="宋体"/>
                <w:b/>
                <w:bCs/>
                <w:color w:val="auto"/>
                <w:sz w:val="24"/>
              </w:rPr>
              <w:t>危险废物收集、储存、转运过程应急预案</w:t>
            </w:r>
          </w:p>
          <w:p>
            <w:pPr>
              <w:snapToGrid w:val="0"/>
              <w:spacing w:line="360" w:lineRule="auto"/>
              <w:ind w:firstLine="480" w:firstLineChars="200"/>
              <w:rPr>
                <w:rFonts w:ascii="Times New Roman" w:hAnsi="Times New Roman"/>
                <w:sz w:val="24"/>
              </w:rPr>
            </w:pPr>
            <w:r>
              <w:rPr>
                <w:rFonts w:ascii="Times New Roman" w:hAnsi="宋体"/>
                <w:sz w:val="24"/>
              </w:rPr>
              <w:t>危险废物收集、储存、转运过程编制相应的应急预案，应急预案的编制参照《危险废物经营单位编制应急预案指南》，针对危险废物收集、储运、中转过程产生的事故易发环节应定期组织应急演练。</w:t>
            </w:r>
          </w:p>
          <w:p>
            <w:pPr>
              <w:snapToGrid w:val="0"/>
              <w:spacing w:line="360" w:lineRule="auto"/>
              <w:ind w:firstLine="480" w:firstLineChars="200"/>
              <w:rPr>
                <w:rFonts w:ascii="Times New Roman" w:hAnsi="Times New Roman"/>
                <w:sz w:val="24"/>
              </w:rPr>
            </w:pPr>
            <w:r>
              <w:rPr>
                <w:rFonts w:ascii="Times New Roman" w:hAnsi="宋体"/>
                <w:sz w:val="24"/>
              </w:rPr>
              <w:t>危险废物收集、储运、中转过程一旦发生意外事故，建设单位根据风险应急预案立即采取如下措施：</w:t>
            </w:r>
          </w:p>
          <w:p>
            <w:pPr>
              <w:snapToGrid w:val="0"/>
              <w:spacing w:line="360" w:lineRule="auto"/>
              <w:ind w:firstLine="480" w:firstLineChars="200"/>
              <w:rPr>
                <w:rFonts w:ascii="Times New Roman" w:hAnsi="宋体"/>
                <w:sz w:val="24"/>
              </w:rPr>
            </w:pPr>
            <w:r>
              <w:rPr>
                <w:rFonts w:ascii="Times New Roman" w:hAnsi="宋体"/>
                <w:sz w:val="24"/>
              </w:rPr>
              <w:t>①设立事故警戒线，启动应急预案，并按要求向环保主管部门进行报告。</w:t>
            </w:r>
          </w:p>
          <w:p>
            <w:pPr>
              <w:snapToGrid w:val="0"/>
              <w:spacing w:line="360" w:lineRule="auto"/>
              <w:ind w:firstLine="480" w:firstLineChars="200"/>
              <w:rPr>
                <w:rFonts w:ascii="Times New Roman" w:hAnsi="宋体"/>
                <w:sz w:val="24"/>
              </w:rPr>
            </w:pPr>
            <w:r>
              <w:rPr>
                <w:rFonts w:ascii="Times New Roman" w:hAnsi="宋体"/>
                <w:sz w:val="24"/>
              </w:rPr>
              <w:t>②对事故受到污染的土壤和水体等进行相应的清理和修复。</w:t>
            </w:r>
          </w:p>
          <w:p>
            <w:pPr>
              <w:snapToGrid w:val="0"/>
              <w:spacing w:line="360" w:lineRule="auto"/>
              <w:ind w:firstLine="480" w:firstLineChars="200"/>
              <w:rPr>
                <w:rFonts w:ascii="Times New Roman" w:hAnsi="宋体"/>
                <w:sz w:val="24"/>
              </w:rPr>
            </w:pPr>
            <w:r>
              <w:rPr>
                <w:rFonts w:ascii="Times New Roman" w:hAnsi="宋体"/>
                <w:sz w:val="24"/>
              </w:rPr>
              <w:t>③清理过程产生的所有废物按危险废物进行管理和处置。</w:t>
            </w:r>
          </w:p>
          <w:p>
            <w:pPr>
              <w:adjustRightInd w:val="0"/>
              <w:snapToGrid w:val="0"/>
              <w:spacing w:line="360" w:lineRule="auto"/>
              <w:ind w:firstLine="480" w:firstLineChars="200"/>
              <w:rPr>
                <w:rFonts w:ascii="Times New Roman" w:hAnsi="宋体"/>
                <w:sz w:val="24"/>
              </w:rPr>
            </w:pPr>
            <w:r>
              <w:rPr>
                <w:rFonts w:ascii="Times New Roman" w:hAnsi="宋体"/>
                <w:sz w:val="24"/>
              </w:rPr>
              <w:t>④进入现场清理和包装危险废物的人员应受过专业培训，穿着防护服，佩戴防护用具。</w:t>
            </w:r>
          </w:p>
          <w:p>
            <w:pPr>
              <w:adjustRightInd w:val="0"/>
              <w:snapToGrid w:val="0"/>
              <w:spacing w:line="360" w:lineRule="auto"/>
              <w:ind w:firstLine="482" w:firstLineChars="200"/>
              <w:rPr>
                <w:rFonts w:ascii="Times New Roman" w:hAnsi="Times New Roman" w:cs="Times New Roman"/>
                <w:b/>
                <w:bCs/>
                <w:color w:val="000000"/>
                <w:sz w:val="24"/>
              </w:rPr>
            </w:pPr>
            <w:r>
              <w:rPr>
                <w:rFonts w:hint="eastAsia" w:ascii="Times New Roman" w:hAnsi="Times New Roman" w:cs="Times New Roman"/>
                <w:b/>
                <w:bCs/>
                <w:color w:val="000000"/>
                <w:sz w:val="24"/>
              </w:rPr>
              <w:t>（</w:t>
            </w:r>
            <w:r>
              <w:rPr>
                <w:rFonts w:hint="eastAsia" w:ascii="Times New Roman" w:hAnsi="Times New Roman" w:cs="Times New Roman"/>
                <w:b/>
                <w:bCs/>
                <w:color w:val="000000"/>
                <w:sz w:val="24"/>
                <w:lang w:val="en-US" w:eastAsia="zh-CN"/>
              </w:rPr>
              <w:t>5</w:t>
            </w:r>
            <w:r>
              <w:rPr>
                <w:rFonts w:hint="eastAsia" w:ascii="Times New Roman" w:hAnsi="Times New Roman" w:cs="Times New Roman"/>
                <w:b/>
                <w:bCs/>
                <w:color w:val="000000"/>
                <w:sz w:val="24"/>
              </w:rPr>
              <w:t>）</w:t>
            </w:r>
            <w:r>
              <w:rPr>
                <w:rFonts w:ascii="Times New Roman" w:hAnsi="Times New Roman" w:cs="Times New Roman"/>
                <w:b/>
                <w:bCs/>
                <w:color w:val="000000"/>
                <w:sz w:val="24"/>
              </w:rPr>
              <w:t>固体废物环境管理要求</w:t>
            </w:r>
          </w:p>
          <w:p>
            <w:pPr>
              <w:spacing w:line="360" w:lineRule="auto"/>
              <w:ind w:firstLine="480" w:firstLineChars="200"/>
              <w:rPr>
                <w:rFonts w:ascii="Times New Roman" w:hAnsi="Times New Roman" w:cs="Times New Roman"/>
                <w:color w:val="000000"/>
                <w:sz w:val="24"/>
              </w:rPr>
            </w:pPr>
            <w:r>
              <w:rPr>
                <w:rFonts w:hint="eastAsia" w:ascii="Times New Roman" w:hAnsi="Times New Roman" w:cs="Times New Roman"/>
                <w:color w:val="000000"/>
                <w:sz w:val="24"/>
              </w:rPr>
              <w:t>①</w:t>
            </w:r>
            <w:r>
              <w:rPr>
                <w:rFonts w:ascii="Times New Roman" w:hAnsi="Times New Roman" w:cs="Times New Roman"/>
                <w:color w:val="000000"/>
                <w:sz w:val="24"/>
              </w:rPr>
              <w:t>项目运营期固体废物的产生、贮存、利用和处置全过程严格遵守国家有关建设项目环境保护管理的规定。</w:t>
            </w:r>
          </w:p>
          <w:p>
            <w:pPr>
              <w:spacing w:line="360" w:lineRule="auto"/>
              <w:ind w:firstLine="480"/>
              <w:rPr>
                <w:rFonts w:ascii="Times New Roman" w:hAnsi="Times New Roman" w:cs="Times New Roman"/>
                <w:color w:val="000000"/>
                <w:sz w:val="24"/>
              </w:rPr>
            </w:pPr>
            <w:r>
              <w:rPr>
                <w:rFonts w:hint="eastAsia" w:ascii="Times New Roman" w:hAnsi="Times New Roman" w:cs="Times New Roman"/>
                <w:color w:val="000000"/>
                <w:sz w:val="24"/>
              </w:rPr>
              <w:t>②</w:t>
            </w:r>
            <w:r>
              <w:rPr>
                <w:rFonts w:ascii="Times New Roman" w:hAnsi="Times New Roman" w:cs="Times New Roman"/>
                <w:color w:val="000000"/>
                <w:sz w:val="24"/>
              </w:rPr>
              <w:t>项目运营期产生、收集、贮存、运输、利用、处置固体废物时，采取防扬散、防流失、防渗漏或者其他纺织污染环境的措施，不得擅自倾倒、堆放、丢弃、遗撒固体废物；</w:t>
            </w:r>
          </w:p>
          <w:p>
            <w:pPr>
              <w:spacing w:line="360" w:lineRule="auto"/>
              <w:ind w:firstLine="480"/>
              <w:rPr>
                <w:rFonts w:ascii="Times New Roman" w:hAnsi="Times New Roman" w:cs="Times New Roman"/>
                <w:color w:val="000000"/>
                <w:sz w:val="24"/>
              </w:rPr>
            </w:pPr>
            <w:r>
              <w:rPr>
                <w:rFonts w:hint="eastAsia" w:ascii="Times New Roman" w:hAnsi="Times New Roman" w:cs="Times New Roman"/>
                <w:color w:val="000000"/>
                <w:sz w:val="24"/>
              </w:rPr>
              <w:t>③</w:t>
            </w:r>
            <w:r>
              <w:rPr>
                <w:rFonts w:ascii="Times New Roman" w:hAnsi="Times New Roman" w:cs="Times New Roman"/>
                <w:color w:val="000000"/>
                <w:sz w:val="24"/>
              </w:rPr>
              <w:t>建设单位运营期建立健全工业固体废物</w:t>
            </w:r>
            <w:r>
              <w:rPr>
                <w:rFonts w:hint="eastAsia" w:ascii="Times New Roman" w:hAnsi="Times New Roman" w:cs="Times New Roman"/>
                <w:color w:val="000000"/>
                <w:sz w:val="24"/>
              </w:rPr>
              <w:t>和危险废物</w:t>
            </w:r>
            <w:r>
              <w:rPr>
                <w:rFonts w:ascii="Times New Roman" w:hAnsi="Times New Roman" w:cs="Times New Roman"/>
                <w:color w:val="000000"/>
                <w:sz w:val="24"/>
              </w:rPr>
              <w:t>产生、收集、贮存、运输、利用、处置全过程的污染环境纺织责任制度，建立工业固体废物</w:t>
            </w:r>
            <w:r>
              <w:rPr>
                <w:rFonts w:hint="eastAsia" w:ascii="Times New Roman" w:hAnsi="Times New Roman" w:cs="Times New Roman"/>
                <w:color w:val="000000"/>
                <w:sz w:val="24"/>
              </w:rPr>
              <w:t>和危险废物</w:t>
            </w:r>
            <w:r>
              <w:rPr>
                <w:rFonts w:ascii="Times New Roman" w:hAnsi="Times New Roman" w:cs="Times New Roman"/>
                <w:color w:val="000000"/>
                <w:sz w:val="24"/>
              </w:rPr>
              <w:t>管理台账，如实记录产生工业固体废物的种类、数量、流向、贮存、利用、处置等信息，实现工业固体废物</w:t>
            </w:r>
            <w:r>
              <w:rPr>
                <w:rFonts w:hint="eastAsia" w:ascii="Times New Roman" w:hAnsi="Times New Roman" w:cs="Times New Roman"/>
                <w:color w:val="000000"/>
                <w:sz w:val="24"/>
              </w:rPr>
              <w:t>和危险废物</w:t>
            </w:r>
            <w:r>
              <w:rPr>
                <w:rFonts w:ascii="Times New Roman" w:hAnsi="Times New Roman" w:cs="Times New Roman"/>
                <w:color w:val="000000"/>
                <w:sz w:val="24"/>
              </w:rPr>
              <w:t>可追溯，可查询，并采取防治工业固体废物</w:t>
            </w:r>
            <w:r>
              <w:rPr>
                <w:rFonts w:hint="eastAsia" w:ascii="Times New Roman" w:hAnsi="Times New Roman" w:cs="Times New Roman"/>
                <w:color w:val="000000"/>
                <w:sz w:val="24"/>
              </w:rPr>
              <w:t>和危险废物</w:t>
            </w:r>
            <w:r>
              <w:rPr>
                <w:rFonts w:ascii="Times New Roman" w:hAnsi="Times New Roman" w:cs="Times New Roman"/>
                <w:color w:val="000000"/>
                <w:sz w:val="24"/>
              </w:rPr>
              <w:t>污染环境的措施；</w:t>
            </w:r>
          </w:p>
          <w:p>
            <w:pPr>
              <w:spacing w:line="360" w:lineRule="auto"/>
              <w:ind w:firstLine="480"/>
              <w:rPr>
                <w:rFonts w:ascii="Times New Roman" w:hAnsi="Times New Roman" w:cs="Times New Roman"/>
                <w:color w:val="000000"/>
                <w:sz w:val="24"/>
              </w:rPr>
            </w:pPr>
            <w:r>
              <w:rPr>
                <w:rFonts w:hint="eastAsia" w:ascii="Times New Roman" w:hAnsi="Times New Roman" w:cs="Times New Roman"/>
                <w:color w:val="000000"/>
                <w:sz w:val="24"/>
              </w:rPr>
              <w:t>④</w:t>
            </w:r>
            <w:r>
              <w:rPr>
                <w:rFonts w:ascii="Times New Roman" w:hAnsi="Times New Roman" w:cs="Times New Roman"/>
                <w:color w:val="000000"/>
                <w:sz w:val="24"/>
              </w:rPr>
              <w:t>企业对收集、贮存、运输、处置一般工业固体废物</w:t>
            </w:r>
            <w:r>
              <w:rPr>
                <w:rFonts w:hint="eastAsia" w:ascii="Times New Roman" w:hAnsi="Times New Roman" w:cs="Times New Roman"/>
                <w:color w:val="000000"/>
                <w:sz w:val="24"/>
              </w:rPr>
              <w:t>和危险废物</w:t>
            </w:r>
            <w:r>
              <w:rPr>
                <w:rFonts w:ascii="Times New Roman" w:hAnsi="Times New Roman" w:cs="Times New Roman"/>
                <w:color w:val="000000"/>
                <w:sz w:val="24"/>
              </w:rPr>
              <w:t>的设施、设备和场所，加强管理和维护，保证其正常运行和使用。</w:t>
            </w:r>
          </w:p>
          <w:p>
            <w:pPr>
              <w:spacing w:line="360" w:lineRule="auto"/>
              <w:ind w:firstLine="480"/>
              <w:rPr>
                <w:rFonts w:ascii="Times New Roman" w:hAnsi="Times New Roman" w:eastAsia="宋体" w:cs="Times New Roman"/>
                <w:color w:val="333333"/>
                <w:sz w:val="24"/>
                <w:shd w:val="clear" w:color="auto" w:fill="FFFFFF"/>
              </w:rPr>
            </w:pPr>
            <w:r>
              <w:rPr>
                <w:rFonts w:hint="eastAsia" w:ascii="Times New Roman" w:hAnsi="Times New Roman" w:cs="Times New Roman"/>
                <w:color w:val="000000"/>
                <w:sz w:val="24"/>
              </w:rPr>
              <w:t>⑤</w:t>
            </w:r>
            <w:r>
              <w:rPr>
                <w:rFonts w:ascii="Times New Roman" w:hAnsi="Times New Roman" w:eastAsia="宋体" w:cs="Times New Roman"/>
                <w:color w:val="333333"/>
                <w:sz w:val="24"/>
                <w:shd w:val="clear" w:color="auto" w:fill="FFFFFF"/>
              </w:rPr>
              <w:t>严禁将生活垃圾与一般工业固体废物</w:t>
            </w:r>
            <w:r>
              <w:rPr>
                <w:rFonts w:hint="eastAsia" w:ascii="Times New Roman" w:hAnsi="Times New Roman" w:eastAsia="宋体" w:cs="Times New Roman"/>
                <w:color w:val="333333"/>
                <w:sz w:val="24"/>
                <w:shd w:val="clear" w:color="auto" w:fill="FFFFFF"/>
              </w:rPr>
              <w:t>、危险废物</w:t>
            </w:r>
            <w:r>
              <w:rPr>
                <w:rFonts w:ascii="Times New Roman" w:hAnsi="Times New Roman" w:eastAsia="宋体" w:cs="Times New Roman"/>
                <w:color w:val="333333"/>
                <w:sz w:val="24"/>
                <w:shd w:val="clear" w:color="auto" w:fill="FFFFFF"/>
              </w:rPr>
              <w:t>混合处置。</w:t>
            </w:r>
          </w:p>
          <w:p>
            <w:pPr>
              <w:spacing w:line="360" w:lineRule="auto"/>
              <w:ind w:firstLine="480"/>
              <w:rPr>
                <w:rFonts w:ascii="Times New Roman" w:hAnsi="Times New Roman" w:eastAsia="宋体" w:cs="Times New Roman"/>
                <w:color w:val="333333"/>
                <w:sz w:val="24"/>
                <w:shd w:val="clear" w:color="auto" w:fill="FFFFFF"/>
              </w:rPr>
            </w:pPr>
            <w:r>
              <w:rPr>
                <w:rFonts w:hint="eastAsia" w:ascii="Times New Roman" w:hAnsi="Times New Roman" w:cs="Times New Roman"/>
                <w:color w:val="000000"/>
                <w:sz w:val="24"/>
              </w:rPr>
              <w:t>⑥</w:t>
            </w:r>
            <w:r>
              <w:rPr>
                <w:rFonts w:ascii="Times New Roman" w:hAnsi="Times New Roman" w:cs="Times New Roman"/>
                <w:color w:val="000000"/>
                <w:sz w:val="24"/>
              </w:rPr>
              <w:t>项目运营期间</w:t>
            </w:r>
            <w:r>
              <w:rPr>
                <w:rFonts w:ascii="Times New Roman" w:hAnsi="Times New Roman" w:eastAsia="宋体" w:cs="Times New Roman"/>
                <w:color w:val="333333"/>
                <w:sz w:val="24"/>
                <w:shd w:val="clear" w:color="auto" w:fill="FFFFFF"/>
              </w:rPr>
              <w:t>需要终止生产的，事先对工业固体废物</w:t>
            </w:r>
            <w:r>
              <w:rPr>
                <w:rFonts w:hint="eastAsia" w:ascii="Times New Roman" w:hAnsi="Times New Roman" w:cs="Times New Roman"/>
                <w:color w:val="000000"/>
                <w:sz w:val="24"/>
              </w:rPr>
              <w:t>和危险废物</w:t>
            </w:r>
            <w:r>
              <w:rPr>
                <w:rFonts w:ascii="Times New Roman" w:hAnsi="Times New Roman" w:eastAsia="宋体" w:cs="Times New Roman"/>
                <w:color w:val="333333"/>
                <w:sz w:val="24"/>
                <w:shd w:val="clear" w:color="auto" w:fill="FFFFFF"/>
              </w:rPr>
              <w:t>的贮存、处置设施、场所采取污染防治措施，并对未处置的工业固体废物</w:t>
            </w:r>
            <w:r>
              <w:rPr>
                <w:rFonts w:hint="eastAsia" w:ascii="Times New Roman" w:hAnsi="Times New Roman" w:cs="Times New Roman"/>
                <w:color w:val="000000"/>
                <w:sz w:val="24"/>
              </w:rPr>
              <w:t>和危险废物</w:t>
            </w:r>
            <w:r>
              <w:rPr>
                <w:rFonts w:ascii="Times New Roman" w:hAnsi="Times New Roman" w:eastAsia="宋体" w:cs="Times New Roman"/>
                <w:color w:val="333333"/>
                <w:sz w:val="24"/>
                <w:shd w:val="clear" w:color="auto" w:fill="FFFFFF"/>
              </w:rPr>
              <w:t>作出妥善处置，防止污染环境。</w:t>
            </w:r>
          </w:p>
          <w:p>
            <w:pPr>
              <w:numPr>
                <w:ilvl w:val="0"/>
                <w:numId w:val="10"/>
              </w:numPr>
              <w:spacing w:line="360" w:lineRule="auto"/>
              <w:ind w:firstLine="482" w:firstLineChars="200"/>
              <w:rPr>
                <w:rFonts w:hint="default" w:ascii="Times New Roman" w:hAnsi="Times New Roman" w:cs="Times New Roman"/>
                <w:b/>
                <w:bCs/>
                <w:color w:val="auto"/>
                <w:sz w:val="24"/>
                <w:shd w:val="clear" w:color="auto" w:fill="FFFFFF"/>
              </w:rPr>
            </w:pPr>
            <w:r>
              <w:rPr>
                <w:rFonts w:hint="default" w:ascii="Times New Roman" w:hAnsi="Times New Roman" w:cs="Times New Roman"/>
                <w:b/>
                <w:bCs/>
                <w:color w:val="auto"/>
                <w:sz w:val="24"/>
                <w:shd w:val="clear" w:color="auto" w:fill="FFFFFF"/>
              </w:rPr>
              <w:t>环境风险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eastAsiaTheme="minorEastAsia"/>
                <w:b/>
                <w:bCs/>
                <w:color w:val="auto"/>
                <w:sz w:val="24"/>
                <w:lang w:val="en-US" w:eastAsia="zh-CN"/>
              </w:rPr>
            </w:pPr>
            <w:r>
              <w:rPr>
                <w:rFonts w:hint="default" w:ascii="Times New Roman" w:hAnsi="Times New Roman" w:cs="Times New Roman"/>
                <w:b/>
                <w:bCs/>
                <w:color w:val="auto"/>
                <w:sz w:val="24"/>
              </w:rPr>
              <w:t>（</w:t>
            </w:r>
            <w:r>
              <w:rPr>
                <w:rFonts w:hint="eastAsia" w:ascii="Times New Roman" w:hAnsi="Times New Roman" w:cs="Times New Roman"/>
                <w:b/>
                <w:bCs/>
                <w:color w:val="auto"/>
                <w:sz w:val="24"/>
                <w:lang w:val="en-US" w:eastAsia="zh-CN"/>
              </w:rPr>
              <w:t>1</w:t>
            </w:r>
            <w:r>
              <w:rPr>
                <w:rFonts w:hint="default" w:ascii="Times New Roman" w:hAnsi="Times New Roman" w:cs="Times New Roman"/>
                <w:b/>
                <w:bCs/>
                <w:color w:val="auto"/>
                <w:sz w:val="24"/>
              </w:rPr>
              <w:t>）</w:t>
            </w:r>
            <w:r>
              <w:rPr>
                <w:rFonts w:hint="eastAsia" w:ascii="Times New Roman" w:hAnsi="Times New Roman" w:cs="Times New Roman"/>
                <w:b/>
                <w:bCs/>
                <w:color w:val="auto"/>
                <w:sz w:val="24"/>
                <w:lang w:val="en-US" w:eastAsia="zh-CN"/>
              </w:rPr>
              <w:t>危险物质</w:t>
            </w:r>
          </w:p>
          <w:p>
            <w:pPr>
              <w:spacing w:line="360" w:lineRule="auto"/>
              <w:ind w:firstLine="480" w:firstLineChars="200"/>
              <w:rPr>
                <w:rFonts w:hint="default" w:ascii="Times New Roman" w:hAnsi="Times New Roman" w:cs="Times New Roman"/>
                <w:color w:val="auto"/>
                <w:sz w:val="24"/>
              </w:rPr>
            </w:pPr>
            <w:r>
              <w:rPr>
                <w:rFonts w:hint="eastAsia" w:ascii="Times New Roman" w:hAnsi="Times New Roman" w:cs="Times New Roman"/>
                <w:color w:val="auto"/>
                <w:sz w:val="24"/>
                <w:lang w:val="en-US" w:eastAsia="zh-CN"/>
              </w:rPr>
              <w:t>本</w:t>
            </w:r>
            <w:r>
              <w:rPr>
                <w:rFonts w:hint="default" w:ascii="Times New Roman" w:hAnsi="Times New Roman" w:cs="Times New Roman"/>
                <w:color w:val="auto"/>
                <w:sz w:val="24"/>
              </w:rPr>
              <w:t>项目涉及环境风险的物质主要为</w:t>
            </w:r>
            <w:r>
              <w:rPr>
                <w:rFonts w:hint="eastAsia" w:ascii="Times New Roman" w:hAnsi="Times New Roman" w:cs="Times New Roman"/>
                <w:color w:val="auto"/>
                <w:sz w:val="24"/>
                <w:lang w:val="en-US" w:eastAsia="zh-CN"/>
              </w:rPr>
              <w:t>设备维护过程产生的</w:t>
            </w:r>
            <w:r>
              <w:rPr>
                <w:rFonts w:hint="default" w:ascii="Times New Roman" w:hAnsi="Times New Roman" w:cs="Times New Roman"/>
                <w:color w:val="auto"/>
                <w:sz w:val="24"/>
              </w:rPr>
              <w:t>废润滑油</w:t>
            </w:r>
            <w:r>
              <w:rPr>
                <w:rFonts w:hint="eastAsia" w:ascii="Times New Roman" w:hAnsi="Times New Roman" w:cs="Times New Roman"/>
                <w:color w:val="auto"/>
                <w:sz w:val="24"/>
                <w:lang w:eastAsia="zh-CN"/>
              </w:rPr>
              <w:t>、废油桶</w:t>
            </w:r>
            <w:r>
              <w:rPr>
                <w:rFonts w:hint="eastAsia" w:ascii="Times New Roman" w:hAnsi="Times New Roman" w:cs="Times New Roman"/>
                <w:color w:val="auto"/>
                <w:sz w:val="24"/>
                <w:lang w:val="en-US" w:eastAsia="zh-CN"/>
              </w:rPr>
              <w:t>。</w:t>
            </w:r>
          </w:p>
          <w:p>
            <w:pPr>
              <w:autoSpaceDE w:val="0"/>
              <w:autoSpaceDN w:val="0"/>
              <w:adjustRightInd w:val="0"/>
              <w:spacing w:line="360" w:lineRule="auto"/>
              <w:ind w:firstLine="482" w:firstLineChars="200"/>
              <w:rPr>
                <w:rFonts w:hint="default" w:ascii="Times New Roman" w:hAnsi="Times New Roman" w:cs="Times New Roman"/>
                <w:b/>
                <w:bCs/>
                <w:color w:val="auto"/>
                <w:kern w:val="0"/>
                <w:sz w:val="24"/>
                <w:lang w:val="en-US" w:eastAsia="zh-CN"/>
              </w:rPr>
            </w:pPr>
            <w:r>
              <w:rPr>
                <w:rFonts w:hint="eastAsia" w:ascii="Times New Roman" w:hAnsi="Times New Roman" w:cs="Times New Roman"/>
                <w:b/>
                <w:bCs/>
                <w:color w:val="auto"/>
                <w:kern w:val="0"/>
                <w:sz w:val="24"/>
                <w:lang w:eastAsia="zh-CN"/>
              </w:rPr>
              <w:t>（</w:t>
            </w:r>
            <w:r>
              <w:rPr>
                <w:rFonts w:hint="eastAsia" w:ascii="Times New Roman" w:hAnsi="Times New Roman" w:cs="Times New Roman"/>
                <w:b/>
                <w:bCs/>
                <w:color w:val="auto"/>
                <w:kern w:val="0"/>
                <w:sz w:val="24"/>
                <w:lang w:val="en-US" w:eastAsia="zh-CN"/>
              </w:rPr>
              <w:t>2</w:t>
            </w:r>
            <w:r>
              <w:rPr>
                <w:rFonts w:hint="eastAsia" w:ascii="Times New Roman" w:hAnsi="Times New Roman" w:cs="Times New Roman"/>
                <w:b/>
                <w:bCs/>
                <w:color w:val="auto"/>
                <w:kern w:val="0"/>
                <w:sz w:val="24"/>
                <w:lang w:eastAsia="zh-CN"/>
              </w:rPr>
              <w:t>）</w:t>
            </w:r>
            <w:r>
              <w:rPr>
                <w:rFonts w:hint="eastAsia" w:ascii="Times New Roman" w:hAnsi="Times New Roman" w:cs="Times New Roman"/>
                <w:b/>
                <w:bCs/>
                <w:color w:val="auto"/>
                <w:kern w:val="0"/>
                <w:sz w:val="24"/>
                <w:lang w:val="en-US" w:eastAsia="zh-CN"/>
              </w:rPr>
              <w:t>风险源分布</w:t>
            </w:r>
          </w:p>
          <w:p>
            <w:pPr>
              <w:autoSpaceDE w:val="0"/>
              <w:autoSpaceDN w:val="0"/>
              <w:adjustRightInd w:val="0"/>
              <w:spacing w:line="360" w:lineRule="auto"/>
              <w:ind w:firstLine="480" w:firstLineChars="200"/>
              <w:rPr>
                <w:rFonts w:hint="eastAsia" w:ascii="Times New Roman" w:hAnsi="Times New Roman" w:cs="Times New Roman"/>
                <w:b/>
                <w:bCs/>
                <w:color w:val="auto"/>
                <w:kern w:val="0"/>
                <w:sz w:val="24"/>
                <w:lang w:eastAsia="zh-CN"/>
              </w:rPr>
            </w:pPr>
            <w:r>
              <w:rPr>
                <w:rFonts w:hint="eastAsia" w:ascii="Times New Roman" w:hAnsi="Times New Roman" w:cs="Times New Roman"/>
                <w:color w:val="auto"/>
                <w:sz w:val="24"/>
                <w:lang w:val="en-US" w:eastAsia="zh-CN"/>
              </w:rPr>
              <w:t>本项目废润滑油、废油桶贮存于厂区危险废物贮存间内</w:t>
            </w:r>
            <w:r>
              <w:rPr>
                <w:rFonts w:hint="default" w:ascii="Times New Roman" w:hAnsi="Times New Roman" w:cs="Times New Roman"/>
                <w:color w:val="auto"/>
                <w:sz w:val="24"/>
              </w:rPr>
              <w:t>。</w:t>
            </w:r>
          </w:p>
          <w:p>
            <w:pPr>
              <w:autoSpaceDE w:val="0"/>
              <w:autoSpaceDN w:val="0"/>
              <w:adjustRightInd w:val="0"/>
              <w:spacing w:line="360" w:lineRule="auto"/>
              <w:ind w:firstLine="482" w:firstLineChars="200"/>
              <w:rPr>
                <w:rFonts w:hint="default" w:ascii="Times New Roman" w:hAnsi="Times New Roman" w:cs="Times New Roman"/>
                <w:color w:val="auto"/>
                <w:kern w:val="0"/>
                <w:sz w:val="24"/>
              </w:rPr>
            </w:pPr>
            <w:r>
              <w:rPr>
                <w:rFonts w:hint="eastAsia" w:ascii="Times New Roman" w:hAnsi="Times New Roman" w:cs="Times New Roman"/>
                <w:b/>
                <w:bCs/>
                <w:color w:val="auto"/>
                <w:kern w:val="0"/>
                <w:sz w:val="24"/>
                <w:lang w:eastAsia="zh-CN"/>
              </w:rPr>
              <w:t>（</w:t>
            </w:r>
            <w:r>
              <w:rPr>
                <w:rFonts w:hint="eastAsia" w:ascii="Times New Roman" w:hAnsi="Times New Roman" w:cs="Times New Roman"/>
                <w:b/>
                <w:bCs/>
                <w:color w:val="auto"/>
                <w:kern w:val="0"/>
                <w:sz w:val="24"/>
                <w:lang w:val="en-US" w:eastAsia="zh-CN"/>
              </w:rPr>
              <w:t>3</w:t>
            </w:r>
            <w:r>
              <w:rPr>
                <w:rFonts w:hint="eastAsia" w:ascii="Times New Roman" w:hAnsi="Times New Roman" w:cs="Times New Roman"/>
                <w:b/>
                <w:bCs/>
                <w:color w:val="auto"/>
                <w:kern w:val="0"/>
                <w:sz w:val="24"/>
                <w:lang w:eastAsia="zh-CN"/>
              </w:rPr>
              <w:t>）</w:t>
            </w:r>
            <w:r>
              <w:rPr>
                <w:rFonts w:hint="eastAsia" w:ascii="Times New Roman" w:hAnsi="Times New Roman" w:cs="Times New Roman"/>
                <w:b/>
                <w:bCs/>
                <w:color w:val="auto"/>
                <w:kern w:val="0"/>
                <w:sz w:val="24"/>
                <w:lang w:val="en-US" w:eastAsia="zh-CN"/>
              </w:rPr>
              <w:t>影响途径</w:t>
            </w:r>
          </w:p>
          <w:p>
            <w:pPr>
              <w:keepNext w:val="0"/>
              <w:keepLines w:val="0"/>
              <w:pageBreakBefore w:val="0"/>
              <w:widowControl w:val="0"/>
              <w:kinsoku/>
              <w:wordWrap/>
              <w:overflowPunct/>
              <w:topLinePunct w:val="0"/>
              <w:autoSpaceDE w:val="0"/>
              <w:autoSpaceDN w:val="0"/>
              <w:bidi w:val="0"/>
              <w:adjustRightInd w:val="0"/>
              <w:spacing w:line="360" w:lineRule="auto"/>
              <w:ind w:firstLine="480" w:firstLineChars="200"/>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fldChar w:fldCharType="begin"/>
            </w:r>
            <w:r>
              <w:rPr>
                <w:rFonts w:hint="default" w:ascii="Times New Roman" w:hAnsi="Times New Roman" w:cs="Times New Roman"/>
                <w:color w:val="auto"/>
                <w:kern w:val="0"/>
                <w:sz w:val="24"/>
              </w:rPr>
              <w:instrText xml:space="preserve"> = 1 \* GB3 </w:instrText>
            </w:r>
            <w:r>
              <w:rPr>
                <w:rFonts w:hint="default" w:ascii="Times New Roman" w:hAnsi="Times New Roman" w:cs="Times New Roman"/>
                <w:color w:val="auto"/>
                <w:kern w:val="0"/>
                <w:sz w:val="24"/>
              </w:rPr>
              <w:fldChar w:fldCharType="separate"/>
            </w:r>
            <w:r>
              <w:rPr>
                <w:rFonts w:hint="default" w:ascii="Times New Roman" w:hAnsi="Times New Roman" w:cs="Times New Roman"/>
                <w:color w:val="auto"/>
                <w:kern w:val="0"/>
                <w:sz w:val="24"/>
              </w:rPr>
              <w:t>①</w:t>
            </w:r>
            <w:r>
              <w:rPr>
                <w:rFonts w:hint="default" w:ascii="Times New Roman" w:hAnsi="Times New Roman" w:cs="Times New Roman"/>
                <w:color w:val="auto"/>
                <w:kern w:val="0"/>
                <w:sz w:val="24"/>
              </w:rPr>
              <w:fldChar w:fldCharType="end"/>
            </w:r>
            <w:r>
              <w:rPr>
                <w:rFonts w:hint="default" w:ascii="Times New Roman" w:hAnsi="Times New Roman" w:cs="Times New Roman"/>
                <w:color w:val="auto"/>
                <w:kern w:val="0"/>
                <w:sz w:val="24"/>
              </w:rPr>
              <w:t>泄露事故引发的污染</w:t>
            </w:r>
          </w:p>
          <w:p>
            <w:pPr>
              <w:keepNext w:val="0"/>
              <w:keepLines w:val="0"/>
              <w:pageBreakBefore w:val="0"/>
              <w:widowControl w:val="0"/>
              <w:kinsoku/>
              <w:wordWrap/>
              <w:overflowPunct/>
              <w:topLinePunct w:val="0"/>
              <w:autoSpaceDE w:val="0"/>
              <w:autoSpaceDN w:val="0"/>
              <w:bidi w:val="0"/>
              <w:adjustRightInd w:val="0"/>
              <w:spacing w:line="360" w:lineRule="auto"/>
              <w:ind w:firstLine="480" w:firstLineChars="200"/>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本项目</w:t>
            </w:r>
            <w:r>
              <w:rPr>
                <w:rFonts w:hint="eastAsia" w:ascii="Times New Roman" w:hAnsi="Times New Roman" w:cs="Times New Roman"/>
                <w:color w:val="auto"/>
                <w:sz w:val="24"/>
                <w:lang w:val="en-US" w:eastAsia="zh-CN"/>
              </w:rPr>
              <w:t>废润滑油贮存于厂区危险废物贮存间内，</w:t>
            </w:r>
            <w:r>
              <w:rPr>
                <w:rFonts w:hint="default" w:ascii="Times New Roman" w:hAnsi="Times New Roman" w:cs="Times New Roman"/>
                <w:color w:val="auto"/>
                <w:kern w:val="0"/>
                <w:sz w:val="24"/>
              </w:rPr>
              <w:t>可能因为容器损坏，防渗层破裂、管理疏忽等原因导致泄漏，可能造成地下水、河流及土壤污染。</w:t>
            </w:r>
          </w:p>
          <w:p>
            <w:pPr>
              <w:keepNext w:val="0"/>
              <w:keepLines w:val="0"/>
              <w:pageBreakBefore w:val="0"/>
              <w:widowControl w:val="0"/>
              <w:kinsoku/>
              <w:wordWrap/>
              <w:overflowPunct/>
              <w:topLinePunct w:val="0"/>
              <w:autoSpaceDE w:val="0"/>
              <w:autoSpaceDN w:val="0"/>
              <w:bidi w:val="0"/>
              <w:adjustRightInd w:val="0"/>
              <w:spacing w:line="360" w:lineRule="auto"/>
              <w:ind w:firstLine="480" w:firstLineChars="200"/>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fldChar w:fldCharType="begin"/>
            </w:r>
            <w:r>
              <w:rPr>
                <w:rFonts w:hint="default" w:ascii="Times New Roman" w:hAnsi="Times New Roman" w:cs="Times New Roman"/>
                <w:color w:val="auto"/>
                <w:kern w:val="0"/>
                <w:sz w:val="24"/>
              </w:rPr>
              <w:instrText xml:space="preserve"> = 2 \* GB3 </w:instrText>
            </w:r>
            <w:r>
              <w:rPr>
                <w:rFonts w:hint="default" w:ascii="Times New Roman" w:hAnsi="Times New Roman" w:cs="Times New Roman"/>
                <w:color w:val="auto"/>
                <w:kern w:val="0"/>
                <w:sz w:val="24"/>
              </w:rPr>
              <w:fldChar w:fldCharType="separate"/>
            </w:r>
            <w:r>
              <w:rPr>
                <w:rFonts w:hint="default" w:ascii="Times New Roman" w:hAnsi="Times New Roman" w:cs="Times New Roman"/>
                <w:color w:val="auto"/>
                <w:kern w:val="0"/>
                <w:sz w:val="24"/>
              </w:rPr>
              <w:t>②</w:t>
            </w:r>
            <w:r>
              <w:rPr>
                <w:rFonts w:hint="default" w:ascii="Times New Roman" w:hAnsi="Times New Roman" w:cs="Times New Roman"/>
                <w:color w:val="auto"/>
                <w:kern w:val="0"/>
                <w:sz w:val="24"/>
              </w:rPr>
              <w:fldChar w:fldCharType="end"/>
            </w:r>
            <w:r>
              <w:rPr>
                <w:rFonts w:hint="default" w:ascii="Times New Roman" w:hAnsi="Times New Roman" w:cs="Times New Roman"/>
                <w:color w:val="auto"/>
                <w:kern w:val="0"/>
                <w:sz w:val="24"/>
              </w:rPr>
              <w:t>火灾</w:t>
            </w:r>
            <w:r>
              <w:rPr>
                <w:rFonts w:hint="eastAsia" w:ascii="Times New Roman" w:hAnsi="Times New Roman" w:cs="Times New Roman"/>
                <w:color w:val="auto"/>
                <w:kern w:val="0"/>
                <w:sz w:val="24"/>
                <w:lang w:val="en-US" w:eastAsia="zh-CN"/>
              </w:rPr>
              <w:t>爆炸</w:t>
            </w:r>
            <w:r>
              <w:rPr>
                <w:rFonts w:hint="default" w:ascii="Times New Roman" w:hAnsi="Times New Roman" w:cs="Times New Roman"/>
                <w:color w:val="auto"/>
                <w:kern w:val="0"/>
                <w:sz w:val="24"/>
              </w:rPr>
              <w:t>事故引发的次生污染</w:t>
            </w:r>
          </w:p>
          <w:p>
            <w:pPr>
              <w:keepNext w:val="0"/>
              <w:keepLines w:val="0"/>
              <w:pageBreakBefore w:val="0"/>
              <w:widowControl w:val="0"/>
              <w:kinsoku/>
              <w:wordWrap/>
              <w:overflowPunct/>
              <w:topLinePunct w:val="0"/>
              <w:bidi w:val="0"/>
              <w:snapToGrid w:val="0"/>
              <w:spacing w:line="360" w:lineRule="auto"/>
              <w:ind w:firstLine="480" w:firstLineChars="200"/>
              <w:textAlignment w:val="auto"/>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泄漏的废润滑油遇明火、高热可能引</w:t>
            </w:r>
            <w:r>
              <w:rPr>
                <w:rFonts w:hint="eastAsia" w:ascii="Times New Roman" w:hAnsi="Times New Roman" w:cs="Times New Roman"/>
                <w:color w:val="auto"/>
                <w:sz w:val="24"/>
                <w:lang w:val="en-US" w:eastAsia="zh-CN" w:bidi="ar"/>
              </w:rPr>
              <w:t>发</w:t>
            </w:r>
            <w:r>
              <w:rPr>
                <w:rFonts w:hint="eastAsia" w:ascii="Times New Roman" w:hAnsi="Times New Roman"/>
                <w:color w:val="auto"/>
                <w:sz w:val="24"/>
                <w:szCs w:val="24"/>
              </w:rPr>
              <w:t>火灾、爆炸</w:t>
            </w:r>
            <w:r>
              <w:rPr>
                <w:rFonts w:hint="eastAsia" w:ascii="Times New Roman" w:hAnsi="Times New Roman"/>
                <w:color w:val="auto"/>
                <w:sz w:val="24"/>
                <w:szCs w:val="24"/>
                <w:lang w:eastAsia="zh-CN"/>
              </w:rPr>
              <w:t>等</w:t>
            </w:r>
            <w:r>
              <w:rPr>
                <w:rFonts w:hint="eastAsia" w:ascii="Times New Roman" w:hAnsi="Times New Roman"/>
                <w:color w:val="auto"/>
                <w:sz w:val="24"/>
                <w:szCs w:val="24"/>
              </w:rPr>
              <w:t>危害事故，进而引发次生环境污染事故</w:t>
            </w:r>
            <w:r>
              <w:rPr>
                <w:rFonts w:hint="default" w:ascii="Times New Roman" w:hAnsi="Times New Roman" w:cs="Times New Roman"/>
                <w:color w:val="auto"/>
                <w:sz w:val="24"/>
                <w:lang w:bidi="ar"/>
              </w:rPr>
              <w:t>，产生的污染物主要为燃烧烟气和消防废水</w:t>
            </w:r>
            <w:r>
              <w:rPr>
                <w:rFonts w:hint="eastAsia" w:ascii="Times New Roman" w:hAnsi="Times New Roman" w:cs="Times New Roman"/>
                <w:color w:val="auto"/>
                <w:sz w:val="24"/>
                <w:lang w:eastAsia="zh-CN" w:bidi="ar"/>
              </w:rPr>
              <w:t>，</w:t>
            </w:r>
            <w:r>
              <w:rPr>
                <w:rFonts w:hint="default" w:ascii="Times New Roman" w:hAnsi="Times New Roman" w:cs="Times New Roman"/>
                <w:color w:val="auto"/>
                <w:sz w:val="24"/>
                <w:lang w:bidi="ar"/>
              </w:rPr>
              <w:t>将造成区域大气、地表水环境污染。</w:t>
            </w:r>
          </w:p>
          <w:p>
            <w:pPr>
              <w:autoSpaceDE w:val="0"/>
              <w:autoSpaceDN w:val="0"/>
              <w:adjustRightInd w:val="0"/>
              <w:spacing w:line="360" w:lineRule="auto"/>
              <w:ind w:firstLine="482" w:firstLineChars="200"/>
              <w:rPr>
                <w:rFonts w:hint="default" w:ascii="Times New Roman" w:hAnsi="Times New Roman" w:cs="Times New Roman"/>
                <w:b/>
                <w:bCs/>
                <w:color w:val="auto"/>
                <w:kern w:val="0"/>
                <w:sz w:val="24"/>
                <w:lang w:eastAsia="zh-CN"/>
              </w:rPr>
            </w:pPr>
            <w:r>
              <w:rPr>
                <w:rFonts w:hint="default" w:ascii="Times New Roman" w:hAnsi="Times New Roman" w:cs="Times New Roman"/>
                <w:b/>
                <w:bCs/>
                <w:color w:val="auto"/>
                <w:kern w:val="0"/>
                <w:sz w:val="24"/>
                <w:lang w:eastAsia="zh-CN"/>
              </w:rPr>
              <w:t>（</w:t>
            </w:r>
            <w:r>
              <w:rPr>
                <w:rFonts w:hint="eastAsia" w:ascii="Times New Roman" w:hAnsi="Times New Roman" w:cs="Times New Roman"/>
                <w:b/>
                <w:bCs/>
                <w:color w:val="auto"/>
                <w:kern w:val="0"/>
                <w:sz w:val="24"/>
                <w:lang w:val="en-US" w:eastAsia="zh-CN"/>
              </w:rPr>
              <w:t>4</w:t>
            </w:r>
            <w:r>
              <w:rPr>
                <w:rFonts w:hint="default" w:ascii="Times New Roman" w:hAnsi="Times New Roman" w:cs="Times New Roman"/>
                <w:b/>
                <w:bCs/>
                <w:color w:val="auto"/>
                <w:kern w:val="0"/>
                <w:sz w:val="24"/>
                <w:lang w:eastAsia="zh-CN"/>
              </w:rPr>
              <w:t>）环境风险防范措施</w:t>
            </w:r>
          </w:p>
          <w:p>
            <w:pPr>
              <w:snapToGrid w:val="0"/>
              <w:spacing w:line="360" w:lineRule="auto"/>
              <w:ind w:firstLine="480" w:firstLineChars="200"/>
              <w:rPr>
                <w:rFonts w:hint="default" w:ascii="Times New Roman" w:hAnsi="Times New Roman" w:cs="Times New Roman"/>
                <w:color w:val="auto"/>
                <w:sz w:val="24"/>
              </w:rPr>
            </w:pPr>
            <w:r>
              <w:rPr>
                <w:rFonts w:hint="eastAsia" w:ascii="Times New Roman" w:hAnsi="Times New Roman" w:cs="Times New Roman"/>
                <w:color w:val="auto"/>
                <w:sz w:val="24"/>
                <w:lang w:val="en-US" w:eastAsia="zh-CN"/>
              </w:rPr>
              <w:t>废润滑油贮存于厂区危险废物贮存间内</w:t>
            </w:r>
            <w:r>
              <w:rPr>
                <w:rFonts w:hint="default" w:ascii="Times New Roman" w:hAnsi="Times New Roman" w:cs="Times New Roman"/>
                <w:color w:val="auto"/>
                <w:sz w:val="24"/>
              </w:rPr>
              <w:t>，配备规定数量、质量要求</w:t>
            </w:r>
            <w:r>
              <w:rPr>
                <w:rFonts w:hint="eastAsia" w:ascii="Times New Roman" w:hAnsi="Times New Roman" w:cs="Times New Roman"/>
                <w:color w:val="auto"/>
                <w:sz w:val="24"/>
                <w:lang w:eastAsia="zh-CN"/>
              </w:rPr>
              <w:t>相同</w:t>
            </w:r>
            <w:r>
              <w:rPr>
                <w:rFonts w:hint="default" w:ascii="Times New Roman" w:hAnsi="Times New Roman" w:cs="Times New Roman"/>
                <w:color w:val="auto"/>
                <w:sz w:val="24"/>
              </w:rPr>
              <w:t>的灭火器材，并有专人负责监督；贴有危险废物标识，加强对危险废物暂存间的日常检查和定期检查。</w:t>
            </w:r>
          </w:p>
          <w:p>
            <w:pPr>
              <w:snapToGrid w:val="0"/>
              <w:spacing w:line="360" w:lineRule="auto"/>
              <w:ind w:firstLine="480" w:firstLineChars="200"/>
              <w:rPr>
                <w:rFonts w:ascii="Times New Roman" w:hAnsi="Times New Roman"/>
                <w:color w:val="auto"/>
                <w:sz w:val="24"/>
                <w:szCs w:val="24"/>
              </w:rPr>
            </w:pPr>
            <w:r>
              <w:rPr>
                <w:rFonts w:hint="eastAsia" w:ascii="Times New Roman" w:hAnsi="Times New Roman"/>
                <w:color w:val="auto"/>
                <w:sz w:val="24"/>
                <w:szCs w:val="24"/>
              </w:rPr>
              <w:t>项目润滑油发生泄露遗撒事故时，短时间内溢流将存于危险废物贮存间内，长时间未发现时才溢流到危险废物贮存间外，短时间不会对环境造成污染</w:t>
            </w:r>
            <w:r>
              <w:rPr>
                <w:rFonts w:hint="eastAsia" w:ascii="Times New Roman" w:hAnsi="Times New Roman"/>
                <w:color w:val="auto"/>
                <w:sz w:val="24"/>
                <w:szCs w:val="24"/>
                <w:lang w:eastAsia="zh-CN"/>
              </w:rPr>
              <w:t>，</w:t>
            </w:r>
            <w:r>
              <w:rPr>
                <w:rFonts w:hint="eastAsia" w:ascii="Times New Roman" w:hAnsi="Times New Roman"/>
                <w:color w:val="auto"/>
                <w:sz w:val="24"/>
                <w:szCs w:val="24"/>
              </w:rPr>
              <w:t>及时收集</w:t>
            </w:r>
            <w:r>
              <w:rPr>
                <w:rFonts w:hint="eastAsia" w:ascii="Times New Roman" w:hAnsi="Times New Roman"/>
                <w:color w:val="auto"/>
                <w:sz w:val="24"/>
                <w:szCs w:val="24"/>
                <w:lang w:val="en-US" w:eastAsia="zh-CN"/>
              </w:rPr>
              <w:t>废润滑油，</w:t>
            </w:r>
            <w:r>
              <w:rPr>
                <w:rFonts w:hint="eastAsia" w:ascii="Times New Roman" w:hAnsi="Times New Roman"/>
                <w:color w:val="auto"/>
                <w:sz w:val="24"/>
                <w:szCs w:val="24"/>
              </w:rPr>
              <w:t>用吸附物质围堵，采用专门的收集装置进行收集，交由资质单位</w:t>
            </w:r>
            <w:r>
              <w:rPr>
                <w:rFonts w:hint="eastAsia" w:ascii="Times New Roman" w:hAnsi="Times New Roman"/>
                <w:color w:val="auto"/>
                <w:sz w:val="24"/>
                <w:szCs w:val="24"/>
                <w:lang w:val="en-US" w:eastAsia="zh-CN"/>
              </w:rPr>
              <w:t>处置</w:t>
            </w:r>
            <w:r>
              <w:rPr>
                <w:rFonts w:hint="eastAsia" w:ascii="Times New Roman" w:hAnsi="Times New Roman"/>
                <w:color w:val="auto"/>
                <w:sz w:val="24"/>
                <w:szCs w:val="24"/>
              </w:rPr>
              <w:t>。</w:t>
            </w:r>
          </w:p>
          <w:p>
            <w:pPr>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提高工作人员环境风险意识，制定各项环保制度。对从业人员进行岗位职工教育与培训，使他们均具备危险意识及如何应对危险的知识，并进行相关泄露事故的教育。建立档案和报告制度，由专门部门或人员负责管理。</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w:t>
            </w:r>
            <w:r>
              <w:rPr>
                <w:rFonts w:hint="eastAsia" w:ascii="Times New Roman" w:hAnsi="Times New Roman" w:cs="Times New Roman"/>
                <w:b/>
                <w:bCs/>
                <w:color w:val="auto"/>
                <w:sz w:val="24"/>
                <w:lang w:val="en-US" w:eastAsia="zh-CN"/>
              </w:rPr>
              <w:t>5</w:t>
            </w:r>
            <w:r>
              <w:rPr>
                <w:rFonts w:hint="default" w:ascii="Times New Roman" w:hAnsi="Times New Roman" w:cs="Times New Roman"/>
                <w:b/>
                <w:bCs/>
                <w:color w:val="auto"/>
                <w:sz w:val="24"/>
              </w:rPr>
              <w:t>）环境风险分析结论</w:t>
            </w:r>
          </w:p>
          <w:p>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建设单位</w:t>
            </w:r>
            <w:r>
              <w:rPr>
                <w:rFonts w:hint="default" w:ascii="Times New Roman" w:hAnsi="Times New Roman" w:cs="Times New Roman"/>
                <w:color w:val="auto"/>
                <w:sz w:val="24"/>
              </w:rPr>
              <w:t>在加强厂区风险管理、</w:t>
            </w:r>
            <w:r>
              <w:rPr>
                <w:rFonts w:hint="eastAsia" w:ascii="Times New Roman" w:hAnsi="Times New Roman" w:cs="Times New Roman"/>
                <w:color w:val="auto"/>
                <w:sz w:val="24"/>
                <w:lang w:val="en-US" w:eastAsia="zh-CN"/>
              </w:rPr>
              <w:t>采取有效防范措施</w:t>
            </w:r>
            <w:r>
              <w:rPr>
                <w:rFonts w:hint="default" w:ascii="Times New Roman" w:hAnsi="Times New Roman" w:cs="Times New Roman"/>
                <w:color w:val="auto"/>
                <w:sz w:val="24"/>
              </w:rPr>
              <w:t>的基础上，事故发生概率较低，本项目环境风险可</w:t>
            </w:r>
            <w:r>
              <w:rPr>
                <w:rFonts w:hint="eastAsia" w:ascii="Times New Roman" w:hAnsi="Times New Roman" w:cs="Times New Roman"/>
                <w:color w:val="auto"/>
                <w:sz w:val="24"/>
                <w:lang w:val="en-US" w:eastAsia="zh-CN"/>
              </w:rPr>
              <w:t>防控。</w:t>
            </w:r>
          </w:p>
          <w:p>
            <w:pPr>
              <w:numPr>
                <w:ilvl w:val="0"/>
                <w:numId w:val="10"/>
              </w:numPr>
              <w:spacing w:line="360" w:lineRule="auto"/>
              <w:ind w:firstLine="482" w:firstLineChars="200"/>
              <w:rPr>
                <w:rFonts w:hint="default" w:ascii="Times New Roman" w:hAnsi="Times New Roman" w:cs="Times New Roman"/>
                <w:b/>
                <w:bCs/>
                <w:color w:val="auto"/>
                <w:sz w:val="24"/>
                <w:shd w:val="clear" w:color="auto" w:fill="FFFFFF"/>
              </w:rPr>
            </w:pPr>
            <w:r>
              <w:rPr>
                <w:rFonts w:hint="default" w:ascii="Times New Roman" w:hAnsi="Times New Roman" w:cs="Times New Roman"/>
                <w:b/>
                <w:bCs/>
                <w:color w:val="auto"/>
                <w:sz w:val="24"/>
                <w:shd w:val="clear" w:color="auto" w:fill="FFFFFF"/>
                <w:lang w:val="en-US" w:eastAsia="zh-CN"/>
              </w:rPr>
              <w:t>地下水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bCs/>
                <w:color w:val="auto"/>
                <w:sz w:val="24"/>
                <w:shd w:val="clear" w:color="auto" w:fill="FFFFFF"/>
              </w:rPr>
            </w:pPr>
            <w:r>
              <w:rPr>
                <w:rFonts w:hint="eastAsia" w:ascii="Times New Roman" w:hAnsi="Times New Roman" w:cs="Times New Roman"/>
                <w:color w:val="auto"/>
                <w:sz w:val="24"/>
                <w:lang w:val="en-US" w:eastAsia="zh-CN"/>
              </w:rPr>
              <w:t>危险废物暂存间采取防渗，防渗系数≤1×10</w:t>
            </w:r>
            <w:r>
              <w:rPr>
                <w:rFonts w:hint="eastAsia" w:ascii="Times New Roman" w:hAnsi="Times New Roman" w:cs="Times New Roman"/>
                <w:color w:val="auto"/>
                <w:sz w:val="24"/>
                <w:vertAlign w:val="superscript"/>
                <w:lang w:val="en-US" w:eastAsia="zh-CN"/>
              </w:rPr>
              <w:t>-10</w:t>
            </w:r>
            <w:r>
              <w:rPr>
                <w:rFonts w:hint="eastAsia" w:ascii="Times New Roman" w:hAnsi="Times New Roman" w:cs="Times New Roman"/>
                <w:color w:val="auto"/>
                <w:sz w:val="24"/>
                <w:lang w:val="en-US" w:eastAsia="zh-CN"/>
              </w:rPr>
              <w:t>cm/s；脱硫系统内配套的沉淀池采取防渗，防渗系数≤1×10</w:t>
            </w:r>
            <w:r>
              <w:rPr>
                <w:rFonts w:hint="eastAsia" w:ascii="Times New Roman" w:hAnsi="Times New Roman" w:cs="Times New Roman"/>
                <w:color w:val="auto"/>
                <w:sz w:val="24"/>
                <w:vertAlign w:val="superscript"/>
                <w:lang w:val="en-US" w:eastAsia="zh-CN"/>
              </w:rPr>
              <w:t>-7</w:t>
            </w:r>
            <w:r>
              <w:rPr>
                <w:rFonts w:hint="eastAsia" w:ascii="Times New Roman" w:hAnsi="Times New Roman" w:cs="Times New Roman"/>
                <w:color w:val="auto"/>
                <w:sz w:val="24"/>
                <w:lang w:val="en-US" w:eastAsia="zh-CN"/>
              </w:rPr>
              <w:t>cm/s，垂直入渗对区域地下水环境质量影响较小。</w:t>
            </w:r>
          </w:p>
          <w:p>
            <w:pPr>
              <w:numPr>
                <w:ilvl w:val="0"/>
                <w:numId w:val="10"/>
              </w:numPr>
              <w:spacing w:line="360" w:lineRule="auto"/>
              <w:ind w:firstLine="482" w:firstLineChars="200"/>
              <w:rPr>
                <w:rFonts w:hint="default" w:ascii="Times New Roman" w:hAnsi="Times New Roman" w:cs="Times New Roman"/>
                <w:b/>
                <w:bCs/>
                <w:color w:val="auto"/>
                <w:sz w:val="24"/>
                <w:shd w:val="clear" w:color="auto" w:fill="FFFFFF"/>
              </w:rPr>
            </w:pPr>
            <w:r>
              <w:rPr>
                <w:rFonts w:hint="default" w:ascii="Times New Roman" w:hAnsi="Times New Roman" w:cs="Times New Roman"/>
                <w:b/>
                <w:bCs/>
                <w:color w:val="auto"/>
                <w:sz w:val="24"/>
                <w:shd w:val="clear" w:color="auto" w:fill="FFFFFF"/>
                <w:lang w:val="en-US" w:eastAsia="zh-CN"/>
              </w:rPr>
              <w:t>土壤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rPr>
            </w:pPr>
            <w:r>
              <w:rPr>
                <w:rFonts w:hint="eastAsia" w:ascii="Times New Roman" w:hAnsi="Times New Roman" w:cs="Times New Roman"/>
                <w:color w:val="auto"/>
                <w:sz w:val="24"/>
                <w:lang w:val="en-US" w:eastAsia="zh-CN"/>
              </w:rPr>
              <w:t>危险废物暂存间采取防渗，防渗系数≤1×10</w:t>
            </w:r>
            <w:r>
              <w:rPr>
                <w:rFonts w:hint="eastAsia" w:ascii="Times New Roman" w:hAnsi="Times New Roman" w:cs="Times New Roman"/>
                <w:color w:val="auto"/>
                <w:sz w:val="24"/>
                <w:vertAlign w:val="superscript"/>
                <w:lang w:val="en-US" w:eastAsia="zh-CN"/>
              </w:rPr>
              <w:t>-10</w:t>
            </w:r>
            <w:r>
              <w:rPr>
                <w:rFonts w:hint="eastAsia" w:ascii="Times New Roman" w:hAnsi="Times New Roman" w:cs="Times New Roman"/>
                <w:color w:val="auto"/>
                <w:sz w:val="24"/>
                <w:lang w:val="en-US" w:eastAsia="zh-CN"/>
              </w:rPr>
              <w:t>cm/s；脱硫系统内配套的沉淀池采取防渗，防渗系数≤1×10</w:t>
            </w:r>
            <w:r>
              <w:rPr>
                <w:rFonts w:hint="eastAsia" w:ascii="Times New Roman" w:hAnsi="Times New Roman" w:cs="Times New Roman"/>
                <w:color w:val="auto"/>
                <w:sz w:val="24"/>
                <w:vertAlign w:val="superscript"/>
                <w:lang w:val="en-US" w:eastAsia="zh-CN"/>
              </w:rPr>
              <w:t>-7</w:t>
            </w:r>
            <w:r>
              <w:rPr>
                <w:rFonts w:hint="eastAsia" w:ascii="Times New Roman" w:hAnsi="Times New Roman" w:cs="Times New Roman"/>
                <w:color w:val="auto"/>
                <w:sz w:val="24"/>
                <w:lang w:val="en-US" w:eastAsia="zh-CN"/>
              </w:rPr>
              <w:t>cm/s，垂直入渗对区域土壤环境质量影响较小；40t/h循环流化床燃煤锅炉废气经布袋除尘器+脱硫塔+PNCR高分子炉内脱硝后经1根45m高排气筒（DA001）排放，采取措施后颗粒物、二氧化硫、氮氧化物、汞及其化合物（以Hg计）自由沉降量较少，自由沉降对区域土壤环境质量影响较小，</w:t>
            </w:r>
            <w:r>
              <w:rPr>
                <w:rFonts w:hint="eastAsia" w:ascii="Times New Roman" w:hAnsi="Times New Roman" w:cs="Times New Roman"/>
                <w:sz w:val="24"/>
                <w:szCs w:val="24"/>
                <w:highlight w:val="none"/>
                <w:lang w:val="en-US" w:eastAsia="zh-CN"/>
              </w:rPr>
              <w:t>项目处置措施可行，对区域土壤环境质量不会造成明显的不利影响</w:t>
            </w:r>
            <w:r>
              <w:rPr>
                <w:rFonts w:hint="eastAsia" w:ascii="Times New Roman" w:hAnsi="Times New Roman" w:eastAsia="宋体" w:cs="Times New Roman"/>
                <w:sz w:val="24"/>
                <w:szCs w:val="24"/>
                <w:lang w:val="en-US" w:eastAsia="zh-CN"/>
              </w:rPr>
              <w:t>。</w:t>
            </w:r>
          </w:p>
          <w:p>
            <w:pPr>
              <w:numPr>
                <w:ilvl w:val="0"/>
                <w:numId w:val="10"/>
              </w:numPr>
              <w:spacing w:line="360" w:lineRule="auto"/>
              <w:ind w:firstLine="482" w:firstLineChars="200"/>
              <w:rPr>
                <w:rFonts w:hint="default" w:ascii="Times New Roman" w:hAnsi="Times New Roman" w:cs="Times New Roman"/>
                <w:b/>
                <w:bCs/>
                <w:color w:val="auto"/>
                <w:sz w:val="24"/>
                <w:shd w:val="clear" w:color="auto" w:fill="FFFFFF"/>
              </w:rPr>
            </w:pPr>
            <w:r>
              <w:rPr>
                <w:rFonts w:hint="default" w:ascii="Times New Roman" w:hAnsi="Times New Roman" w:cs="Times New Roman"/>
                <w:b/>
                <w:bCs/>
                <w:color w:val="auto"/>
                <w:sz w:val="24"/>
                <w:shd w:val="clear" w:color="auto" w:fill="FFFFFF"/>
                <w:lang w:val="en-US" w:eastAsia="zh-CN"/>
              </w:rPr>
              <w:t>生态</w:t>
            </w:r>
          </w:p>
          <w:p>
            <w:pPr>
              <w:pStyle w:val="14"/>
              <w:adjustRightInd w:val="0"/>
              <w:snapToGrid w:val="0"/>
              <w:spacing w:line="360" w:lineRule="auto"/>
              <w:ind w:firstLine="480" w:firstLineChars="200"/>
              <w:rPr>
                <w:rFonts w:ascii="Times New Roman" w:hAnsi="Times New Roman" w:eastAsia="宋体" w:cs="Times New Roman"/>
                <w:color w:val="333333"/>
                <w:sz w:val="24"/>
                <w:shd w:val="clear" w:color="auto" w:fill="FFFFFF"/>
              </w:rPr>
            </w:pPr>
            <w:r>
              <w:rPr>
                <w:rFonts w:hint="eastAsia" w:ascii="Times New Roman" w:hAnsi="Times New Roman" w:cs="Times New Roman"/>
                <w:color w:val="auto"/>
                <w:sz w:val="24"/>
                <w:lang w:val="en-US" w:eastAsia="zh-CN"/>
              </w:rPr>
              <w:t>本项目位于承德富龙现代农业发展有限公司内部，不涉及生态环境保护目标。</w:t>
            </w:r>
          </w:p>
        </w:tc>
      </w:tr>
    </w:tbl>
    <w:p>
      <w:pPr>
        <w:spacing w:line="360" w:lineRule="auto"/>
        <w:rPr>
          <w:rFonts w:ascii="宋体" w:hAnsi="Times New Roman" w:eastAsia="宋体" w:cs="宋体"/>
          <w:b/>
          <w:sz w:val="28"/>
          <w:szCs w:val="28"/>
          <w:lang w:bidi="ar"/>
        </w:rPr>
        <w:sectPr>
          <w:pgSz w:w="11915" w:h="16840"/>
          <w:pgMar w:top="1702" w:right="1531" w:bottom="2127" w:left="1531" w:header="851" w:footer="851" w:gutter="0"/>
          <w:cols w:space="425" w:num="1"/>
          <w:docGrid w:type="lines" w:linePitch="312" w:charSpace="0"/>
        </w:sectPr>
      </w:pPr>
    </w:p>
    <w:p>
      <w:pPr>
        <w:pStyle w:val="19"/>
        <w:spacing w:beforeAutospacing="0" w:afterAutospacing="0" w:line="360" w:lineRule="auto"/>
        <w:jc w:val="center"/>
        <w:outlineLvl w:val="0"/>
        <w:rPr>
          <w:rFonts w:hint="default" w:ascii="黑体" w:eastAsia="黑体" w:cs="黑体"/>
          <w:snapToGrid w:val="0"/>
          <w:sz w:val="30"/>
          <w:szCs w:val="30"/>
        </w:rPr>
      </w:pPr>
      <w:r>
        <w:rPr>
          <w:rFonts w:ascii="黑体" w:eastAsia="黑体" w:cs="黑体"/>
          <w:snapToGrid w:val="0"/>
          <w:sz w:val="30"/>
          <w:szCs w:val="30"/>
        </w:rPr>
        <w:t>五、</w:t>
      </w:r>
      <w:bookmarkStart w:id="2" w:name="_Hlk54167917"/>
      <w:r>
        <w:rPr>
          <w:rFonts w:ascii="黑体" w:eastAsia="黑体" w:cs="黑体"/>
          <w:snapToGrid w:val="0"/>
          <w:sz w:val="30"/>
          <w:szCs w:val="30"/>
        </w:rPr>
        <w:t>环境保护措施监督检查清单</w:t>
      </w:r>
      <w:bookmarkEnd w:id="2"/>
    </w:p>
    <w:tbl>
      <w:tblPr>
        <w:tblStyle w:val="24"/>
        <w:tblW w:w="914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605"/>
        <w:gridCol w:w="1650"/>
        <w:gridCol w:w="2220"/>
        <w:gridCol w:w="21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9" w:type="dxa"/>
            <w:tcBorders>
              <w:top w:val="single" w:color="auto" w:sz="8" w:space="0"/>
              <w:left w:val="single" w:color="auto" w:sz="8" w:space="0"/>
              <w:bottom w:val="single" w:color="auto" w:sz="4" w:space="0"/>
              <w:right w:val="single" w:color="auto" w:sz="4" w:space="0"/>
              <w:tl2br w:val="single" w:color="auto" w:sz="4" w:space="0"/>
            </w:tcBorders>
            <w:shd w:val="clear" w:color="auto" w:fill="auto"/>
          </w:tcPr>
          <w:p>
            <w:pPr>
              <w:adjustRightInd w:val="0"/>
              <w:snapToGrid w:val="0"/>
              <w:spacing w:line="240" w:lineRule="atLeast"/>
              <w:ind w:firstLine="630" w:firstLineChars="300"/>
              <w:rPr>
                <w:rFonts w:ascii="Times New Roman" w:hAnsi="Times New Roman" w:eastAsia="宋体" w:cs="Times New Roman"/>
                <w:szCs w:val="21"/>
              </w:rPr>
            </w:pPr>
            <w:r>
              <w:rPr>
                <w:rFonts w:ascii="Times New Roman" w:hAnsi="Times New Roman" w:eastAsia="宋体" w:cs="Times New Roman"/>
                <w:szCs w:val="21"/>
                <w:lang w:bidi="ar"/>
              </w:rPr>
              <w:t>内容</w:t>
            </w:r>
          </w:p>
          <w:p>
            <w:pPr>
              <w:adjustRightInd w:val="0"/>
              <w:snapToGrid w:val="0"/>
              <w:spacing w:line="240" w:lineRule="atLeast"/>
              <w:rPr>
                <w:rFonts w:ascii="Times New Roman" w:hAnsi="Times New Roman" w:eastAsia="宋体" w:cs="Times New Roman"/>
                <w:szCs w:val="21"/>
              </w:rPr>
            </w:pPr>
            <w:r>
              <w:rPr>
                <w:rFonts w:ascii="Times New Roman" w:hAnsi="Times New Roman" w:eastAsia="宋体" w:cs="Times New Roman"/>
                <w:szCs w:val="21"/>
                <w:lang w:bidi="ar"/>
              </w:rPr>
              <w:t>要素</w:t>
            </w:r>
          </w:p>
        </w:tc>
        <w:tc>
          <w:tcPr>
            <w:tcW w:w="1605" w:type="dxa"/>
            <w:tcBorders>
              <w:top w:val="single" w:color="auto" w:sz="8"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lang w:bidi="ar"/>
              </w:rPr>
              <w:t>排放口(编号、名称)/污染源</w:t>
            </w:r>
          </w:p>
        </w:tc>
        <w:tc>
          <w:tcPr>
            <w:tcW w:w="1650" w:type="dxa"/>
            <w:tcBorders>
              <w:top w:val="single" w:color="auto" w:sz="8"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lang w:bidi="ar"/>
              </w:rPr>
              <w:t>污染物项目</w:t>
            </w:r>
          </w:p>
        </w:tc>
        <w:tc>
          <w:tcPr>
            <w:tcW w:w="2220" w:type="dxa"/>
            <w:tcBorders>
              <w:top w:val="single" w:color="auto" w:sz="8"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lang w:bidi="ar"/>
              </w:rPr>
              <w:t>环境保护措施</w:t>
            </w:r>
          </w:p>
        </w:tc>
        <w:tc>
          <w:tcPr>
            <w:tcW w:w="2195" w:type="dxa"/>
            <w:tcBorders>
              <w:top w:val="single" w:color="auto" w:sz="8" w:space="0"/>
              <w:left w:val="single" w:color="auto" w:sz="4" w:space="0"/>
              <w:bottom w:val="single" w:color="auto" w:sz="4" w:space="0"/>
              <w:right w:val="single" w:color="auto" w:sz="8"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lang w:bidi="ar"/>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479" w:type="dxa"/>
            <w:vMerge w:val="restart"/>
            <w:tcBorders>
              <w:top w:val="single" w:color="auto" w:sz="4" w:space="0"/>
              <w:left w:val="single" w:color="auto" w:sz="8"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lang w:bidi="ar"/>
              </w:rPr>
              <w:t>大气环境</w:t>
            </w:r>
          </w:p>
        </w:tc>
        <w:tc>
          <w:tcPr>
            <w:tcW w:w="1605" w:type="dxa"/>
            <w:vMerge w:val="restart"/>
            <w:tcBorders>
              <w:top w:val="single" w:color="auto" w:sz="4" w:space="0"/>
              <w:left w:val="single" w:color="auto" w:sz="4" w:space="0"/>
              <w:right w:val="single" w:color="auto" w:sz="4" w:space="0"/>
            </w:tcBorders>
            <w:shd w:val="clear" w:color="auto" w:fill="auto"/>
            <w:vAlign w:val="center"/>
          </w:tcPr>
          <w:p>
            <w:pPr>
              <w:adjustRightInd w:val="0"/>
              <w:snapToGrid w:val="0"/>
              <w:spacing w:line="240" w:lineRule="atLeast"/>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40t/h循环流化床燃煤锅炉废气</w:t>
            </w:r>
          </w:p>
          <w:p>
            <w:pPr>
              <w:adjustRightInd w:val="0"/>
              <w:snapToGrid w:val="0"/>
              <w:spacing w:line="240" w:lineRule="atLeast"/>
              <w:jc w:val="center"/>
              <w:rPr>
                <w:rFonts w:hint="eastAsia" w:ascii="Times New Roman" w:hAnsi="Times New Roman" w:cs="Times New Roman" w:eastAsiaTheme="minorEastAsia"/>
                <w:szCs w:val="21"/>
                <w:lang w:eastAsia="zh-CN"/>
              </w:rPr>
            </w:pPr>
            <w:r>
              <w:rPr>
                <w:rFonts w:hint="eastAsia" w:ascii="Times New Roman" w:hAnsi="Times New Roman" w:cs="Times New Roman"/>
                <w:szCs w:val="21"/>
                <w:lang w:eastAsia="zh-CN"/>
              </w:rPr>
              <w:t>（</w:t>
            </w:r>
            <w:r>
              <w:rPr>
                <w:rFonts w:hint="eastAsia" w:ascii="Times New Roman" w:hAnsi="Times New Roman" w:cs="Times New Roman"/>
                <w:bCs/>
                <w:szCs w:val="21"/>
              </w:rPr>
              <w:t>DA001</w:t>
            </w:r>
            <w:r>
              <w:rPr>
                <w:rFonts w:hint="eastAsia" w:ascii="Times New Roman" w:hAnsi="Times New Roman" w:cs="Times New Roman"/>
                <w:bCs/>
                <w:szCs w:val="21"/>
                <w:lang w:eastAsia="zh-CN"/>
              </w:rPr>
              <w:t>）</w:t>
            </w: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pPr>
              <w:topLinePunct/>
              <w:adjustRightInd w:val="0"/>
              <w:spacing w:line="260" w:lineRule="exact"/>
              <w:jc w:val="center"/>
              <w:textAlignment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szCs w:val="21"/>
              </w:rPr>
              <w:t>颗粒物</w:t>
            </w:r>
          </w:p>
        </w:tc>
        <w:tc>
          <w:tcPr>
            <w:tcW w:w="2220" w:type="dxa"/>
            <w:vMerge w:val="restart"/>
            <w:tcBorders>
              <w:top w:val="single" w:color="auto" w:sz="4" w:space="0"/>
              <w:left w:val="single" w:color="auto" w:sz="4" w:space="0"/>
              <w:right w:val="single" w:color="auto" w:sz="4" w:space="0"/>
            </w:tcBorders>
            <w:shd w:val="clear" w:color="auto" w:fill="auto"/>
            <w:vAlign w:val="center"/>
          </w:tcPr>
          <w:p>
            <w:pPr>
              <w:widowControl/>
              <w:snapToGrid w:val="0"/>
              <w:spacing w:line="240" w:lineRule="atLeast"/>
              <w:jc w:val="center"/>
              <w:rPr>
                <w:rFonts w:ascii="Times New Roman" w:hAnsi="Times New Roman" w:cs="Times New Roman"/>
                <w:szCs w:val="21"/>
              </w:rPr>
            </w:pPr>
            <w:r>
              <w:rPr>
                <w:rFonts w:hint="eastAsia" w:ascii="Times New Roman" w:hAnsi="Times New Roman" w:cs="Times New Roman"/>
                <w:szCs w:val="21"/>
                <w:lang w:val="en-US" w:eastAsia="zh-CN"/>
              </w:rPr>
              <w:t>经布袋除尘器+脱硫塔+PNCR高分子炉内脱硝后经1根45m高排气筒（DA001）排放，并增加烟气自动在线监测设备。</w:t>
            </w:r>
          </w:p>
        </w:tc>
        <w:tc>
          <w:tcPr>
            <w:tcW w:w="2195" w:type="dxa"/>
            <w:vMerge w:val="restart"/>
            <w:tcBorders>
              <w:top w:val="single" w:color="auto" w:sz="4" w:space="0"/>
              <w:left w:val="single" w:color="auto" w:sz="4" w:space="0"/>
              <w:right w:val="single" w:color="auto" w:sz="8" w:space="0"/>
            </w:tcBorders>
            <w:shd w:val="clear" w:color="auto" w:fill="auto"/>
            <w:vAlign w:val="center"/>
          </w:tcPr>
          <w:p>
            <w:pPr>
              <w:spacing w:line="240" w:lineRule="atLeast"/>
              <w:jc w:val="center"/>
              <w:rPr>
                <w:rFonts w:ascii="Times New Roman" w:hAnsi="Times New Roman" w:eastAsia="宋体" w:cs="Times New Roman"/>
                <w:szCs w:val="21"/>
              </w:rPr>
            </w:pPr>
            <w:r>
              <w:rPr>
                <w:rFonts w:hint="default" w:ascii="Times New Roman" w:hAnsi="Times New Roman" w:eastAsia="宋体" w:cs="Times New Roman"/>
                <w:szCs w:val="21"/>
                <w:lang w:val="en-US" w:eastAsia="zh-CN"/>
              </w:rPr>
              <w:t>《锅炉大气污染物排放标准》（DB 13/ 5161—2020）中表1大气污染物排放限值的要求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479" w:type="dxa"/>
            <w:vMerge w:val="continue"/>
            <w:tcBorders>
              <w:left w:val="single" w:color="auto" w:sz="8"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lang w:bidi="ar"/>
              </w:rPr>
            </w:pPr>
          </w:p>
        </w:tc>
        <w:tc>
          <w:tcPr>
            <w:tcW w:w="1605" w:type="dxa"/>
            <w:vMerge w:val="continue"/>
            <w:tcBorders>
              <w:left w:val="single" w:color="auto" w:sz="4" w:space="0"/>
              <w:right w:val="single" w:color="auto" w:sz="4" w:space="0"/>
            </w:tcBorders>
            <w:shd w:val="clear" w:color="auto" w:fill="auto"/>
            <w:vAlign w:val="center"/>
          </w:tcPr>
          <w:p>
            <w:pPr>
              <w:adjustRightInd w:val="0"/>
              <w:snapToGrid w:val="0"/>
              <w:spacing w:line="240" w:lineRule="atLeast"/>
              <w:jc w:val="center"/>
              <w:rPr>
                <w:rFonts w:ascii="Times New Roman" w:hAnsi="Times New Roman" w:cs="Times New Roman"/>
                <w:szCs w:val="21"/>
              </w:rPr>
            </w:pP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pPr>
              <w:topLinePunct/>
              <w:adjustRightInd w:val="0"/>
              <w:spacing w:line="260" w:lineRule="exact"/>
              <w:jc w:val="center"/>
              <w:textAlignment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0"/>
                <w:szCs w:val="21"/>
              </w:rPr>
              <w:t>SO</w:t>
            </w:r>
            <w:r>
              <w:rPr>
                <w:rFonts w:hint="eastAsia" w:ascii="Times New Roman" w:hAnsi="Times New Roman" w:eastAsia="宋体" w:cs="Times New Roman"/>
                <w:kern w:val="0"/>
                <w:szCs w:val="21"/>
                <w:vertAlign w:val="subscript"/>
              </w:rPr>
              <w:t>2</w:t>
            </w:r>
          </w:p>
        </w:tc>
        <w:tc>
          <w:tcPr>
            <w:tcW w:w="2220" w:type="dxa"/>
            <w:vMerge w:val="continue"/>
            <w:tcBorders>
              <w:left w:val="single" w:color="auto" w:sz="4" w:space="0"/>
              <w:right w:val="single" w:color="auto" w:sz="4" w:space="0"/>
            </w:tcBorders>
            <w:shd w:val="clear" w:color="auto" w:fill="auto"/>
            <w:vAlign w:val="center"/>
          </w:tcPr>
          <w:p>
            <w:pPr>
              <w:widowControl/>
              <w:snapToGrid w:val="0"/>
              <w:spacing w:line="240" w:lineRule="atLeast"/>
              <w:jc w:val="center"/>
              <w:rPr>
                <w:rFonts w:ascii="Times New Roman" w:hAnsi="Times New Roman" w:cs="Times New Roman"/>
                <w:szCs w:val="21"/>
              </w:rPr>
            </w:pPr>
          </w:p>
        </w:tc>
        <w:tc>
          <w:tcPr>
            <w:tcW w:w="2195" w:type="dxa"/>
            <w:vMerge w:val="continue"/>
            <w:tcBorders>
              <w:left w:val="single" w:color="auto" w:sz="4" w:space="0"/>
              <w:right w:val="single" w:color="auto" w:sz="8" w:space="0"/>
            </w:tcBorders>
            <w:shd w:val="clear" w:color="auto" w:fill="auto"/>
            <w:vAlign w:val="center"/>
          </w:tcPr>
          <w:p>
            <w:pPr>
              <w:spacing w:line="240" w:lineRule="atLeast"/>
              <w:jc w:val="center"/>
              <w:rPr>
                <w:rFonts w:ascii="Times New Roman" w:hAnsi="Times New Roman" w:eastAsia="宋体" w:cs="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479" w:type="dxa"/>
            <w:vMerge w:val="continue"/>
            <w:tcBorders>
              <w:left w:val="single" w:color="auto" w:sz="8"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lang w:bidi="ar"/>
              </w:rPr>
            </w:pPr>
          </w:p>
        </w:tc>
        <w:tc>
          <w:tcPr>
            <w:tcW w:w="1605" w:type="dxa"/>
            <w:vMerge w:val="continue"/>
            <w:tcBorders>
              <w:left w:val="single" w:color="auto" w:sz="4" w:space="0"/>
              <w:right w:val="single" w:color="auto" w:sz="4" w:space="0"/>
            </w:tcBorders>
            <w:shd w:val="clear" w:color="auto" w:fill="auto"/>
            <w:vAlign w:val="center"/>
          </w:tcPr>
          <w:p>
            <w:pPr>
              <w:adjustRightInd w:val="0"/>
              <w:snapToGrid w:val="0"/>
              <w:spacing w:line="240" w:lineRule="atLeast"/>
              <w:jc w:val="center"/>
              <w:rPr>
                <w:rFonts w:ascii="Times New Roman" w:hAnsi="Times New Roman" w:cs="Times New Roman"/>
                <w:szCs w:val="21"/>
              </w:rPr>
            </w:pP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pPr>
              <w:topLinePunct/>
              <w:adjustRightInd w:val="0"/>
              <w:spacing w:line="260" w:lineRule="exact"/>
              <w:jc w:val="center"/>
              <w:textAlignment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0"/>
                <w:szCs w:val="21"/>
              </w:rPr>
              <w:t>NO</w:t>
            </w:r>
            <w:r>
              <w:rPr>
                <w:rFonts w:hint="eastAsia" w:ascii="Times New Roman" w:hAnsi="Times New Roman" w:eastAsia="宋体" w:cs="Times New Roman"/>
                <w:kern w:val="0"/>
                <w:szCs w:val="21"/>
                <w:vertAlign w:val="subscript"/>
              </w:rPr>
              <w:t>x</w:t>
            </w:r>
          </w:p>
        </w:tc>
        <w:tc>
          <w:tcPr>
            <w:tcW w:w="2220" w:type="dxa"/>
            <w:vMerge w:val="continue"/>
            <w:tcBorders>
              <w:left w:val="single" w:color="auto" w:sz="4" w:space="0"/>
              <w:right w:val="single" w:color="auto" w:sz="4" w:space="0"/>
            </w:tcBorders>
            <w:shd w:val="clear" w:color="auto" w:fill="auto"/>
            <w:vAlign w:val="center"/>
          </w:tcPr>
          <w:p>
            <w:pPr>
              <w:widowControl/>
              <w:snapToGrid w:val="0"/>
              <w:spacing w:line="240" w:lineRule="atLeast"/>
              <w:jc w:val="center"/>
              <w:rPr>
                <w:rFonts w:ascii="Times New Roman" w:hAnsi="Times New Roman" w:cs="Times New Roman"/>
                <w:szCs w:val="21"/>
              </w:rPr>
            </w:pPr>
          </w:p>
        </w:tc>
        <w:tc>
          <w:tcPr>
            <w:tcW w:w="2195" w:type="dxa"/>
            <w:vMerge w:val="continue"/>
            <w:tcBorders>
              <w:left w:val="single" w:color="auto" w:sz="4" w:space="0"/>
              <w:right w:val="single" w:color="auto" w:sz="8" w:space="0"/>
            </w:tcBorders>
            <w:shd w:val="clear" w:color="auto" w:fill="auto"/>
            <w:vAlign w:val="center"/>
          </w:tcPr>
          <w:p>
            <w:pPr>
              <w:spacing w:line="240" w:lineRule="atLeast"/>
              <w:jc w:val="center"/>
              <w:rPr>
                <w:rFonts w:ascii="Times New Roman" w:hAnsi="Times New Roman" w:eastAsia="宋体" w:cs="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479" w:type="dxa"/>
            <w:vMerge w:val="continue"/>
            <w:tcBorders>
              <w:left w:val="single" w:color="auto" w:sz="8"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lang w:bidi="ar"/>
              </w:rPr>
            </w:pPr>
          </w:p>
        </w:tc>
        <w:tc>
          <w:tcPr>
            <w:tcW w:w="1605" w:type="dxa"/>
            <w:vMerge w:val="continue"/>
            <w:tcBorders>
              <w:left w:val="single" w:color="auto" w:sz="4" w:space="0"/>
              <w:right w:val="single" w:color="auto" w:sz="4" w:space="0"/>
            </w:tcBorders>
            <w:shd w:val="clear" w:color="auto" w:fill="auto"/>
            <w:vAlign w:val="center"/>
          </w:tcPr>
          <w:p>
            <w:pPr>
              <w:adjustRightInd w:val="0"/>
              <w:snapToGrid w:val="0"/>
              <w:spacing w:line="240" w:lineRule="atLeast"/>
              <w:jc w:val="center"/>
              <w:rPr>
                <w:rFonts w:ascii="Times New Roman" w:hAnsi="Times New Roman" w:cs="Times New Roman"/>
                <w:szCs w:val="21"/>
              </w:rPr>
            </w:pP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pPr>
              <w:topLinePunct/>
              <w:adjustRightInd w:val="0"/>
              <w:spacing w:line="260" w:lineRule="exact"/>
              <w:jc w:val="center"/>
              <w:textAlignment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Cs w:val="21"/>
                <w:lang w:val="en-US" w:eastAsia="zh-CN"/>
              </w:rPr>
              <w:t xml:space="preserve">汞及其化合物（以Hg计） </w:t>
            </w:r>
          </w:p>
        </w:tc>
        <w:tc>
          <w:tcPr>
            <w:tcW w:w="2220" w:type="dxa"/>
            <w:vMerge w:val="continue"/>
            <w:tcBorders>
              <w:left w:val="single" w:color="auto" w:sz="4" w:space="0"/>
              <w:right w:val="single" w:color="auto" w:sz="4" w:space="0"/>
            </w:tcBorders>
            <w:shd w:val="clear" w:color="auto" w:fill="auto"/>
            <w:vAlign w:val="center"/>
          </w:tcPr>
          <w:p>
            <w:pPr>
              <w:widowControl/>
              <w:snapToGrid w:val="0"/>
              <w:spacing w:line="240" w:lineRule="atLeast"/>
              <w:jc w:val="center"/>
              <w:rPr>
                <w:rFonts w:ascii="Times New Roman" w:hAnsi="Times New Roman" w:cs="Times New Roman"/>
                <w:szCs w:val="21"/>
              </w:rPr>
            </w:pPr>
          </w:p>
        </w:tc>
        <w:tc>
          <w:tcPr>
            <w:tcW w:w="2195" w:type="dxa"/>
            <w:vMerge w:val="continue"/>
            <w:tcBorders>
              <w:left w:val="single" w:color="auto" w:sz="4" w:space="0"/>
              <w:right w:val="single" w:color="auto" w:sz="8" w:space="0"/>
            </w:tcBorders>
            <w:shd w:val="clear" w:color="auto" w:fill="auto"/>
            <w:vAlign w:val="center"/>
          </w:tcPr>
          <w:p>
            <w:pPr>
              <w:spacing w:line="240" w:lineRule="atLeast"/>
              <w:jc w:val="center"/>
              <w:rPr>
                <w:rFonts w:ascii="Times New Roman" w:hAnsi="Times New Roman" w:eastAsia="宋体" w:cs="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479" w:type="dxa"/>
            <w:vMerge w:val="continue"/>
            <w:tcBorders>
              <w:left w:val="single" w:color="auto" w:sz="8"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lang w:bidi="ar"/>
              </w:rPr>
            </w:pPr>
          </w:p>
        </w:tc>
        <w:tc>
          <w:tcPr>
            <w:tcW w:w="1605" w:type="dxa"/>
            <w:vMerge w:val="continue"/>
            <w:tcBorders>
              <w:left w:val="single" w:color="auto" w:sz="4" w:space="0"/>
              <w:right w:val="single" w:color="auto" w:sz="4" w:space="0"/>
            </w:tcBorders>
            <w:shd w:val="clear" w:color="auto" w:fill="auto"/>
            <w:vAlign w:val="center"/>
          </w:tcPr>
          <w:p>
            <w:pPr>
              <w:adjustRightInd w:val="0"/>
              <w:snapToGrid w:val="0"/>
              <w:spacing w:line="240" w:lineRule="atLeast"/>
              <w:jc w:val="center"/>
              <w:rPr>
                <w:rFonts w:ascii="Times New Roman" w:hAnsi="Times New Roman" w:cs="Times New Roman"/>
                <w:szCs w:val="21"/>
              </w:rPr>
            </w:pP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pPr>
              <w:topLinePunct/>
              <w:adjustRightInd w:val="0"/>
              <w:spacing w:line="260" w:lineRule="exact"/>
              <w:jc w:val="center"/>
              <w:textAlignment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烟气黑度</w:t>
            </w:r>
          </w:p>
        </w:tc>
        <w:tc>
          <w:tcPr>
            <w:tcW w:w="2220" w:type="dxa"/>
            <w:vMerge w:val="continue"/>
            <w:tcBorders>
              <w:left w:val="single" w:color="auto" w:sz="4" w:space="0"/>
              <w:right w:val="single" w:color="auto" w:sz="4" w:space="0"/>
            </w:tcBorders>
            <w:shd w:val="clear" w:color="auto" w:fill="auto"/>
            <w:vAlign w:val="center"/>
          </w:tcPr>
          <w:p>
            <w:pPr>
              <w:widowControl/>
              <w:snapToGrid w:val="0"/>
              <w:spacing w:line="240" w:lineRule="atLeast"/>
              <w:jc w:val="center"/>
              <w:rPr>
                <w:rFonts w:ascii="Times New Roman" w:hAnsi="Times New Roman" w:cs="Times New Roman"/>
                <w:szCs w:val="21"/>
              </w:rPr>
            </w:pPr>
          </w:p>
        </w:tc>
        <w:tc>
          <w:tcPr>
            <w:tcW w:w="2195" w:type="dxa"/>
            <w:vMerge w:val="continue"/>
            <w:tcBorders>
              <w:left w:val="single" w:color="auto" w:sz="4" w:space="0"/>
              <w:right w:val="single" w:color="auto" w:sz="8" w:space="0"/>
            </w:tcBorders>
            <w:shd w:val="clear" w:color="auto" w:fill="auto"/>
            <w:vAlign w:val="center"/>
          </w:tcPr>
          <w:p>
            <w:pPr>
              <w:spacing w:line="240" w:lineRule="atLeast"/>
              <w:jc w:val="center"/>
              <w:rPr>
                <w:rFonts w:ascii="Times New Roman" w:hAnsi="Times New Roman" w:eastAsia="宋体" w:cs="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479" w:type="dxa"/>
            <w:vMerge w:val="continue"/>
            <w:tcBorders>
              <w:left w:val="single" w:color="auto" w:sz="8"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lang w:bidi="ar"/>
              </w:rPr>
            </w:pPr>
          </w:p>
        </w:tc>
        <w:tc>
          <w:tcPr>
            <w:tcW w:w="1605" w:type="dxa"/>
            <w:tcBorders>
              <w:left w:val="single" w:color="auto" w:sz="4" w:space="0"/>
              <w:bottom w:val="single" w:color="auto" w:sz="4" w:space="0"/>
              <w:right w:val="single" w:color="auto" w:sz="4" w:space="0"/>
            </w:tcBorders>
            <w:shd w:val="clear" w:color="auto" w:fill="auto"/>
            <w:vAlign w:val="center"/>
          </w:tcPr>
          <w:p>
            <w:pPr>
              <w:adjustRightInd w:val="0"/>
              <w:snapToGrid w:val="0"/>
              <w:spacing w:line="240" w:lineRule="atLeast"/>
              <w:jc w:val="center"/>
              <w:rPr>
                <w:rFonts w:ascii="Times New Roman" w:hAnsi="Times New Roman" w:cs="Times New Roman"/>
                <w:szCs w:val="21"/>
              </w:rPr>
            </w:pPr>
            <w:r>
              <w:rPr>
                <w:rFonts w:hint="eastAsia" w:ascii="Times New Roman" w:hAnsi="Times New Roman" w:cs="Times New Roman"/>
                <w:szCs w:val="21"/>
                <w:lang w:val="en-US" w:eastAsia="zh-CN"/>
              </w:rPr>
              <w:t>锅炉制煤系统上料、破碎废气（DA002）</w:t>
            </w: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pPr>
              <w:topLinePunct/>
              <w:adjustRightInd w:val="0"/>
              <w:spacing w:line="260" w:lineRule="exact"/>
              <w:jc w:val="center"/>
              <w:textAlignment w:val="center"/>
              <w:rPr>
                <w:rFonts w:hint="eastAsia" w:ascii="Times New Roman" w:hAnsi="Times New Roman" w:eastAsia="宋体" w:cs="Times New Roman"/>
                <w:kern w:val="0"/>
                <w:szCs w:val="21"/>
              </w:rPr>
            </w:pPr>
            <w:r>
              <w:rPr>
                <w:rFonts w:ascii="Times New Roman" w:hAnsi="Times New Roman" w:eastAsia="宋体" w:cs="Times New Roman"/>
                <w:szCs w:val="21"/>
              </w:rPr>
              <w:t>颗粒物</w:t>
            </w:r>
          </w:p>
        </w:tc>
        <w:tc>
          <w:tcPr>
            <w:tcW w:w="2220" w:type="dxa"/>
            <w:tcBorders>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Times New Roman" w:hAnsi="Times New Roman" w:cs="Times New Roman"/>
                <w:szCs w:val="21"/>
              </w:rPr>
            </w:pPr>
            <w:r>
              <w:rPr>
                <w:rFonts w:hint="eastAsia" w:ascii="Times New Roman" w:hAnsi="Times New Roman" w:cs="Times New Roman"/>
                <w:szCs w:val="21"/>
                <w:lang w:val="en-US" w:eastAsia="zh-CN"/>
              </w:rPr>
              <w:t>锅炉制煤系统上料、破碎废气经集气装置收集后经1套脉冲布袋除尘器处理，处理后的废气经1根15m高排气筒（DA002）排放</w:t>
            </w:r>
          </w:p>
        </w:tc>
        <w:tc>
          <w:tcPr>
            <w:tcW w:w="2195" w:type="dxa"/>
            <w:tcBorders>
              <w:left w:val="single" w:color="auto" w:sz="4" w:space="0"/>
              <w:right w:val="single" w:color="auto" w:sz="8" w:space="0"/>
            </w:tcBorders>
            <w:shd w:val="clear" w:color="auto" w:fill="auto"/>
            <w:vAlign w:val="center"/>
          </w:tcPr>
          <w:p>
            <w:pPr>
              <w:spacing w:line="240" w:lineRule="atLeast"/>
              <w:jc w:val="center"/>
              <w:rPr>
                <w:rFonts w:ascii="Times New Roman" w:hAnsi="Times New Roman" w:eastAsia="宋体" w:cs="Times New Roman"/>
                <w:szCs w:val="21"/>
              </w:rPr>
            </w:pPr>
            <w:r>
              <w:rPr>
                <w:rFonts w:hint="default" w:ascii="Times New Roman" w:hAnsi="Times New Roman" w:eastAsia="宋体" w:cs="Times New Roman"/>
                <w:szCs w:val="21"/>
                <w:lang w:val="en-US"/>
              </w:rPr>
              <w:t>《大气污染物综合排放标准》（GB16297-1996）表2</w:t>
            </w:r>
            <w:r>
              <w:rPr>
                <w:rFonts w:hint="default" w:ascii="Times New Roman" w:hAnsi="Times New Roman" w:eastAsia="宋体" w:cs="Times New Roman"/>
                <w:szCs w:val="21"/>
                <w:lang w:val="en-US" w:eastAsia="zh-CN"/>
              </w:rPr>
              <w:t>中相关限值</w:t>
            </w:r>
            <w:r>
              <w:rPr>
                <w:rFonts w:hint="default" w:ascii="Times New Roman" w:hAnsi="Times New Roman" w:eastAsia="宋体" w:cs="Times New Roman"/>
                <w:szCs w:val="21"/>
                <w:lang w:val="en-US"/>
              </w:rPr>
              <w:t>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479" w:type="dxa"/>
            <w:vMerge w:val="continue"/>
            <w:tcBorders>
              <w:left w:val="single" w:color="auto" w:sz="8"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lang w:bidi="ar"/>
              </w:rPr>
            </w:pPr>
          </w:p>
        </w:tc>
        <w:tc>
          <w:tcPr>
            <w:tcW w:w="1605" w:type="dxa"/>
            <w:vMerge w:val="restart"/>
            <w:tcBorders>
              <w:left w:val="single" w:color="auto" w:sz="4" w:space="0"/>
              <w:right w:val="single" w:color="auto" w:sz="4" w:space="0"/>
            </w:tcBorders>
            <w:shd w:val="clear" w:color="auto" w:fill="auto"/>
            <w:vAlign w:val="center"/>
          </w:tcPr>
          <w:p>
            <w:pPr>
              <w:adjustRightInd w:val="0"/>
              <w:snapToGrid w:val="0"/>
              <w:spacing w:line="240" w:lineRule="atLeast"/>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20t/h生物质锅炉废气（DA001）</w:t>
            </w: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pPr>
              <w:topLinePunct/>
              <w:adjustRightInd w:val="0"/>
              <w:spacing w:line="260" w:lineRule="exact"/>
              <w:jc w:val="center"/>
              <w:textAlignment w:val="center"/>
              <w:rPr>
                <w:rFonts w:ascii="Times New Roman" w:hAnsi="Times New Roman" w:eastAsia="宋体" w:cs="Times New Roman"/>
                <w:kern w:val="2"/>
                <w:sz w:val="21"/>
                <w:szCs w:val="21"/>
                <w:lang w:val="en-US" w:eastAsia="zh-CN" w:bidi="ar-SA"/>
              </w:rPr>
            </w:pPr>
            <w:r>
              <w:rPr>
                <w:rFonts w:ascii="Times New Roman" w:hAnsi="Times New Roman" w:eastAsia="宋体" w:cs="Times New Roman"/>
                <w:szCs w:val="21"/>
              </w:rPr>
              <w:t>颗粒物</w:t>
            </w:r>
          </w:p>
        </w:tc>
        <w:tc>
          <w:tcPr>
            <w:tcW w:w="2220" w:type="dxa"/>
            <w:vMerge w:val="restart"/>
            <w:tcBorders>
              <w:left w:val="single" w:color="auto" w:sz="4" w:space="0"/>
              <w:right w:val="single" w:color="auto" w:sz="4" w:space="0"/>
            </w:tcBorders>
            <w:shd w:val="clear" w:color="auto" w:fill="auto"/>
            <w:vAlign w:val="center"/>
          </w:tcPr>
          <w:p>
            <w:pPr>
              <w:widowControl/>
              <w:snapToGrid w:val="0"/>
              <w:spacing w:line="240" w:lineRule="atLeast"/>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20t/h生物质锅炉废气经布袋除尘+低氮燃烧技术后经1根45m高排气筒（DA001）排放</w:t>
            </w:r>
          </w:p>
        </w:tc>
        <w:tc>
          <w:tcPr>
            <w:tcW w:w="2195" w:type="dxa"/>
            <w:vMerge w:val="restart"/>
            <w:tcBorders>
              <w:left w:val="single" w:color="auto" w:sz="4" w:space="0"/>
              <w:right w:val="single" w:color="auto" w:sz="8" w:space="0"/>
            </w:tcBorders>
            <w:shd w:val="clear" w:color="auto" w:fill="auto"/>
            <w:vAlign w:val="center"/>
          </w:tcPr>
          <w:p>
            <w:pPr>
              <w:spacing w:line="240" w:lineRule="atLeast"/>
              <w:jc w:val="center"/>
              <w:rPr>
                <w:rFonts w:hint="default" w:ascii="Times New Roman" w:hAnsi="Times New Roman" w:eastAsia="宋体" w:cs="Times New Roman"/>
                <w:szCs w:val="21"/>
                <w:lang w:val="en-US"/>
              </w:rPr>
            </w:pPr>
            <w:r>
              <w:rPr>
                <w:rFonts w:hint="default" w:ascii="Times New Roman" w:hAnsi="Times New Roman" w:eastAsia="宋体" w:cs="Times New Roman"/>
                <w:szCs w:val="21"/>
                <w:lang w:val="en-US" w:eastAsia="zh-CN"/>
              </w:rPr>
              <w:t>《锅炉大气污染物排放标准》(DB13/5161—2020)中表1大气污染物排放相关限值要求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479" w:type="dxa"/>
            <w:vMerge w:val="continue"/>
            <w:tcBorders>
              <w:left w:val="single" w:color="auto" w:sz="8" w:space="0"/>
              <w:right w:val="single" w:color="auto" w:sz="4" w:space="0"/>
            </w:tcBorders>
            <w:shd w:val="clear" w:color="auto" w:fill="auto"/>
            <w:vAlign w:val="center"/>
          </w:tcPr>
          <w:p>
            <w:pPr>
              <w:topLinePunct/>
              <w:adjustRightInd w:val="0"/>
              <w:spacing w:line="260" w:lineRule="exact"/>
              <w:jc w:val="center"/>
              <w:textAlignment w:val="center"/>
            </w:pPr>
          </w:p>
        </w:tc>
        <w:tc>
          <w:tcPr>
            <w:tcW w:w="1605" w:type="dxa"/>
            <w:vMerge w:val="continue"/>
            <w:tcBorders>
              <w:left w:val="single" w:color="auto" w:sz="4" w:space="0"/>
              <w:right w:val="single" w:color="auto" w:sz="4" w:space="0"/>
            </w:tcBorders>
            <w:shd w:val="clear" w:color="auto" w:fill="auto"/>
            <w:vAlign w:val="center"/>
          </w:tcPr>
          <w:p>
            <w:pPr>
              <w:topLinePunct/>
              <w:adjustRightInd w:val="0"/>
              <w:spacing w:line="260" w:lineRule="exact"/>
              <w:jc w:val="center"/>
              <w:textAlignment w:val="center"/>
            </w:pP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pPr>
              <w:topLinePunct/>
              <w:adjustRightInd w:val="0"/>
              <w:spacing w:line="260" w:lineRule="exact"/>
              <w:jc w:val="center"/>
              <w:textAlignment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0"/>
                <w:szCs w:val="21"/>
              </w:rPr>
              <w:t>SO</w:t>
            </w:r>
            <w:r>
              <w:rPr>
                <w:rFonts w:hint="eastAsia" w:ascii="Times New Roman" w:hAnsi="Times New Roman" w:eastAsia="宋体" w:cs="Times New Roman"/>
                <w:kern w:val="0"/>
                <w:szCs w:val="21"/>
                <w:vertAlign w:val="subscript"/>
              </w:rPr>
              <w:t>2</w:t>
            </w:r>
          </w:p>
        </w:tc>
        <w:tc>
          <w:tcPr>
            <w:tcW w:w="2220" w:type="dxa"/>
            <w:vMerge w:val="continue"/>
            <w:tcBorders>
              <w:left w:val="single" w:color="auto" w:sz="4" w:space="0"/>
              <w:right w:val="single" w:color="auto" w:sz="4" w:space="0"/>
            </w:tcBorders>
            <w:shd w:val="clear" w:color="auto" w:fill="auto"/>
            <w:vAlign w:val="center"/>
          </w:tcPr>
          <w:p>
            <w:pPr>
              <w:topLinePunct/>
              <w:adjustRightInd w:val="0"/>
              <w:spacing w:line="260" w:lineRule="exact"/>
              <w:jc w:val="center"/>
              <w:textAlignment w:val="center"/>
              <w:rPr>
                <w:rFonts w:ascii="Times New Roman" w:hAnsi="Times New Roman" w:eastAsia="宋体" w:cs="Times New Roman"/>
                <w:szCs w:val="21"/>
              </w:rPr>
            </w:pPr>
          </w:p>
        </w:tc>
        <w:tc>
          <w:tcPr>
            <w:tcW w:w="2195" w:type="dxa"/>
            <w:vMerge w:val="continue"/>
            <w:tcBorders>
              <w:left w:val="single" w:color="auto" w:sz="4" w:space="0"/>
              <w:right w:val="single" w:color="auto" w:sz="8" w:space="0"/>
            </w:tcBorders>
            <w:shd w:val="clear" w:color="auto" w:fill="auto"/>
            <w:vAlign w:val="center"/>
          </w:tcPr>
          <w:p>
            <w:pPr>
              <w:topLinePunct/>
              <w:adjustRightInd w:val="0"/>
              <w:spacing w:line="260" w:lineRule="exact"/>
              <w:jc w:val="center"/>
              <w:textAlignment w:val="center"/>
              <w:rPr>
                <w:rFonts w:ascii="Times New Roman" w:hAnsi="Times New Roman" w:eastAsia="宋体" w:cs="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479" w:type="dxa"/>
            <w:vMerge w:val="continue"/>
            <w:tcBorders>
              <w:left w:val="single" w:color="auto" w:sz="8" w:space="0"/>
              <w:right w:val="single" w:color="auto" w:sz="4" w:space="0"/>
            </w:tcBorders>
            <w:shd w:val="clear" w:color="auto" w:fill="auto"/>
            <w:vAlign w:val="center"/>
          </w:tcPr>
          <w:p>
            <w:pPr>
              <w:topLinePunct/>
              <w:adjustRightInd w:val="0"/>
              <w:spacing w:line="260" w:lineRule="exact"/>
              <w:jc w:val="center"/>
              <w:textAlignment w:val="center"/>
              <w:rPr>
                <w:rFonts w:ascii="Times New Roman" w:hAnsi="Times New Roman" w:eastAsia="宋体" w:cs="Times New Roman"/>
                <w:szCs w:val="21"/>
              </w:rPr>
            </w:pPr>
          </w:p>
        </w:tc>
        <w:tc>
          <w:tcPr>
            <w:tcW w:w="1605" w:type="dxa"/>
            <w:vMerge w:val="continue"/>
            <w:tcBorders>
              <w:left w:val="single" w:color="auto" w:sz="4" w:space="0"/>
              <w:right w:val="single" w:color="auto" w:sz="4" w:space="0"/>
            </w:tcBorders>
            <w:shd w:val="clear" w:color="auto" w:fill="auto"/>
            <w:vAlign w:val="center"/>
          </w:tcPr>
          <w:p>
            <w:pPr>
              <w:topLinePunct/>
              <w:adjustRightInd w:val="0"/>
              <w:spacing w:line="260" w:lineRule="exact"/>
              <w:jc w:val="center"/>
              <w:textAlignment w:val="center"/>
              <w:rPr>
                <w:rFonts w:ascii="Times New Roman" w:hAnsi="Times New Roman" w:eastAsia="宋体" w:cs="Times New Roman"/>
                <w:szCs w:val="21"/>
              </w:rPr>
            </w:pP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pPr>
              <w:topLinePunct/>
              <w:adjustRightInd w:val="0"/>
              <w:spacing w:line="260" w:lineRule="exact"/>
              <w:jc w:val="center"/>
              <w:textAlignment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0"/>
                <w:szCs w:val="21"/>
              </w:rPr>
              <w:t>NO</w:t>
            </w:r>
            <w:r>
              <w:rPr>
                <w:rFonts w:hint="eastAsia" w:ascii="Times New Roman" w:hAnsi="Times New Roman" w:eastAsia="宋体" w:cs="Times New Roman"/>
                <w:kern w:val="0"/>
                <w:szCs w:val="21"/>
                <w:vertAlign w:val="subscript"/>
              </w:rPr>
              <w:t>x</w:t>
            </w:r>
          </w:p>
        </w:tc>
        <w:tc>
          <w:tcPr>
            <w:tcW w:w="2220" w:type="dxa"/>
            <w:vMerge w:val="continue"/>
            <w:tcBorders>
              <w:left w:val="single" w:color="auto" w:sz="4" w:space="0"/>
              <w:right w:val="single" w:color="auto" w:sz="4" w:space="0"/>
            </w:tcBorders>
            <w:shd w:val="clear" w:color="auto" w:fill="auto"/>
            <w:vAlign w:val="center"/>
          </w:tcPr>
          <w:p>
            <w:pPr>
              <w:topLinePunct/>
              <w:adjustRightInd w:val="0"/>
              <w:spacing w:line="260" w:lineRule="exact"/>
              <w:jc w:val="center"/>
              <w:textAlignment w:val="center"/>
              <w:rPr>
                <w:rFonts w:ascii="Times New Roman" w:hAnsi="Times New Roman" w:eastAsia="宋体" w:cs="Times New Roman"/>
                <w:szCs w:val="21"/>
              </w:rPr>
            </w:pPr>
          </w:p>
        </w:tc>
        <w:tc>
          <w:tcPr>
            <w:tcW w:w="2195" w:type="dxa"/>
            <w:vMerge w:val="continue"/>
            <w:tcBorders>
              <w:left w:val="single" w:color="auto" w:sz="4" w:space="0"/>
              <w:right w:val="single" w:color="auto" w:sz="8" w:space="0"/>
            </w:tcBorders>
            <w:shd w:val="clear" w:color="auto" w:fill="auto"/>
            <w:vAlign w:val="center"/>
          </w:tcPr>
          <w:p>
            <w:pPr>
              <w:topLinePunct/>
              <w:adjustRightInd w:val="0"/>
              <w:spacing w:line="260" w:lineRule="exact"/>
              <w:jc w:val="center"/>
              <w:textAlignment w:val="center"/>
              <w:rPr>
                <w:rFonts w:ascii="Times New Roman" w:hAnsi="Times New Roman" w:eastAsia="宋体" w:cs="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479" w:type="dxa"/>
            <w:vMerge w:val="continue"/>
            <w:tcBorders>
              <w:left w:val="single" w:color="auto" w:sz="8" w:space="0"/>
              <w:right w:val="single" w:color="auto" w:sz="4" w:space="0"/>
            </w:tcBorders>
            <w:shd w:val="clear" w:color="auto" w:fill="auto"/>
            <w:vAlign w:val="center"/>
          </w:tcPr>
          <w:p>
            <w:pPr>
              <w:topLinePunct/>
              <w:adjustRightInd w:val="0"/>
              <w:spacing w:line="260" w:lineRule="exact"/>
              <w:jc w:val="center"/>
              <w:textAlignment w:val="center"/>
              <w:rPr>
                <w:rFonts w:ascii="Times New Roman" w:hAnsi="Times New Roman" w:eastAsia="宋体" w:cs="Times New Roman"/>
                <w:szCs w:val="21"/>
              </w:rPr>
            </w:pPr>
          </w:p>
        </w:tc>
        <w:tc>
          <w:tcPr>
            <w:tcW w:w="1605" w:type="dxa"/>
            <w:vMerge w:val="continue"/>
            <w:tcBorders>
              <w:left w:val="single" w:color="auto" w:sz="4" w:space="0"/>
              <w:bottom w:val="single" w:color="auto" w:sz="4" w:space="0"/>
              <w:right w:val="single" w:color="auto" w:sz="4" w:space="0"/>
            </w:tcBorders>
            <w:shd w:val="clear" w:color="auto" w:fill="auto"/>
            <w:vAlign w:val="center"/>
          </w:tcPr>
          <w:p>
            <w:pPr>
              <w:topLinePunct/>
              <w:adjustRightInd w:val="0"/>
              <w:spacing w:line="260" w:lineRule="exact"/>
              <w:jc w:val="center"/>
              <w:textAlignment w:val="center"/>
              <w:rPr>
                <w:rFonts w:ascii="Times New Roman" w:hAnsi="Times New Roman" w:eastAsia="宋体" w:cs="Times New Roman"/>
                <w:szCs w:val="21"/>
              </w:rPr>
            </w:pP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pPr>
              <w:topLinePunct/>
              <w:adjustRightInd w:val="0"/>
              <w:spacing w:line="260" w:lineRule="exact"/>
              <w:jc w:val="center"/>
              <w:textAlignment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烟气黑度</w:t>
            </w:r>
          </w:p>
        </w:tc>
        <w:tc>
          <w:tcPr>
            <w:tcW w:w="2220" w:type="dxa"/>
            <w:vMerge w:val="continue"/>
            <w:tcBorders>
              <w:left w:val="single" w:color="auto" w:sz="4" w:space="0"/>
              <w:bottom w:val="single" w:color="auto" w:sz="4" w:space="0"/>
              <w:right w:val="single" w:color="auto" w:sz="4" w:space="0"/>
            </w:tcBorders>
            <w:shd w:val="clear" w:color="auto" w:fill="auto"/>
            <w:vAlign w:val="center"/>
          </w:tcPr>
          <w:p>
            <w:pPr>
              <w:topLinePunct/>
              <w:adjustRightInd w:val="0"/>
              <w:spacing w:line="260" w:lineRule="exact"/>
              <w:jc w:val="center"/>
              <w:textAlignment w:val="center"/>
              <w:rPr>
                <w:rFonts w:ascii="Times New Roman" w:hAnsi="Times New Roman" w:eastAsia="宋体" w:cs="Times New Roman"/>
                <w:szCs w:val="21"/>
              </w:rPr>
            </w:pPr>
          </w:p>
        </w:tc>
        <w:tc>
          <w:tcPr>
            <w:tcW w:w="2195" w:type="dxa"/>
            <w:vMerge w:val="continue"/>
            <w:tcBorders>
              <w:left w:val="single" w:color="auto" w:sz="4" w:space="0"/>
              <w:right w:val="single" w:color="auto" w:sz="8" w:space="0"/>
            </w:tcBorders>
            <w:shd w:val="clear" w:color="auto" w:fill="auto"/>
            <w:vAlign w:val="center"/>
          </w:tcPr>
          <w:p>
            <w:pPr>
              <w:topLinePunct/>
              <w:adjustRightInd w:val="0"/>
              <w:spacing w:line="260" w:lineRule="exact"/>
              <w:jc w:val="center"/>
              <w:textAlignment w:val="center"/>
              <w:rPr>
                <w:rFonts w:ascii="Times New Roman" w:hAnsi="Times New Roman" w:eastAsia="宋体" w:cs="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479" w:type="dxa"/>
            <w:vMerge w:val="continue"/>
            <w:tcBorders>
              <w:left w:val="single" w:color="auto" w:sz="8"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lang w:bidi="ar"/>
              </w:rPr>
            </w:pPr>
          </w:p>
        </w:tc>
        <w:tc>
          <w:tcPr>
            <w:tcW w:w="1605" w:type="dxa"/>
            <w:tcBorders>
              <w:left w:val="single" w:color="auto" w:sz="4" w:space="0"/>
              <w:bottom w:val="single" w:color="auto" w:sz="4" w:space="0"/>
              <w:right w:val="single" w:color="auto" w:sz="4" w:space="0"/>
            </w:tcBorders>
            <w:shd w:val="clear" w:color="auto" w:fill="auto"/>
            <w:vAlign w:val="center"/>
          </w:tcPr>
          <w:p>
            <w:pPr>
              <w:adjustRightInd w:val="0"/>
              <w:snapToGrid w:val="0"/>
              <w:spacing w:line="240" w:lineRule="atLeast"/>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锅炉除尘灰废气（DA004）排放</w:t>
            </w: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pPr>
              <w:topLinePunct/>
              <w:adjustRightInd w:val="0"/>
              <w:spacing w:line="260" w:lineRule="exact"/>
              <w:jc w:val="center"/>
              <w:textAlignment w:val="center"/>
              <w:rPr>
                <w:rFonts w:ascii="Times New Roman" w:hAnsi="Times New Roman" w:eastAsia="宋体" w:cs="Times New Roman"/>
                <w:szCs w:val="21"/>
              </w:rPr>
            </w:pPr>
            <w:r>
              <w:rPr>
                <w:rFonts w:ascii="Times New Roman" w:hAnsi="Times New Roman" w:eastAsia="宋体" w:cs="Times New Roman"/>
                <w:szCs w:val="21"/>
              </w:rPr>
              <w:t>颗粒物</w:t>
            </w:r>
          </w:p>
        </w:tc>
        <w:tc>
          <w:tcPr>
            <w:tcW w:w="2220" w:type="dxa"/>
            <w:tcBorders>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锅炉除尘灰由灰仓仓顶自带低压脉冲袋式除尘器处理，处理后的废气经1根15m高排气筒（DA004）排放</w:t>
            </w:r>
          </w:p>
        </w:tc>
        <w:tc>
          <w:tcPr>
            <w:tcW w:w="2195" w:type="dxa"/>
            <w:tcBorders>
              <w:left w:val="single" w:color="auto" w:sz="4" w:space="0"/>
              <w:right w:val="single" w:color="auto" w:sz="8" w:space="0"/>
            </w:tcBorders>
            <w:shd w:val="clear" w:color="auto" w:fill="auto"/>
            <w:vAlign w:val="center"/>
          </w:tcPr>
          <w:p>
            <w:pPr>
              <w:spacing w:line="240" w:lineRule="atLeast"/>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rPr>
              <w:t>《大气污染物综合排放标准》（GB16297-1996）表2</w:t>
            </w:r>
            <w:r>
              <w:rPr>
                <w:rFonts w:hint="default" w:ascii="Times New Roman" w:hAnsi="Times New Roman" w:eastAsia="宋体" w:cs="Times New Roman"/>
                <w:szCs w:val="21"/>
                <w:lang w:val="en-US" w:eastAsia="zh-CN"/>
              </w:rPr>
              <w:t>中相关限值</w:t>
            </w:r>
            <w:r>
              <w:rPr>
                <w:rFonts w:hint="default" w:ascii="Times New Roman" w:hAnsi="Times New Roman" w:eastAsia="宋体" w:cs="Times New Roman"/>
                <w:szCs w:val="21"/>
                <w:lang w:val="en-US"/>
              </w:rPr>
              <w:t>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479" w:type="dxa"/>
            <w:vMerge w:val="continue"/>
            <w:tcBorders>
              <w:left w:val="single" w:color="auto" w:sz="8"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lang w:bidi="ar"/>
              </w:rPr>
            </w:pPr>
          </w:p>
        </w:tc>
        <w:tc>
          <w:tcPr>
            <w:tcW w:w="1605" w:type="dxa"/>
            <w:tcBorders>
              <w:left w:val="single" w:color="auto" w:sz="4" w:space="0"/>
              <w:bottom w:val="single" w:color="auto" w:sz="4" w:space="0"/>
              <w:right w:val="single" w:color="auto" w:sz="4" w:space="0"/>
            </w:tcBorders>
            <w:shd w:val="clear" w:color="auto" w:fill="auto"/>
            <w:vAlign w:val="center"/>
          </w:tcPr>
          <w:p>
            <w:pPr>
              <w:adjustRightInd w:val="0"/>
              <w:snapToGrid w:val="0"/>
              <w:spacing w:line="240" w:lineRule="atLeast"/>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破碎楼、渣库、煤棚</w:t>
            </w:r>
            <w:r>
              <w:rPr>
                <w:rFonts w:hint="default" w:ascii="Times New Roman" w:hAnsi="Times New Roman" w:eastAsia="宋体" w:cs="Times New Roman"/>
                <w:color w:val="auto"/>
                <w:kern w:val="2"/>
                <w:sz w:val="21"/>
                <w:szCs w:val="21"/>
                <w:vertAlign w:val="baseline"/>
                <w:lang w:val="en-US" w:eastAsia="zh-CN" w:bidi="ar-SA"/>
              </w:rPr>
              <w:t>粉尘</w:t>
            </w: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pPr>
              <w:topLinePunct/>
              <w:adjustRightInd w:val="0"/>
              <w:spacing w:line="260" w:lineRule="exact"/>
              <w:jc w:val="center"/>
              <w:textAlignment w:val="center"/>
              <w:rPr>
                <w:rFonts w:ascii="Times New Roman" w:hAnsi="Times New Roman" w:eastAsia="宋体" w:cs="Times New Roman"/>
                <w:szCs w:val="21"/>
              </w:rPr>
            </w:pPr>
            <w:r>
              <w:rPr>
                <w:rFonts w:ascii="Times New Roman" w:hAnsi="Times New Roman" w:eastAsia="宋体" w:cs="Times New Roman"/>
                <w:szCs w:val="21"/>
              </w:rPr>
              <w:t>颗粒物</w:t>
            </w:r>
          </w:p>
        </w:tc>
        <w:tc>
          <w:tcPr>
            <w:tcW w:w="2220" w:type="dxa"/>
            <w:tcBorders>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Times New Roman" w:hAnsi="Times New Roman" w:cs="Times New Roman"/>
                <w:szCs w:val="21"/>
              </w:rPr>
            </w:pPr>
            <w:r>
              <w:rPr>
                <w:rFonts w:hint="eastAsia" w:ascii="Times New Roman" w:hAnsi="Times New Roman" w:cs="Times New Roman"/>
                <w:szCs w:val="21"/>
                <w:lang w:val="en-US" w:eastAsia="zh-CN"/>
              </w:rPr>
              <w:t>车间为封闭车间，车间内每日定期打扫，洒水降尘</w:t>
            </w:r>
          </w:p>
        </w:tc>
        <w:tc>
          <w:tcPr>
            <w:tcW w:w="2195" w:type="dxa"/>
            <w:tcBorders>
              <w:left w:val="single" w:color="auto" w:sz="4" w:space="0"/>
              <w:right w:val="single" w:color="auto" w:sz="8" w:space="0"/>
            </w:tcBorders>
            <w:shd w:val="clear" w:color="auto" w:fill="auto"/>
            <w:vAlign w:val="center"/>
          </w:tcPr>
          <w:p>
            <w:pPr>
              <w:spacing w:line="240" w:lineRule="atLeast"/>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《大气污染物综合排放标准》（GB16297-1996）表2中无组织排放监控限值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1" w:hRule="atLeast"/>
          <w:jc w:val="center"/>
        </w:trPr>
        <w:tc>
          <w:tcPr>
            <w:tcW w:w="1479" w:type="dxa"/>
            <w:vMerge w:val="restart"/>
            <w:tcBorders>
              <w:left w:val="single" w:color="auto" w:sz="8"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lang w:bidi="ar"/>
              </w:rPr>
            </w:pPr>
            <w:r>
              <w:rPr>
                <w:rFonts w:hint="eastAsia" w:ascii="Times New Roman" w:hAnsi="Times New Roman" w:eastAsia="宋体" w:cs="Times New Roman"/>
                <w:szCs w:val="21"/>
                <w:lang w:bidi="ar"/>
              </w:rPr>
              <w:t>地表水环境</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反渗透纯水制备废水</w:t>
            </w:r>
          </w:p>
        </w:tc>
        <w:tc>
          <w:tcPr>
            <w:tcW w:w="1650" w:type="dxa"/>
            <w:vMerge w:val="restart"/>
            <w:tcBorders>
              <w:top w:val="single" w:color="auto" w:sz="4" w:space="0"/>
              <w:left w:val="single" w:color="auto" w:sz="4"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pH 值、化学需氧量、溶解性总固体（全盐量）</w:t>
            </w:r>
          </w:p>
        </w:tc>
        <w:tc>
          <w:tcPr>
            <w:tcW w:w="2220" w:type="dxa"/>
            <w:vMerge w:val="restart"/>
            <w:tcBorders>
              <w:top w:val="single" w:color="auto" w:sz="4" w:space="0"/>
              <w:left w:val="single" w:color="auto" w:sz="4"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反渗透纯水制备废水作为脱硫系统用水，锅炉定期排水用于厂区洒水降尘</w:t>
            </w:r>
          </w:p>
        </w:tc>
        <w:tc>
          <w:tcPr>
            <w:tcW w:w="2195" w:type="dxa"/>
            <w:vMerge w:val="restart"/>
            <w:tcBorders>
              <w:left w:val="single" w:color="auto" w:sz="4" w:space="0"/>
              <w:right w:val="single" w:color="auto" w:sz="8" w:space="0"/>
            </w:tcBorders>
            <w:shd w:val="clear" w:color="auto" w:fill="auto"/>
            <w:vAlign w:val="center"/>
          </w:tcPr>
          <w:p>
            <w:pPr>
              <w:adjustRightInd w:val="0"/>
              <w:snapToGrid w:val="0"/>
              <w:spacing w:line="240" w:lineRule="atLeast"/>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《城市污水再生利用—城市杂用水水质》（GB/T18920-2020）中道路清扫水质标准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1" w:hRule="atLeast"/>
          <w:jc w:val="center"/>
        </w:trPr>
        <w:tc>
          <w:tcPr>
            <w:tcW w:w="1479" w:type="dxa"/>
            <w:vMerge w:val="continue"/>
            <w:tcBorders>
              <w:left w:val="single" w:color="auto" w:sz="8" w:space="0"/>
              <w:right w:val="single" w:color="auto" w:sz="4" w:space="0"/>
            </w:tcBorders>
            <w:shd w:val="clear" w:color="auto" w:fill="auto"/>
            <w:vAlign w:val="center"/>
          </w:tcPr>
          <w:p>
            <w:pPr>
              <w:adjustRightInd w:val="0"/>
              <w:snapToGrid w:val="0"/>
              <w:spacing w:line="240" w:lineRule="atLeast"/>
              <w:jc w:val="center"/>
              <w:rPr>
                <w:rFonts w:hint="eastAsia" w:ascii="Times New Roman" w:hAnsi="Times New Roman" w:eastAsia="宋体" w:cs="Times New Roman"/>
                <w:szCs w:val="21"/>
                <w:lang w:bidi="ar"/>
              </w:rPr>
            </w:pP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tLeast"/>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锅炉排水</w:t>
            </w:r>
          </w:p>
        </w:tc>
        <w:tc>
          <w:tcPr>
            <w:tcW w:w="1650" w:type="dxa"/>
            <w:vMerge w:val="continue"/>
            <w:tcBorders>
              <w:left w:val="single" w:color="auto" w:sz="4" w:space="0"/>
              <w:bottom w:val="single" w:color="auto" w:sz="4" w:space="0"/>
              <w:right w:val="single" w:color="auto" w:sz="4" w:space="0"/>
            </w:tcBorders>
            <w:shd w:val="clear" w:color="auto" w:fill="auto"/>
            <w:vAlign w:val="center"/>
          </w:tcPr>
          <w:p>
            <w:pPr>
              <w:adjustRightInd w:val="0"/>
              <w:snapToGrid w:val="0"/>
              <w:spacing w:line="240" w:lineRule="atLeast"/>
              <w:jc w:val="center"/>
              <w:rPr>
                <w:rFonts w:hint="default" w:ascii="Times New Roman" w:hAnsi="Times New Roman" w:eastAsia="宋体" w:cs="Times New Roman"/>
                <w:szCs w:val="21"/>
                <w:lang w:val="en-US" w:eastAsia="zh-CN"/>
              </w:rPr>
            </w:pPr>
          </w:p>
        </w:tc>
        <w:tc>
          <w:tcPr>
            <w:tcW w:w="2220" w:type="dxa"/>
            <w:vMerge w:val="continue"/>
            <w:tcBorders>
              <w:left w:val="single" w:color="auto" w:sz="4" w:space="0"/>
              <w:bottom w:val="single" w:color="auto" w:sz="4"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rPr>
            </w:pPr>
          </w:p>
        </w:tc>
        <w:tc>
          <w:tcPr>
            <w:tcW w:w="2195" w:type="dxa"/>
            <w:vMerge w:val="continue"/>
            <w:tcBorders>
              <w:left w:val="single" w:color="auto" w:sz="4" w:space="0"/>
              <w:right w:val="single" w:color="auto" w:sz="8"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9" w:type="dxa"/>
            <w:tcBorders>
              <w:top w:val="single" w:color="auto" w:sz="4" w:space="0"/>
              <w:left w:val="single" w:color="auto" w:sz="8" w:space="0"/>
              <w:bottom w:val="single" w:color="auto" w:sz="4"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lang w:bidi="ar"/>
              </w:rPr>
              <w:t>声环境</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生产设备</w:t>
            </w: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eastAsia="宋体" w:cs="Times New Roman"/>
                <w:szCs w:val="21"/>
              </w:rPr>
              <w:t>A声级</w:t>
            </w:r>
          </w:p>
        </w:tc>
        <w:tc>
          <w:tcPr>
            <w:tcW w:w="2220"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rPr>
            </w:pPr>
            <w:r>
              <w:rPr>
                <w:rFonts w:hint="default" w:ascii="Times New Roman" w:hAnsi="Times New Roman" w:eastAsia="宋体" w:cs="Times New Roman"/>
                <w:szCs w:val="21"/>
                <w:lang w:val="en-US" w:eastAsia="zh-CN"/>
              </w:rPr>
              <w:t>本项目</w:t>
            </w:r>
            <w:r>
              <w:rPr>
                <w:rFonts w:hint="eastAsia" w:ascii="Times New Roman" w:hAnsi="Times New Roman" w:eastAsia="宋体" w:cs="Times New Roman"/>
                <w:szCs w:val="21"/>
                <w:lang w:val="en-US" w:eastAsia="zh-CN"/>
              </w:rPr>
              <w:t>设备</w:t>
            </w:r>
            <w:r>
              <w:rPr>
                <w:rFonts w:hint="default" w:ascii="Times New Roman" w:hAnsi="Times New Roman" w:eastAsia="宋体" w:cs="Times New Roman"/>
                <w:szCs w:val="21"/>
                <w:lang w:val="en-US" w:eastAsia="zh-CN"/>
              </w:rPr>
              <w:t>选用低产噪设备</w:t>
            </w:r>
            <w:r>
              <w:rPr>
                <w:rFonts w:hint="eastAsia" w:ascii="Times New Roman" w:hAnsi="Times New Roman" w:eastAsia="宋体" w:cs="Times New Roman"/>
                <w:szCs w:val="21"/>
                <w:lang w:val="en-US" w:eastAsia="zh-CN"/>
              </w:rPr>
              <w:t>，并且位于</w:t>
            </w:r>
            <w:r>
              <w:rPr>
                <w:rFonts w:hint="default" w:ascii="Times New Roman" w:hAnsi="Times New Roman" w:eastAsia="宋体" w:cs="Times New Roman"/>
                <w:szCs w:val="21"/>
                <w:lang w:val="en-US" w:eastAsia="zh-CN"/>
              </w:rPr>
              <w:t>封闭</w:t>
            </w:r>
            <w:r>
              <w:rPr>
                <w:rFonts w:hint="eastAsia" w:ascii="Times New Roman" w:hAnsi="Times New Roman" w:eastAsia="宋体" w:cs="Times New Roman"/>
                <w:szCs w:val="21"/>
                <w:lang w:val="en-US" w:eastAsia="zh-CN"/>
              </w:rPr>
              <w:t>的车间内</w:t>
            </w:r>
            <w:r>
              <w:rPr>
                <w:rFonts w:hint="default" w:ascii="Times New Roman" w:hAnsi="Times New Roman" w:eastAsia="宋体" w:cs="Times New Roman"/>
                <w:szCs w:val="21"/>
                <w:lang w:val="en-US" w:eastAsia="zh-CN"/>
              </w:rPr>
              <w:t>、设备基础减振、合理布局等措施；车辆减速慢行，禁止鸣笛</w:t>
            </w:r>
          </w:p>
        </w:tc>
        <w:tc>
          <w:tcPr>
            <w:tcW w:w="2195" w:type="dxa"/>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rPr>
            </w:pPr>
            <w:r>
              <w:rPr>
                <w:rFonts w:ascii="Times New Roman" w:hAnsi="Times New Roman" w:cs="Times New Roman"/>
                <w:szCs w:val="21"/>
              </w:rPr>
              <w:t>《工业企业厂界环境噪声排放标准》（GB12348-2008）中</w:t>
            </w:r>
            <w:r>
              <w:rPr>
                <w:rFonts w:hint="eastAsia" w:ascii="Times New Roman" w:hAnsi="Times New Roman" w:cs="Times New Roman"/>
                <w:szCs w:val="21"/>
              </w:rPr>
              <w:t>2类</w:t>
            </w:r>
            <w:r>
              <w:rPr>
                <w:rFonts w:ascii="Times New Roman" w:hAnsi="Times New Roman" w:cs="Times New Roman"/>
                <w:szCs w:val="21"/>
              </w:rPr>
              <w:t>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479" w:type="dxa"/>
            <w:vMerge w:val="restart"/>
            <w:tcBorders>
              <w:top w:val="single" w:color="auto" w:sz="4" w:space="0"/>
              <w:left w:val="single" w:color="auto" w:sz="8"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lang w:bidi="ar"/>
              </w:rPr>
            </w:pPr>
            <w:r>
              <w:rPr>
                <w:rFonts w:hint="eastAsia" w:ascii="Times New Roman" w:hAnsi="Times New Roman" w:eastAsia="宋体" w:cs="Times New Roman"/>
                <w:szCs w:val="21"/>
                <w:lang w:bidi="ar"/>
              </w:rPr>
              <w:t>固体废物</w:t>
            </w: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tLeast"/>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eastAsia="宋体" w:cs="Times New Roman"/>
                <w:szCs w:val="21"/>
              </w:rPr>
              <w:t>锅炉炉膛</w:t>
            </w: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szCs w:val="21"/>
              </w:rPr>
            </w:pPr>
            <w:r>
              <w:rPr>
                <w:rFonts w:hint="eastAsia" w:ascii="Times New Roman" w:hAnsi="Times New Roman" w:cs="Times New Roman"/>
                <w:szCs w:val="21"/>
              </w:rPr>
              <w:t>炉渣</w:t>
            </w:r>
          </w:p>
        </w:tc>
        <w:tc>
          <w:tcPr>
            <w:tcW w:w="2220" w:type="dxa"/>
            <w:vMerge w:val="restart"/>
            <w:tcBorders>
              <w:top w:val="single" w:color="auto" w:sz="4" w:space="0"/>
              <w:left w:val="single" w:color="auto" w:sz="4" w:space="0"/>
              <w:right w:val="single" w:color="auto" w:sz="4" w:space="0"/>
            </w:tcBorders>
            <w:shd w:val="clear" w:color="auto" w:fill="auto"/>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集中收集后</w:t>
            </w:r>
            <w:r>
              <w:rPr>
                <w:rFonts w:hint="eastAsia" w:ascii="Times New Roman" w:hAnsi="Times New Roman" w:eastAsia="宋体" w:cs="Times New Roman"/>
                <w:color w:val="000000" w:themeColor="text1"/>
                <w:szCs w:val="21"/>
                <w:lang w:val="en-US" w:eastAsia="zh-CN"/>
                <w14:textFill>
                  <w14:solidFill>
                    <w14:schemeClr w14:val="tx1"/>
                  </w14:solidFill>
                </w14:textFill>
              </w:rPr>
              <w:t>外售</w:t>
            </w:r>
          </w:p>
        </w:tc>
        <w:tc>
          <w:tcPr>
            <w:tcW w:w="2195" w:type="dxa"/>
            <w:vMerge w:val="restart"/>
            <w:tcBorders>
              <w:top w:val="single" w:color="auto" w:sz="4" w:space="0"/>
              <w:left w:val="single" w:color="auto" w:sz="4" w:space="0"/>
              <w:right w:val="single" w:color="auto" w:sz="8" w:space="0"/>
            </w:tcBorders>
            <w:shd w:val="clear" w:color="auto" w:fill="auto"/>
            <w:vAlign w:val="center"/>
          </w:tcPr>
          <w:p>
            <w:pPr>
              <w:adjustRightInd w:val="0"/>
              <w:snapToGrid w:val="0"/>
              <w:spacing w:line="240" w:lineRule="atLeast"/>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479" w:type="dxa"/>
            <w:vMerge w:val="continue"/>
            <w:tcBorders>
              <w:left w:val="single" w:color="auto" w:sz="8"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lang w:bidi="ar"/>
              </w:rPr>
            </w:pP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240" w:lineRule="atLeast"/>
              <w:jc w:val="center"/>
              <w:rPr>
                <w:rFonts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zCs w:val="21"/>
                <w:lang w:eastAsia="zh-CN"/>
              </w:rPr>
              <w:t>锅炉</w:t>
            </w:r>
            <w:r>
              <w:rPr>
                <w:rFonts w:hint="eastAsia" w:ascii="Times New Roman" w:hAnsi="Times New Roman" w:eastAsia="宋体" w:cs="Times New Roman"/>
                <w:szCs w:val="21"/>
              </w:rPr>
              <w:t>除尘器</w:t>
            </w: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szCs w:val="21"/>
              </w:rPr>
            </w:pPr>
            <w:r>
              <w:rPr>
                <w:rFonts w:hint="eastAsia" w:ascii="Times New Roman" w:hAnsi="Times New Roman" w:cs="Times New Roman"/>
                <w:color w:val="000000" w:themeColor="text1"/>
                <w:szCs w:val="21"/>
                <w:lang w:eastAsia="zh-CN"/>
                <w14:textFill>
                  <w14:solidFill>
                    <w14:schemeClr w14:val="tx1"/>
                  </w14:solidFill>
                </w14:textFill>
              </w:rPr>
              <w:t>锅炉</w:t>
            </w:r>
            <w:r>
              <w:rPr>
                <w:rFonts w:hint="eastAsia" w:ascii="Times New Roman" w:hAnsi="Times New Roman" w:cs="Times New Roman"/>
                <w:color w:val="000000" w:themeColor="text1"/>
                <w:szCs w:val="21"/>
                <w14:textFill>
                  <w14:solidFill>
                    <w14:schemeClr w14:val="tx1"/>
                  </w14:solidFill>
                </w14:textFill>
              </w:rPr>
              <w:t>除尘灰</w:t>
            </w:r>
          </w:p>
        </w:tc>
        <w:tc>
          <w:tcPr>
            <w:tcW w:w="2220" w:type="dxa"/>
            <w:vMerge w:val="continue"/>
            <w:tcBorders>
              <w:left w:val="single" w:color="auto" w:sz="4"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color w:val="000000" w:themeColor="text1"/>
                <w:szCs w:val="21"/>
                <w14:textFill>
                  <w14:solidFill>
                    <w14:schemeClr w14:val="tx1"/>
                  </w14:solidFill>
                </w14:textFill>
              </w:rPr>
            </w:pPr>
          </w:p>
        </w:tc>
        <w:tc>
          <w:tcPr>
            <w:tcW w:w="2195" w:type="dxa"/>
            <w:vMerge w:val="continue"/>
            <w:tcBorders>
              <w:left w:val="single" w:color="auto" w:sz="4" w:space="0"/>
              <w:right w:val="single" w:color="auto" w:sz="8" w:space="0"/>
            </w:tcBorders>
            <w:shd w:val="clear" w:color="auto" w:fill="auto"/>
            <w:vAlign w:val="center"/>
          </w:tcPr>
          <w:p>
            <w:pPr>
              <w:adjustRightInd w:val="0"/>
              <w:snapToGrid w:val="0"/>
              <w:spacing w:line="240" w:lineRule="atLeast"/>
              <w:jc w:val="center"/>
              <w:rPr>
                <w:rFonts w:ascii="Times New Roman" w:hAnsi="Times New Roman" w:cs="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479" w:type="dxa"/>
            <w:vMerge w:val="continue"/>
            <w:tcBorders>
              <w:left w:val="single" w:color="auto" w:sz="8"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lang w:bidi="ar"/>
              </w:rPr>
            </w:pP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mallCaps w:val="0"/>
                <w:color w:val="000000" w:themeColor="text1"/>
                <w:kern w:val="2"/>
                <w:sz w:val="21"/>
                <w:szCs w:val="21"/>
                <w:highlight w:val="none"/>
                <w:vertAlign w:val="baseline"/>
                <w:lang w:val="en-US" w:eastAsia="zh-CN" w:bidi="ar-SA"/>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原煤破碎脉冲除尘器</w:t>
            </w: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smallCaps w:val="0"/>
                <w:color w:val="000000" w:themeColor="text1"/>
                <w:kern w:val="2"/>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smallCaps w:val="0"/>
                <w:color w:val="000000" w:themeColor="text1"/>
                <w:sz w:val="21"/>
                <w:szCs w:val="21"/>
                <w:highlight w:val="none"/>
                <w:vertAlign w:val="baseline"/>
                <w:lang w:val="en-US" w:eastAsia="zh-CN" w:bidi="ar-SA"/>
                <w14:textFill>
                  <w14:solidFill>
                    <w14:schemeClr w14:val="tx1"/>
                  </w14:solidFill>
                </w14:textFill>
              </w:rPr>
              <w:t>除尘灰</w:t>
            </w:r>
          </w:p>
        </w:tc>
        <w:tc>
          <w:tcPr>
            <w:tcW w:w="2220" w:type="dxa"/>
            <w:tcBorders>
              <w:left w:val="single" w:color="auto" w:sz="4" w:space="0"/>
              <w:right w:val="single" w:color="auto" w:sz="4" w:space="0"/>
            </w:tcBorders>
            <w:shd w:val="clear" w:color="auto" w:fill="auto"/>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收集后作为燃料回用</w:t>
            </w:r>
          </w:p>
        </w:tc>
        <w:tc>
          <w:tcPr>
            <w:tcW w:w="2195" w:type="dxa"/>
            <w:tcBorders>
              <w:left w:val="single" w:color="auto" w:sz="4" w:space="0"/>
              <w:right w:val="single" w:color="auto" w:sz="8" w:space="0"/>
            </w:tcBorders>
            <w:shd w:val="clear" w:color="auto" w:fill="auto"/>
            <w:vAlign w:val="center"/>
          </w:tcPr>
          <w:p>
            <w:pPr>
              <w:adjustRightInd w:val="0"/>
              <w:snapToGrid w:val="0"/>
              <w:spacing w:line="240" w:lineRule="atLeast"/>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479" w:type="dxa"/>
            <w:vMerge w:val="continue"/>
            <w:tcBorders>
              <w:left w:val="single" w:color="auto" w:sz="8"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lang w:bidi="ar"/>
              </w:rPr>
            </w:pP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脱硫塔</w:t>
            </w: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szCs w:val="21"/>
                <w:lang w:val="en-US" w:eastAsia="zh-CN"/>
              </w:rPr>
              <w:t>固形物MgSO</w:t>
            </w:r>
            <w:r>
              <w:rPr>
                <w:rFonts w:hint="eastAsia" w:ascii="Times New Roman" w:hAnsi="Times New Roman" w:cs="Times New Roman"/>
                <w:szCs w:val="21"/>
                <w:vertAlign w:val="subscript"/>
                <w:lang w:val="en-US" w:eastAsia="zh-CN"/>
              </w:rPr>
              <w:t>4</w:t>
            </w:r>
          </w:p>
        </w:tc>
        <w:tc>
          <w:tcPr>
            <w:tcW w:w="2220" w:type="dxa"/>
            <w:tcBorders>
              <w:left w:val="single" w:color="auto" w:sz="4" w:space="0"/>
              <w:right w:val="single" w:color="auto" w:sz="4" w:space="0"/>
            </w:tcBorders>
            <w:shd w:val="clear" w:color="auto" w:fill="auto"/>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集中收集后</w:t>
            </w:r>
            <w:r>
              <w:rPr>
                <w:rFonts w:hint="eastAsia" w:ascii="Times New Roman" w:hAnsi="Times New Roman" w:eastAsia="宋体" w:cs="Times New Roman"/>
                <w:color w:val="000000" w:themeColor="text1"/>
                <w:szCs w:val="21"/>
                <w:lang w:val="en-US" w:eastAsia="zh-CN"/>
                <w14:textFill>
                  <w14:solidFill>
                    <w14:schemeClr w14:val="tx1"/>
                  </w14:solidFill>
                </w14:textFill>
              </w:rPr>
              <w:t>外售</w:t>
            </w:r>
          </w:p>
        </w:tc>
        <w:tc>
          <w:tcPr>
            <w:tcW w:w="2195" w:type="dxa"/>
            <w:tcBorders>
              <w:left w:val="single" w:color="auto" w:sz="4" w:space="0"/>
              <w:right w:val="single" w:color="auto" w:sz="8" w:space="0"/>
            </w:tcBorders>
            <w:shd w:val="clear" w:color="auto" w:fill="auto"/>
            <w:vAlign w:val="center"/>
          </w:tcPr>
          <w:p>
            <w:pPr>
              <w:adjustRightInd w:val="0"/>
              <w:snapToGrid w:val="0"/>
              <w:spacing w:line="240" w:lineRule="atLeast"/>
              <w:jc w:val="center"/>
              <w:rPr>
                <w:rFonts w:hint="eastAsia" w:ascii="Times New Roman" w:hAnsi="Times New Roman" w:cs="Times New Roman"/>
                <w:szCs w:val="21"/>
              </w:rPr>
            </w:pPr>
            <w:r>
              <w:rPr>
                <w:rFonts w:hint="eastAsia" w:ascii="Times New Roman" w:hAnsi="Times New Roman" w:cs="Times New Roman"/>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479" w:type="dxa"/>
            <w:vMerge w:val="continue"/>
            <w:tcBorders>
              <w:left w:val="single" w:color="auto" w:sz="8"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lang w:bidi="ar"/>
              </w:rPr>
            </w:pPr>
          </w:p>
        </w:tc>
        <w:tc>
          <w:tcPr>
            <w:tcW w:w="16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软水制备</w:t>
            </w: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ascii="Times New Roman" w:hAnsi="Times New Roman" w:cs="Times New Roman" w:eastAsiaTheme="minorEastAsia"/>
                <w:kern w:val="2"/>
                <w:sz w:val="21"/>
                <w:szCs w:val="21"/>
                <w:lang w:val="en-US" w:eastAsia="zh-CN" w:bidi="ar-SA"/>
              </w:rPr>
            </w:pPr>
            <w:r>
              <w:rPr>
                <w:rFonts w:hint="eastAsia" w:ascii="Times New Roman" w:hAnsi="Times New Roman"/>
                <w:color w:val="auto"/>
                <w:sz w:val="21"/>
                <w:szCs w:val="21"/>
                <w:highlight w:val="none"/>
                <w:lang w:val="en-US" w:eastAsia="zh-CN"/>
              </w:rPr>
              <w:t>废反渗透膜</w:t>
            </w:r>
          </w:p>
        </w:tc>
        <w:tc>
          <w:tcPr>
            <w:tcW w:w="2220" w:type="dxa"/>
            <w:tcBorders>
              <w:left w:val="single" w:color="auto" w:sz="4" w:space="0"/>
              <w:right w:val="single" w:color="auto" w:sz="4" w:space="0"/>
            </w:tcBorders>
            <w:shd w:val="clear" w:color="auto" w:fill="auto"/>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由厂家回收</w:t>
            </w:r>
          </w:p>
        </w:tc>
        <w:tc>
          <w:tcPr>
            <w:tcW w:w="2195" w:type="dxa"/>
            <w:tcBorders>
              <w:left w:val="single" w:color="auto" w:sz="4" w:space="0"/>
              <w:right w:val="single" w:color="auto" w:sz="8" w:space="0"/>
            </w:tcBorders>
            <w:shd w:val="clear" w:color="auto" w:fill="auto"/>
            <w:vAlign w:val="center"/>
          </w:tcPr>
          <w:p>
            <w:pPr>
              <w:adjustRightInd w:val="0"/>
              <w:snapToGrid w:val="0"/>
              <w:spacing w:line="240" w:lineRule="atLeast"/>
              <w:jc w:val="center"/>
              <w:rPr>
                <w:rFonts w:hint="eastAsia" w:ascii="Times New Roman" w:hAnsi="Times New Roman" w:cs="Times New Roman"/>
                <w:szCs w:val="21"/>
              </w:rPr>
            </w:pPr>
            <w:r>
              <w:rPr>
                <w:rFonts w:hint="eastAsia" w:ascii="Times New Roman" w:hAnsi="Times New Roman" w:cs="Times New Roman"/>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479" w:type="dxa"/>
            <w:vMerge w:val="continue"/>
            <w:tcBorders>
              <w:left w:val="single" w:color="auto" w:sz="8"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lang w:bidi="ar"/>
              </w:rPr>
            </w:pPr>
          </w:p>
        </w:tc>
        <w:tc>
          <w:tcPr>
            <w:tcW w:w="1605" w:type="dxa"/>
            <w:vMerge w:val="restart"/>
            <w:tcBorders>
              <w:top w:val="single" w:color="auto" w:sz="4" w:space="0"/>
              <w:left w:val="single" w:color="auto" w:sz="4" w:space="0"/>
              <w:right w:val="single" w:color="auto" w:sz="4" w:space="0"/>
            </w:tcBorders>
            <w:shd w:val="clear" w:color="auto" w:fill="auto"/>
            <w:vAlign w:val="center"/>
          </w:tcPr>
          <w:p>
            <w:pPr>
              <w:snapToGrid w:val="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000000"/>
                <w:szCs w:val="21"/>
                <w:lang w:eastAsia="zh-CN"/>
              </w:rPr>
              <w:t>设备维修</w:t>
            </w: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000000"/>
                <w:szCs w:val="21"/>
              </w:rPr>
              <w:t>废润滑油</w:t>
            </w:r>
          </w:p>
        </w:tc>
        <w:tc>
          <w:tcPr>
            <w:tcW w:w="2220" w:type="dxa"/>
            <w:vMerge w:val="restart"/>
            <w:tcBorders>
              <w:left w:val="single" w:color="auto" w:sz="4" w:space="0"/>
              <w:right w:val="single" w:color="auto" w:sz="4" w:space="0"/>
            </w:tcBorders>
            <w:shd w:val="clear" w:color="auto" w:fill="auto"/>
            <w:vAlign w:val="center"/>
          </w:tcPr>
          <w:p>
            <w:pPr>
              <w:snapToGrid w:val="0"/>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集中收集至危废间内，定期交由有资质单位处置</w:t>
            </w:r>
          </w:p>
        </w:tc>
        <w:tc>
          <w:tcPr>
            <w:tcW w:w="2195" w:type="dxa"/>
            <w:vMerge w:val="restart"/>
            <w:tcBorders>
              <w:left w:val="single" w:color="auto" w:sz="4" w:space="0"/>
              <w:right w:val="single" w:color="auto" w:sz="8" w:space="0"/>
            </w:tcBorders>
            <w:shd w:val="clear" w:color="auto" w:fill="auto"/>
            <w:vAlign w:val="center"/>
          </w:tcPr>
          <w:p>
            <w:pPr>
              <w:adjustRightInd w:val="0"/>
              <w:snapToGrid w:val="0"/>
              <w:spacing w:line="240" w:lineRule="atLeast"/>
              <w:jc w:val="center"/>
              <w:rPr>
                <w:rFonts w:hint="eastAsia" w:ascii="Times New Roman" w:hAnsi="Times New Roman" w:cs="Times New Roman"/>
                <w:szCs w:val="21"/>
              </w:rPr>
            </w:pPr>
            <w:r>
              <w:rPr>
                <w:rFonts w:hint="eastAsia" w:ascii="Times New Roman" w:hAnsi="Times New Roman" w:cs="Times New Roman"/>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479" w:type="dxa"/>
            <w:vMerge w:val="continue"/>
            <w:tcBorders>
              <w:left w:val="single" w:color="auto" w:sz="8"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lang w:bidi="ar"/>
              </w:rPr>
            </w:pPr>
          </w:p>
        </w:tc>
        <w:tc>
          <w:tcPr>
            <w:tcW w:w="1605" w:type="dxa"/>
            <w:vMerge w:val="continue"/>
            <w:tcBorders>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cs="Times New Roman" w:eastAsiaTheme="minorEastAsia"/>
                <w:kern w:val="2"/>
                <w:sz w:val="21"/>
                <w:szCs w:val="21"/>
                <w:lang w:val="en-US" w:eastAsia="zh-CN" w:bidi="ar-SA"/>
              </w:rPr>
            </w:pP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cs="Times New Roman"/>
                <w:color w:val="000000"/>
                <w:szCs w:val="21"/>
              </w:rPr>
              <w:t>废油桶</w:t>
            </w:r>
          </w:p>
        </w:tc>
        <w:tc>
          <w:tcPr>
            <w:tcW w:w="2220" w:type="dxa"/>
            <w:vMerge w:val="continue"/>
            <w:tcBorders>
              <w:left w:val="single" w:color="auto" w:sz="4"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rPr>
            </w:pPr>
          </w:p>
        </w:tc>
        <w:tc>
          <w:tcPr>
            <w:tcW w:w="2195" w:type="dxa"/>
            <w:vMerge w:val="continue"/>
            <w:tcBorders>
              <w:left w:val="single" w:color="auto" w:sz="4" w:space="0"/>
              <w:right w:val="single" w:color="auto" w:sz="8" w:space="0"/>
            </w:tcBorders>
            <w:shd w:val="clear" w:color="auto" w:fill="auto"/>
            <w:vAlign w:val="center"/>
          </w:tcPr>
          <w:p>
            <w:pPr>
              <w:adjustRightInd w:val="0"/>
              <w:snapToGrid w:val="0"/>
              <w:spacing w:line="240" w:lineRule="atLeast"/>
              <w:jc w:val="center"/>
              <w:rPr>
                <w:rFonts w:hint="eastAsia" w:ascii="Times New Roman" w:hAnsi="Times New Roman" w:cs="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1479" w:type="dxa"/>
            <w:tcBorders>
              <w:left w:val="single" w:color="auto" w:sz="8"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lang w:bidi="ar"/>
              </w:rPr>
            </w:pPr>
            <w:r>
              <w:rPr>
                <w:rFonts w:hint="eastAsia" w:ascii="Times New Roman" w:hAnsi="Times New Roman" w:eastAsia="宋体" w:cs="Times New Roman"/>
                <w:szCs w:val="21"/>
                <w:lang w:bidi="ar"/>
              </w:rPr>
              <w:t>土壤及地下水</w:t>
            </w:r>
          </w:p>
          <w:p>
            <w:pPr>
              <w:adjustRightInd w:val="0"/>
              <w:snapToGrid w:val="0"/>
              <w:spacing w:line="240" w:lineRule="atLeast"/>
              <w:jc w:val="center"/>
              <w:rPr>
                <w:rFonts w:ascii="Times New Roman" w:hAnsi="Times New Roman" w:eastAsia="宋体" w:cs="Times New Roman"/>
                <w:szCs w:val="21"/>
                <w:lang w:bidi="ar"/>
              </w:rPr>
            </w:pPr>
            <w:r>
              <w:rPr>
                <w:rFonts w:hint="eastAsia" w:ascii="Times New Roman" w:hAnsi="Times New Roman" w:eastAsia="宋体" w:cs="Times New Roman"/>
                <w:szCs w:val="21"/>
                <w:lang w:bidi="ar"/>
              </w:rPr>
              <w:t>污染防治措施</w:t>
            </w:r>
          </w:p>
        </w:tc>
        <w:tc>
          <w:tcPr>
            <w:tcW w:w="7670" w:type="dxa"/>
            <w:gridSpan w:val="4"/>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spacing w:line="240" w:lineRule="atLeast"/>
              <w:jc w:val="center"/>
              <w:rPr>
                <w:rFonts w:ascii="Times New Roman" w:hAnsi="Times New Roman" w:cs="Times New Roman"/>
                <w:szCs w:val="21"/>
              </w:rPr>
            </w:pPr>
            <w:r>
              <w:rPr>
                <w:rFonts w:hint="eastAsia" w:ascii="Times New Roman" w:hAnsi="Times New Roman" w:cs="Times New Roman"/>
                <w:color w:val="auto"/>
                <w:sz w:val="21"/>
                <w:szCs w:val="21"/>
                <w:vertAlign w:val="baseline"/>
                <w:lang w:val="en-US" w:eastAsia="zh-CN"/>
              </w:rPr>
              <w:t>危险废物暂存间采取防渗，防渗系数≤1×10</w:t>
            </w:r>
            <w:r>
              <w:rPr>
                <w:rFonts w:hint="eastAsia" w:ascii="Times New Roman" w:hAnsi="Times New Roman" w:cs="Times New Roman"/>
                <w:color w:val="auto"/>
                <w:sz w:val="21"/>
                <w:szCs w:val="21"/>
                <w:vertAlign w:val="superscript"/>
                <w:lang w:val="en-US" w:eastAsia="zh-CN"/>
              </w:rPr>
              <w:t>-10</w:t>
            </w:r>
            <w:r>
              <w:rPr>
                <w:rFonts w:hint="eastAsia" w:ascii="Times New Roman" w:hAnsi="Times New Roman" w:cs="Times New Roman"/>
                <w:color w:val="auto"/>
                <w:sz w:val="21"/>
                <w:szCs w:val="21"/>
                <w:vertAlign w:val="baseline"/>
                <w:lang w:val="en-US" w:eastAsia="zh-CN"/>
              </w:rPr>
              <w:t>cm/s；脱硫系统内配套的沉淀池采取防渗，防渗系数≤1×10</w:t>
            </w:r>
            <w:r>
              <w:rPr>
                <w:rFonts w:hint="eastAsia" w:ascii="Times New Roman" w:hAnsi="Times New Roman" w:cs="Times New Roman"/>
                <w:color w:val="auto"/>
                <w:sz w:val="21"/>
                <w:szCs w:val="21"/>
                <w:vertAlign w:val="superscript"/>
                <w:lang w:val="en-US" w:eastAsia="zh-CN"/>
              </w:rPr>
              <w:t>-10</w:t>
            </w:r>
            <w:r>
              <w:rPr>
                <w:rFonts w:hint="eastAsia" w:ascii="Times New Roman" w:hAnsi="Times New Roman" w:cs="Times New Roman"/>
                <w:color w:val="auto"/>
                <w:sz w:val="21"/>
                <w:szCs w:val="21"/>
                <w:vertAlign w:val="baseline"/>
                <w:lang w:val="en-US" w:eastAsia="zh-CN"/>
              </w:rPr>
              <w:t>cm/s，垂直渗透对区域地下水质量和土壤环境质量影响较小；40t/h循环流化床燃煤锅炉废气经布袋除尘器+脱硫塔+PNCR高分子炉内脱硝后经1根45m高排气筒（DA001）排放，采取措施后颗粒物、二氧化硫、氮氧化物、汞及其化合物（以Hg计）自由沉降量较少，自由沉降对区域土壤环境质量影响较小，对区域土壤以及地下水环境质量不会造成明显的不利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479" w:type="dxa"/>
            <w:tcBorders>
              <w:left w:val="single" w:color="auto" w:sz="8"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lang w:bidi="ar"/>
              </w:rPr>
            </w:pPr>
            <w:r>
              <w:rPr>
                <w:rFonts w:hint="eastAsia" w:ascii="Times New Roman" w:hAnsi="Times New Roman" w:eastAsia="宋体" w:cs="Times New Roman"/>
                <w:szCs w:val="21"/>
                <w:lang w:bidi="ar"/>
              </w:rPr>
              <w:t>生态保护措施</w:t>
            </w:r>
          </w:p>
        </w:tc>
        <w:tc>
          <w:tcPr>
            <w:tcW w:w="7670" w:type="dxa"/>
            <w:gridSpan w:val="4"/>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spacing w:line="240" w:lineRule="atLeast"/>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1479" w:type="dxa"/>
            <w:tcBorders>
              <w:left w:val="single" w:color="auto" w:sz="8"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lang w:bidi="ar"/>
              </w:rPr>
            </w:pPr>
            <w:r>
              <w:rPr>
                <w:rFonts w:hint="eastAsia" w:ascii="Times New Roman" w:hAnsi="Times New Roman" w:eastAsia="宋体" w:cs="Times New Roman"/>
                <w:szCs w:val="21"/>
                <w:lang w:bidi="ar"/>
              </w:rPr>
              <w:t>环境风险防范措施</w:t>
            </w:r>
          </w:p>
        </w:tc>
        <w:tc>
          <w:tcPr>
            <w:tcW w:w="7670" w:type="dxa"/>
            <w:gridSpan w:val="4"/>
            <w:tcBorders>
              <w:top w:val="single" w:color="auto" w:sz="4" w:space="0"/>
              <w:left w:val="single" w:color="auto" w:sz="4" w:space="0"/>
              <w:bottom w:val="single" w:color="auto" w:sz="4" w:space="0"/>
              <w:right w:val="single" w:color="auto" w:sz="8" w:space="0"/>
            </w:tcBorders>
            <w:shd w:val="clear" w:color="auto" w:fill="auto"/>
            <w:vAlign w:val="center"/>
          </w:tcPr>
          <w:p>
            <w:pPr>
              <w:adjustRightInd w:val="0"/>
              <w:snapToGrid w:val="0"/>
              <w:spacing w:line="240" w:lineRule="atLeast"/>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color w:val="auto"/>
                <w:szCs w:val="21"/>
              </w:rPr>
              <w:t>加强危废管理，制定危险废物突发环境事件应急预案</w:t>
            </w:r>
            <w:r>
              <w:rPr>
                <w:rFonts w:hint="eastAsia" w:ascii="Times New Roman" w:hAnsi="Times New Roman" w:cs="Times New Roman"/>
                <w:color w:val="auto"/>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479" w:type="dxa"/>
            <w:tcBorders>
              <w:left w:val="single" w:color="auto" w:sz="8" w:space="0"/>
              <w:right w:val="single" w:color="auto" w:sz="4" w:space="0"/>
            </w:tcBorders>
            <w:shd w:val="clear" w:color="auto" w:fill="auto"/>
            <w:vAlign w:val="center"/>
          </w:tcPr>
          <w:p>
            <w:pPr>
              <w:adjustRightInd w:val="0"/>
              <w:snapToGrid w:val="0"/>
              <w:spacing w:line="240" w:lineRule="atLeast"/>
              <w:jc w:val="center"/>
              <w:rPr>
                <w:rFonts w:ascii="Times New Roman" w:hAnsi="Times New Roman" w:eastAsia="宋体" w:cs="Times New Roman"/>
                <w:szCs w:val="21"/>
                <w:lang w:bidi="ar"/>
              </w:rPr>
            </w:pPr>
            <w:r>
              <w:rPr>
                <w:rFonts w:hint="eastAsia" w:ascii="Times New Roman" w:hAnsi="Times New Roman" w:eastAsia="宋体" w:cs="Times New Roman"/>
                <w:szCs w:val="21"/>
                <w:lang w:bidi="ar"/>
              </w:rPr>
              <w:t>其他环境管理要求</w:t>
            </w:r>
          </w:p>
        </w:tc>
        <w:tc>
          <w:tcPr>
            <w:tcW w:w="7670" w:type="dxa"/>
            <w:gridSpan w:val="4"/>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 xml:space="preserve">1、污染防治设施须与主体工程实现“三同时”，试运行后，建设单位应对项目配套建设的环境保护设施进行自主竣工验收。 </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2、根据《固定污染源排污许可分类管理名录》（2019 年版）规定，本项目属于排污许可</w:t>
            </w:r>
            <w:r>
              <w:rPr>
                <w:rFonts w:hint="eastAsia" w:cs="Times New Roman"/>
                <w:color w:val="auto"/>
                <w:kern w:val="0"/>
                <w:sz w:val="21"/>
                <w:szCs w:val="21"/>
                <w:lang w:val="en-US" w:eastAsia="zh-CN" w:bidi="ar"/>
              </w:rPr>
              <w:t>重点管理</w:t>
            </w:r>
            <w:r>
              <w:rPr>
                <w:rFonts w:hint="default" w:ascii="Times New Roman" w:hAnsi="Times New Roman" w:eastAsia="宋体" w:cs="Times New Roman"/>
                <w:color w:val="auto"/>
                <w:kern w:val="0"/>
                <w:sz w:val="21"/>
                <w:szCs w:val="21"/>
                <w:lang w:val="en-US" w:eastAsia="zh-CN" w:bidi="ar"/>
              </w:rPr>
              <w:t>，在竣工验收前应取得排污许可证。</w:t>
            </w:r>
          </w:p>
          <w:p>
            <w:pPr>
              <w:adjustRightInd w:val="0"/>
              <w:snapToGrid w:val="0"/>
              <w:spacing w:line="240" w:lineRule="atLeast"/>
              <w:jc w:val="both"/>
              <w:rPr>
                <w:rFonts w:hint="eastAsia" w:ascii="Times New Roman" w:hAnsi="Times New Roman" w:cs="Times New Roman" w:eastAsiaTheme="minorEastAsia"/>
                <w:szCs w:val="21"/>
                <w:lang w:val="en-US" w:eastAsia="zh-CN"/>
              </w:rPr>
            </w:pPr>
            <w:r>
              <w:rPr>
                <w:rFonts w:hint="default" w:ascii="Times New Roman" w:hAnsi="Times New Roman" w:eastAsia="宋体" w:cs="Times New Roman"/>
                <w:color w:val="auto"/>
                <w:kern w:val="0"/>
                <w:sz w:val="21"/>
                <w:szCs w:val="21"/>
                <w:lang w:val="en-US" w:eastAsia="zh-CN" w:bidi="ar"/>
              </w:rPr>
              <w:t>3、排污口标志牌应按照《危险废物识别标志设置技术规范》（HJ1276-2022）、《环境保护图形标志-固体废物贮存（处置）场》（GB15562.2-1995）等规范化设置，根据《固定污染源废气低浓度排放监测技术规范》（DB37-T-2706-2015）规范采样平台、采样口和爬梯。</w:t>
            </w:r>
          </w:p>
        </w:tc>
      </w:tr>
    </w:tbl>
    <w:p>
      <w:pPr>
        <w:pStyle w:val="19"/>
        <w:spacing w:beforeAutospacing="0" w:afterAutospacing="0" w:line="360" w:lineRule="auto"/>
        <w:jc w:val="center"/>
        <w:outlineLvl w:val="0"/>
        <w:rPr>
          <w:rFonts w:hint="default" w:ascii="黑体" w:eastAsia="黑体" w:cs="黑体"/>
          <w:sz w:val="30"/>
          <w:szCs w:val="30"/>
        </w:rPr>
      </w:pPr>
      <w:r>
        <w:rPr>
          <w:snapToGrid w:val="0"/>
          <w:lang w:bidi="ar"/>
        </w:rPr>
        <w:br w:type="page"/>
      </w:r>
      <w:r>
        <w:rPr>
          <w:rFonts w:ascii="黑体" w:eastAsia="黑体" w:cs="黑体"/>
          <w:snapToGrid w:val="0"/>
          <w:sz w:val="30"/>
          <w:szCs w:val="30"/>
        </w:rPr>
        <w:t>六、结论</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65" w:type="dxa"/>
            <w:tcBorders>
              <w:top w:val="single" w:color="auto" w:sz="8" w:space="0"/>
              <w:left w:val="single" w:color="auto" w:sz="8" w:space="0"/>
              <w:bottom w:val="single" w:color="auto" w:sz="8" w:space="0"/>
              <w:right w:val="single" w:color="auto" w:sz="8" w:space="0"/>
            </w:tcBorders>
            <w:shd w:val="clear" w:color="auto" w:fill="auto"/>
            <w:vAlign w:val="center"/>
          </w:tcPr>
          <w:p>
            <w:pPr>
              <w:snapToGrid w:val="0"/>
              <w:spacing w:before="156" w:beforeLines="50" w:line="360" w:lineRule="auto"/>
              <w:rPr>
                <w:rFonts w:ascii="Times New Roman" w:hAnsi="Times New Roman" w:cs="Times New Roman"/>
                <w:b/>
                <w:bCs/>
                <w:sz w:val="24"/>
              </w:rPr>
            </w:pPr>
            <w:r>
              <w:rPr>
                <w:rFonts w:ascii="Times New Roman" w:hAnsi="Times New Roman" w:cs="Times New Roman"/>
                <w:b/>
                <w:bCs/>
                <w:sz w:val="24"/>
              </w:rPr>
              <w:t>结论：</w:t>
            </w:r>
          </w:p>
          <w:p>
            <w:pPr>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从环境保护的角度，</w:t>
            </w:r>
            <w:r>
              <w:rPr>
                <w:rFonts w:hint="eastAsia" w:ascii="Times New Roman" w:hAnsi="Times New Roman" w:cs="Times New Roman"/>
                <w:sz w:val="24"/>
              </w:rPr>
              <w:t>建设项目环境影响可行</w:t>
            </w:r>
            <w:r>
              <w:rPr>
                <w:rFonts w:ascii="Times New Roman" w:hAnsi="Times New Roman" w:cs="Times New Roman"/>
                <w:sz w:val="24"/>
              </w:rPr>
              <w:t>。</w:t>
            </w:r>
          </w:p>
          <w:p>
            <w:pPr>
              <w:snapToGrid w:val="0"/>
              <w:spacing w:line="360" w:lineRule="auto"/>
              <w:rPr>
                <w:rFonts w:ascii="Times New Roman" w:hAnsi="Times New Roman" w:cs="Times New Roman"/>
                <w:sz w:val="24"/>
              </w:rPr>
            </w:pPr>
          </w:p>
          <w:p>
            <w:pPr>
              <w:snapToGrid w:val="0"/>
              <w:spacing w:line="360" w:lineRule="auto"/>
              <w:rPr>
                <w:rFonts w:ascii="Times New Roman" w:hAnsi="Times New Roman" w:cs="Times New Roman"/>
                <w:sz w:val="24"/>
              </w:rPr>
            </w:pPr>
          </w:p>
          <w:p>
            <w:pPr>
              <w:snapToGrid w:val="0"/>
              <w:spacing w:line="360" w:lineRule="auto"/>
              <w:rPr>
                <w:rFonts w:ascii="Times New Roman" w:hAnsi="Times New Roman" w:cs="Times New Roman"/>
                <w:sz w:val="24"/>
              </w:rPr>
            </w:pPr>
          </w:p>
          <w:p>
            <w:pPr>
              <w:snapToGrid w:val="0"/>
              <w:spacing w:line="360" w:lineRule="auto"/>
              <w:rPr>
                <w:rFonts w:ascii="Times New Roman" w:hAnsi="Times New Roman" w:cs="Times New Roman"/>
                <w:sz w:val="24"/>
              </w:rPr>
            </w:pPr>
          </w:p>
          <w:p>
            <w:pPr>
              <w:snapToGrid w:val="0"/>
              <w:spacing w:line="360" w:lineRule="auto"/>
              <w:rPr>
                <w:rFonts w:ascii="Times New Roman" w:hAnsi="Times New Roman" w:cs="Times New Roman"/>
                <w:sz w:val="24"/>
              </w:rPr>
            </w:pPr>
          </w:p>
          <w:p>
            <w:pPr>
              <w:snapToGrid w:val="0"/>
              <w:spacing w:line="360" w:lineRule="auto"/>
              <w:rPr>
                <w:rFonts w:ascii="Times New Roman" w:hAnsi="Times New Roman" w:cs="Times New Roman"/>
                <w:sz w:val="24"/>
              </w:rPr>
            </w:pPr>
          </w:p>
          <w:p>
            <w:pPr>
              <w:snapToGrid w:val="0"/>
              <w:spacing w:line="360" w:lineRule="auto"/>
              <w:rPr>
                <w:rFonts w:ascii="Times New Roman" w:hAnsi="Times New Roman" w:cs="Times New Roman"/>
                <w:sz w:val="24"/>
              </w:rPr>
            </w:pPr>
          </w:p>
          <w:p>
            <w:pPr>
              <w:snapToGrid w:val="0"/>
              <w:spacing w:line="360" w:lineRule="auto"/>
              <w:rPr>
                <w:rFonts w:ascii="Times New Roman" w:hAnsi="Times New Roman" w:cs="Times New Roman"/>
                <w:sz w:val="24"/>
              </w:rPr>
            </w:pPr>
          </w:p>
          <w:p>
            <w:pPr>
              <w:snapToGrid w:val="0"/>
              <w:spacing w:line="360" w:lineRule="auto"/>
              <w:rPr>
                <w:rFonts w:ascii="Times New Roman" w:hAnsi="Times New Roman" w:cs="Times New Roman"/>
                <w:sz w:val="24"/>
              </w:rPr>
            </w:pPr>
          </w:p>
          <w:p>
            <w:pPr>
              <w:snapToGrid w:val="0"/>
              <w:spacing w:line="360" w:lineRule="auto"/>
              <w:rPr>
                <w:rFonts w:ascii="Times New Roman" w:hAnsi="Times New Roman" w:cs="Times New Roman"/>
                <w:sz w:val="24"/>
              </w:rPr>
            </w:pPr>
          </w:p>
          <w:p>
            <w:pPr>
              <w:snapToGrid w:val="0"/>
              <w:spacing w:line="360" w:lineRule="auto"/>
              <w:rPr>
                <w:rFonts w:ascii="Times New Roman" w:hAnsi="Times New Roman" w:cs="Times New Roman"/>
                <w:sz w:val="24"/>
              </w:rPr>
            </w:pPr>
          </w:p>
          <w:p>
            <w:pPr>
              <w:snapToGrid w:val="0"/>
              <w:spacing w:line="360" w:lineRule="auto"/>
              <w:rPr>
                <w:rFonts w:ascii="Times New Roman" w:hAnsi="Times New Roman" w:cs="Times New Roman"/>
                <w:sz w:val="24"/>
              </w:rPr>
            </w:pPr>
          </w:p>
          <w:p>
            <w:pPr>
              <w:snapToGrid w:val="0"/>
              <w:spacing w:line="360" w:lineRule="auto"/>
              <w:rPr>
                <w:rFonts w:ascii="Times New Roman" w:hAnsi="Times New Roman" w:cs="Times New Roman"/>
                <w:sz w:val="24"/>
              </w:rPr>
            </w:pPr>
          </w:p>
          <w:p>
            <w:pPr>
              <w:snapToGrid w:val="0"/>
              <w:spacing w:line="360" w:lineRule="auto"/>
              <w:rPr>
                <w:rFonts w:ascii="Times New Roman" w:hAnsi="Times New Roman" w:cs="Times New Roman"/>
                <w:sz w:val="24"/>
              </w:rPr>
            </w:pPr>
          </w:p>
          <w:p>
            <w:pPr>
              <w:snapToGrid w:val="0"/>
              <w:spacing w:line="360" w:lineRule="auto"/>
              <w:rPr>
                <w:rFonts w:ascii="Times New Roman" w:hAnsi="Times New Roman" w:cs="Times New Roman"/>
                <w:sz w:val="24"/>
              </w:rPr>
            </w:pPr>
          </w:p>
          <w:p>
            <w:pPr>
              <w:snapToGrid w:val="0"/>
              <w:spacing w:line="360" w:lineRule="auto"/>
              <w:rPr>
                <w:rFonts w:ascii="Times New Roman" w:hAnsi="Times New Roman" w:cs="Times New Roman"/>
                <w:sz w:val="24"/>
              </w:rPr>
            </w:pPr>
          </w:p>
          <w:p>
            <w:pPr>
              <w:snapToGrid w:val="0"/>
              <w:spacing w:line="360" w:lineRule="auto"/>
              <w:rPr>
                <w:rFonts w:ascii="Times New Roman" w:hAnsi="Times New Roman" w:cs="Times New Roman"/>
                <w:sz w:val="24"/>
              </w:rPr>
            </w:pPr>
          </w:p>
          <w:p>
            <w:pPr>
              <w:snapToGrid w:val="0"/>
              <w:spacing w:line="360" w:lineRule="auto"/>
              <w:rPr>
                <w:rFonts w:ascii="Times New Roman" w:hAnsi="Times New Roman" w:cs="Times New Roman"/>
                <w:sz w:val="24"/>
              </w:rPr>
            </w:pPr>
          </w:p>
          <w:p>
            <w:pPr>
              <w:snapToGrid w:val="0"/>
              <w:spacing w:line="360" w:lineRule="auto"/>
              <w:rPr>
                <w:rFonts w:ascii="Times New Roman" w:hAnsi="Times New Roman" w:cs="Times New Roman"/>
                <w:sz w:val="24"/>
              </w:rPr>
            </w:pPr>
          </w:p>
          <w:p>
            <w:pPr>
              <w:snapToGrid w:val="0"/>
              <w:spacing w:line="360" w:lineRule="auto"/>
              <w:rPr>
                <w:rFonts w:ascii="Times New Roman" w:hAnsi="Times New Roman" w:cs="Times New Roman"/>
                <w:sz w:val="24"/>
              </w:rPr>
            </w:pPr>
          </w:p>
          <w:p>
            <w:pPr>
              <w:snapToGrid w:val="0"/>
              <w:spacing w:line="360" w:lineRule="auto"/>
              <w:rPr>
                <w:rFonts w:ascii="Times New Roman" w:hAnsi="Times New Roman" w:cs="Times New Roman"/>
                <w:sz w:val="24"/>
              </w:rPr>
            </w:pPr>
          </w:p>
          <w:p>
            <w:pPr>
              <w:snapToGrid w:val="0"/>
              <w:spacing w:line="360" w:lineRule="auto"/>
              <w:rPr>
                <w:rFonts w:ascii="Times New Roman" w:hAnsi="Times New Roman" w:cs="Times New Roman"/>
                <w:sz w:val="24"/>
              </w:rPr>
            </w:pPr>
          </w:p>
          <w:p>
            <w:pPr>
              <w:snapToGrid w:val="0"/>
              <w:spacing w:line="360" w:lineRule="auto"/>
              <w:rPr>
                <w:rFonts w:ascii="Times New Roman" w:hAnsi="Times New Roman" w:cs="Times New Roman"/>
                <w:sz w:val="24"/>
              </w:rPr>
            </w:pPr>
          </w:p>
          <w:p>
            <w:pPr>
              <w:snapToGrid w:val="0"/>
              <w:spacing w:line="360" w:lineRule="auto"/>
              <w:rPr>
                <w:rFonts w:ascii="Times New Roman" w:hAnsi="Times New Roman" w:cs="Times New Roman"/>
                <w:sz w:val="24"/>
              </w:rPr>
            </w:pPr>
          </w:p>
          <w:p>
            <w:pPr>
              <w:snapToGrid w:val="0"/>
              <w:spacing w:line="360" w:lineRule="auto"/>
              <w:rPr>
                <w:rFonts w:ascii="Times New Roman" w:hAnsi="Times New Roman" w:cs="Times New Roman"/>
                <w:sz w:val="24"/>
              </w:rPr>
            </w:pPr>
          </w:p>
          <w:p>
            <w:pPr>
              <w:snapToGrid w:val="0"/>
              <w:spacing w:line="360" w:lineRule="auto"/>
              <w:rPr>
                <w:rFonts w:ascii="Times New Roman" w:hAnsi="Times New Roman" w:cs="Times New Roman"/>
                <w:sz w:val="24"/>
              </w:rPr>
            </w:pPr>
          </w:p>
          <w:p>
            <w:pPr>
              <w:snapToGrid w:val="0"/>
              <w:spacing w:line="360" w:lineRule="auto"/>
              <w:rPr>
                <w:rFonts w:ascii="Times New Roman" w:hAnsi="Times New Roman" w:cs="Times New Roman"/>
                <w:sz w:val="24"/>
              </w:rPr>
            </w:pPr>
          </w:p>
          <w:p>
            <w:pPr>
              <w:spacing w:line="360" w:lineRule="auto"/>
              <w:rPr>
                <w:rFonts w:ascii="Times New Roman" w:hAnsi="Times New Roman" w:eastAsia="宋体" w:cs="Times New Roman"/>
                <w:sz w:val="24"/>
              </w:rPr>
            </w:pPr>
          </w:p>
        </w:tc>
      </w:tr>
    </w:tbl>
    <w:p>
      <w:pPr>
        <w:rPr>
          <w:rFonts w:ascii="宋体" w:hAnsi="Times New Roman" w:eastAsia="宋体" w:cs="Times New Roman"/>
          <w:lang w:bidi="ar"/>
        </w:rPr>
        <w:sectPr>
          <w:pgSz w:w="11906" w:h="16838"/>
          <w:pgMar w:top="1702" w:right="1531" w:bottom="1702" w:left="1531" w:header="851" w:footer="851" w:gutter="0"/>
          <w:cols w:space="425" w:num="1"/>
          <w:docGrid w:type="lines" w:linePitch="312" w:charSpace="0"/>
        </w:sectPr>
      </w:pPr>
    </w:p>
    <w:p>
      <w:pPr>
        <w:rPr>
          <w:rFonts w:ascii="黑体" w:hAnsi="黑体" w:eastAsia="黑体" w:cs="黑体"/>
          <w:sz w:val="32"/>
          <w:szCs w:val="40"/>
        </w:rPr>
      </w:pPr>
      <w:r>
        <w:rPr>
          <w:rFonts w:hint="eastAsia" w:ascii="黑体" w:hAnsi="黑体" w:eastAsia="黑体" w:cs="黑体"/>
          <w:sz w:val="32"/>
          <w:szCs w:val="40"/>
        </w:rPr>
        <w:t>附表</w:t>
      </w:r>
    </w:p>
    <w:p>
      <w:pPr>
        <w:pStyle w:val="19"/>
        <w:adjustRightInd w:val="0"/>
        <w:snapToGrid w:val="0"/>
        <w:spacing w:beforeAutospacing="0" w:afterAutospacing="0"/>
        <w:jc w:val="center"/>
        <w:outlineLvl w:val="0"/>
        <w:rPr>
          <w:rFonts w:hint="default" w:ascii="方正小标宋_GBK" w:eastAsia="方正小标宋_GBK" w:cs="方正小标宋_GBK"/>
          <w:sz w:val="38"/>
          <w:szCs w:val="38"/>
        </w:rPr>
      </w:pPr>
      <w:r>
        <w:rPr>
          <w:rFonts w:ascii="方正小标宋_GBK" w:eastAsia="方正小标宋_GBK" w:cs="方正小标宋_GBK"/>
          <w:snapToGrid w:val="0"/>
          <w:sz w:val="38"/>
          <w:szCs w:val="38"/>
        </w:rPr>
        <w:t>建设项目污染物排放量汇总表</w:t>
      </w:r>
    </w:p>
    <w:tbl>
      <w:tblPr>
        <w:tblStyle w:val="24"/>
        <w:tblW w:w="1379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2"/>
        <w:gridCol w:w="1276"/>
        <w:gridCol w:w="1702"/>
        <w:gridCol w:w="1559"/>
        <w:gridCol w:w="1382"/>
        <w:gridCol w:w="1689"/>
        <w:gridCol w:w="147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op w:val="single" w:color="auto" w:sz="8" w:space="0"/>
              <w:left w:val="single" w:color="auto" w:sz="8" w:space="0"/>
              <w:bottom w:val="single" w:color="auto" w:sz="4" w:space="0"/>
              <w:right w:val="single" w:color="auto" w:sz="4" w:space="0"/>
              <w:tl2br w:val="single" w:color="auto" w:sz="4" w:space="0"/>
            </w:tcBorders>
            <w:shd w:val="clear" w:color="auto" w:fill="auto"/>
            <w:tcMar>
              <w:left w:w="28" w:type="dxa"/>
              <w:right w:w="28" w:type="dxa"/>
            </w:tcMar>
            <w:vAlign w:val="center"/>
          </w:tcPr>
          <w:p>
            <w:pPr>
              <w:pStyle w:val="43"/>
              <w:widowControl/>
              <w:spacing w:before="31" w:after="31" w:line="240" w:lineRule="auto"/>
              <w:jc w:val="right"/>
              <w:rPr>
                <w:rFonts w:hint="default" w:ascii="Times New Roman" w:eastAsia="黑体"/>
                <w:color w:val="000000"/>
                <w:spacing w:val="-6"/>
                <w:kern w:val="21"/>
                <w:szCs w:val="21"/>
              </w:rPr>
            </w:pPr>
            <w:r>
              <w:rPr>
                <w:rFonts w:hint="default" w:ascii="Times New Roman" w:eastAsia="黑体"/>
                <w:snapToGrid w:val="0"/>
                <w:color w:val="000000"/>
                <w:spacing w:val="-6"/>
                <w:kern w:val="21"/>
                <w:szCs w:val="21"/>
              </w:rPr>
              <w:t>项目</w:t>
            </w:r>
          </w:p>
          <w:p>
            <w:pPr>
              <w:pStyle w:val="43"/>
              <w:widowControl/>
              <w:spacing w:before="31" w:after="31" w:line="240" w:lineRule="auto"/>
              <w:jc w:val="left"/>
              <w:rPr>
                <w:rFonts w:hint="default" w:ascii="Times New Roman" w:eastAsia="黑体"/>
                <w:color w:val="000000"/>
                <w:spacing w:val="-6"/>
                <w:kern w:val="21"/>
                <w:szCs w:val="21"/>
              </w:rPr>
            </w:pPr>
            <w:r>
              <w:rPr>
                <w:rFonts w:hint="default" w:ascii="Times New Roman" w:eastAsia="黑体"/>
                <w:snapToGrid w:val="0"/>
                <w:color w:val="000000"/>
                <w:spacing w:val="-6"/>
                <w:kern w:val="21"/>
                <w:szCs w:val="21"/>
              </w:rPr>
              <w:t>分类</w:t>
            </w:r>
          </w:p>
        </w:tc>
        <w:tc>
          <w:tcPr>
            <w:tcW w:w="1417"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43"/>
              <w:widowControl/>
              <w:spacing w:before="31" w:after="31" w:line="240" w:lineRule="auto"/>
              <w:rPr>
                <w:rFonts w:hint="default" w:ascii="Times New Roman" w:eastAsia="黑体"/>
                <w:color w:val="000000"/>
                <w:spacing w:val="-6"/>
                <w:kern w:val="21"/>
                <w:szCs w:val="21"/>
              </w:rPr>
            </w:pPr>
            <w:r>
              <w:rPr>
                <w:rFonts w:hint="default" w:ascii="Times New Roman" w:eastAsia="黑体"/>
                <w:snapToGrid w:val="0"/>
                <w:color w:val="000000"/>
                <w:spacing w:val="-6"/>
                <w:kern w:val="21"/>
                <w:szCs w:val="21"/>
              </w:rPr>
              <w:t>污染物名称</w:t>
            </w:r>
          </w:p>
        </w:tc>
        <w:tc>
          <w:tcPr>
            <w:tcW w:w="1702"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43"/>
              <w:widowControl/>
              <w:spacing w:before="31" w:after="31" w:line="240" w:lineRule="auto"/>
              <w:rPr>
                <w:rFonts w:hint="default" w:ascii="Times New Roman" w:eastAsia="黑体"/>
                <w:color w:val="000000"/>
                <w:spacing w:val="-6"/>
                <w:kern w:val="21"/>
                <w:szCs w:val="21"/>
              </w:rPr>
            </w:pPr>
            <w:r>
              <w:rPr>
                <w:rFonts w:hint="default" w:ascii="Times New Roman" w:eastAsia="黑体"/>
                <w:snapToGrid w:val="0"/>
                <w:color w:val="000000"/>
                <w:spacing w:val="-6"/>
                <w:kern w:val="21"/>
                <w:szCs w:val="21"/>
              </w:rPr>
              <w:t>现有工程</w:t>
            </w:r>
          </w:p>
          <w:p>
            <w:pPr>
              <w:pStyle w:val="43"/>
              <w:widowControl/>
              <w:spacing w:before="31" w:after="31" w:line="240" w:lineRule="auto"/>
              <w:rPr>
                <w:rFonts w:hint="default" w:ascii="Times New Roman" w:eastAsia="黑体"/>
                <w:snapToGrid w:val="0"/>
                <w:color w:val="000000"/>
                <w:spacing w:val="-6"/>
                <w:kern w:val="21"/>
                <w:szCs w:val="21"/>
              </w:rPr>
            </w:pPr>
            <w:r>
              <w:rPr>
                <w:rFonts w:hint="default" w:ascii="Times New Roman" w:eastAsia="黑体"/>
                <w:snapToGrid w:val="0"/>
                <w:color w:val="000000"/>
                <w:spacing w:val="-6"/>
                <w:kern w:val="21"/>
                <w:szCs w:val="21"/>
              </w:rPr>
              <w:t>排放量（固体废物产生量）</w:t>
            </w:r>
            <w:r>
              <w:rPr>
                <w:rFonts w:hint="default" w:ascii="Times New Roman" w:eastAsia="黑体"/>
                <w:color w:val="000000"/>
                <w:spacing w:val="-6"/>
                <w:kern w:val="21"/>
                <w:szCs w:val="21"/>
              </w:rPr>
              <w:fldChar w:fldCharType="begin"/>
            </w:r>
            <w:r>
              <w:rPr>
                <w:rFonts w:hint="default" w:ascii="Times New Roman" w:eastAsia="黑体"/>
                <w:snapToGrid w:val="0"/>
                <w:color w:val="000000"/>
                <w:spacing w:val="-6"/>
                <w:kern w:val="21"/>
                <w:szCs w:val="21"/>
              </w:rPr>
              <w:instrText xml:space="preserve"> = 1 \* GB3 \* MERGEFORMAT </w:instrText>
            </w:r>
            <w:r>
              <w:rPr>
                <w:rFonts w:hint="default" w:ascii="Times New Roman" w:eastAsia="黑体"/>
                <w:color w:val="000000"/>
                <w:spacing w:val="-6"/>
                <w:kern w:val="21"/>
                <w:szCs w:val="21"/>
              </w:rPr>
              <w:fldChar w:fldCharType="separate"/>
            </w:r>
            <w:r>
              <w:rPr>
                <w:rFonts w:hint="default" w:ascii="Times New Roman" w:eastAsia="黑体"/>
                <w:kern w:val="2"/>
                <w:szCs w:val="21"/>
              </w:rPr>
              <w:t>①</w:t>
            </w:r>
            <w:r>
              <w:rPr>
                <w:rFonts w:hint="default" w:ascii="Times New Roman" w:eastAsia="黑体"/>
                <w:color w:val="000000"/>
                <w:spacing w:val="-6"/>
                <w:kern w:val="21"/>
                <w:szCs w:val="21"/>
              </w:rPr>
              <w:fldChar w:fldCharType="end"/>
            </w:r>
          </w:p>
        </w:tc>
        <w:tc>
          <w:tcPr>
            <w:tcW w:w="1276"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43"/>
              <w:widowControl/>
              <w:spacing w:before="31" w:after="31" w:line="240" w:lineRule="auto"/>
              <w:rPr>
                <w:rFonts w:hint="default" w:ascii="Times New Roman" w:eastAsia="黑体"/>
                <w:color w:val="000000"/>
                <w:spacing w:val="-6"/>
                <w:kern w:val="21"/>
                <w:szCs w:val="21"/>
              </w:rPr>
            </w:pPr>
            <w:r>
              <w:rPr>
                <w:rFonts w:hint="default" w:ascii="Times New Roman" w:eastAsia="黑体"/>
                <w:snapToGrid w:val="0"/>
                <w:color w:val="000000"/>
                <w:spacing w:val="-6"/>
                <w:kern w:val="21"/>
                <w:szCs w:val="21"/>
              </w:rPr>
              <w:t>现有工程</w:t>
            </w:r>
          </w:p>
          <w:p>
            <w:pPr>
              <w:pStyle w:val="43"/>
              <w:widowControl/>
              <w:spacing w:before="31" w:after="31" w:line="240" w:lineRule="auto"/>
              <w:rPr>
                <w:rFonts w:hint="default" w:ascii="Times New Roman" w:eastAsia="黑体"/>
                <w:color w:val="000000"/>
                <w:spacing w:val="-6"/>
                <w:kern w:val="21"/>
                <w:szCs w:val="21"/>
              </w:rPr>
            </w:pPr>
            <w:r>
              <w:rPr>
                <w:rFonts w:hint="default" w:ascii="Times New Roman" w:eastAsia="黑体"/>
                <w:snapToGrid w:val="0"/>
                <w:color w:val="000000"/>
                <w:spacing w:val="-6"/>
                <w:kern w:val="21"/>
                <w:szCs w:val="21"/>
              </w:rPr>
              <w:t>许可排放量</w:t>
            </w:r>
          </w:p>
          <w:p>
            <w:pPr>
              <w:pStyle w:val="43"/>
              <w:widowControl/>
              <w:spacing w:before="31" w:after="31"/>
              <w:rPr>
                <w:rFonts w:hint="default" w:ascii="Times New Roman" w:eastAsia="黑体"/>
                <w:snapToGrid w:val="0"/>
                <w:color w:val="000000"/>
                <w:spacing w:val="-6"/>
                <w:kern w:val="21"/>
                <w:szCs w:val="21"/>
              </w:rPr>
            </w:pPr>
            <w:r>
              <w:rPr>
                <w:rFonts w:hint="default" w:ascii="Times New Roman" w:eastAsia="黑体"/>
                <w:color w:val="000000"/>
                <w:spacing w:val="-6"/>
                <w:kern w:val="21"/>
                <w:szCs w:val="21"/>
              </w:rPr>
              <w:fldChar w:fldCharType="begin"/>
            </w:r>
            <w:r>
              <w:rPr>
                <w:rFonts w:hint="default" w:ascii="Times New Roman" w:eastAsia="黑体"/>
                <w:color w:val="000000"/>
                <w:spacing w:val="-6"/>
                <w:kern w:val="21"/>
                <w:szCs w:val="21"/>
              </w:rPr>
              <w:instrText xml:space="preserve"> </w:instrText>
            </w:r>
            <w:r>
              <w:rPr>
                <w:rFonts w:hint="default" w:ascii="Times New Roman" w:eastAsia="黑体"/>
                <w:snapToGrid w:val="0"/>
                <w:color w:val="000000"/>
                <w:spacing w:val="-6"/>
                <w:kern w:val="21"/>
                <w:szCs w:val="21"/>
              </w:rPr>
              <w:instrText xml:space="preserve">= 2 \* GB3 \* MERGEFORMAT </w:instrText>
            </w:r>
            <w:r>
              <w:rPr>
                <w:rFonts w:hint="default" w:ascii="Times New Roman" w:eastAsia="黑体"/>
                <w:color w:val="000000"/>
                <w:spacing w:val="-6"/>
                <w:kern w:val="21"/>
                <w:szCs w:val="21"/>
              </w:rPr>
              <w:fldChar w:fldCharType="separate"/>
            </w:r>
            <w:r>
              <w:rPr>
                <w:rFonts w:hint="default" w:ascii="Times New Roman" w:eastAsia="黑体"/>
                <w:snapToGrid w:val="0"/>
                <w:color w:val="000000"/>
                <w:spacing w:val="-6"/>
                <w:kern w:val="21"/>
                <w:szCs w:val="21"/>
              </w:rPr>
              <w:t>②</w:t>
            </w:r>
            <w:r>
              <w:rPr>
                <w:rFonts w:hint="default" w:ascii="Times New Roman" w:eastAsia="黑体"/>
                <w:color w:val="000000"/>
                <w:spacing w:val="-6"/>
                <w:kern w:val="21"/>
                <w:szCs w:val="21"/>
              </w:rPr>
              <w:fldChar w:fldCharType="end"/>
            </w:r>
          </w:p>
        </w:tc>
        <w:tc>
          <w:tcPr>
            <w:tcW w:w="1702"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43"/>
              <w:widowControl/>
              <w:spacing w:before="31" w:after="31" w:line="240" w:lineRule="auto"/>
              <w:rPr>
                <w:rFonts w:hint="default" w:ascii="Times New Roman" w:eastAsia="黑体"/>
                <w:color w:val="000000"/>
                <w:spacing w:val="-6"/>
                <w:kern w:val="21"/>
                <w:szCs w:val="21"/>
              </w:rPr>
            </w:pPr>
            <w:r>
              <w:rPr>
                <w:rFonts w:hint="default" w:ascii="Times New Roman" w:eastAsia="黑体"/>
                <w:snapToGrid w:val="0"/>
                <w:color w:val="000000"/>
                <w:spacing w:val="-6"/>
                <w:kern w:val="21"/>
                <w:szCs w:val="21"/>
              </w:rPr>
              <w:t>在建工程</w:t>
            </w:r>
          </w:p>
          <w:p>
            <w:pPr>
              <w:pStyle w:val="43"/>
              <w:widowControl/>
              <w:spacing w:before="31" w:after="31" w:line="240" w:lineRule="auto"/>
              <w:rPr>
                <w:rFonts w:hint="default" w:ascii="Times New Roman" w:eastAsia="黑体"/>
                <w:snapToGrid w:val="0"/>
                <w:color w:val="000000"/>
                <w:spacing w:val="-6"/>
                <w:kern w:val="21"/>
                <w:szCs w:val="21"/>
              </w:rPr>
            </w:pPr>
            <w:r>
              <w:rPr>
                <w:rFonts w:hint="default" w:ascii="Times New Roman" w:eastAsia="黑体"/>
                <w:snapToGrid w:val="0"/>
                <w:color w:val="000000"/>
                <w:spacing w:val="-6"/>
                <w:kern w:val="21"/>
                <w:szCs w:val="21"/>
              </w:rPr>
              <w:t>排放量（固体废物产生量）</w:t>
            </w:r>
            <w:r>
              <w:rPr>
                <w:rFonts w:hint="default" w:ascii="Times New Roman" w:eastAsia="黑体"/>
                <w:color w:val="000000"/>
                <w:spacing w:val="-6"/>
                <w:kern w:val="21"/>
                <w:szCs w:val="21"/>
              </w:rPr>
              <w:fldChar w:fldCharType="begin"/>
            </w:r>
            <w:r>
              <w:rPr>
                <w:rFonts w:hint="default" w:ascii="Times New Roman" w:eastAsia="黑体"/>
                <w:snapToGrid w:val="0"/>
                <w:color w:val="000000"/>
                <w:spacing w:val="-6"/>
                <w:kern w:val="21"/>
                <w:szCs w:val="21"/>
              </w:rPr>
              <w:instrText xml:space="preserve"> = 3 \* GB3 \* MERGEFORMAT </w:instrText>
            </w:r>
            <w:r>
              <w:rPr>
                <w:rFonts w:hint="default" w:ascii="Times New Roman" w:eastAsia="黑体"/>
                <w:color w:val="000000"/>
                <w:spacing w:val="-6"/>
                <w:kern w:val="21"/>
                <w:szCs w:val="21"/>
              </w:rPr>
              <w:fldChar w:fldCharType="separate"/>
            </w:r>
            <w:r>
              <w:rPr>
                <w:rFonts w:hint="default" w:ascii="Times New Roman" w:eastAsia="黑体"/>
                <w:kern w:val="2"/>
                <w:szCs w:val="21"/>
              </w:rPr>
              <w:t>③</w:t>
            </w:r>
            <w:r>
              <w:rPr>
                <w:rFonts w:hint="default" w:ascii="Times New Roman" w:eastAsia="黑体"/>
                <w:color w:val="000000"/>
                <w:spacing w:val="-6"/>
                <w:kern w:val="21"/>
                <w:szCs w:val="21"/>
              </w:rPr>
              <w:fldChar w:fldCharType="end"/>
            </w:r>
          </w:p>
        </w:tc>
        <w:tc>
          <w:tcPr>
            <w:tcW w:w="1559"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43"/>
              <w:widowControl/>
              <w:spacing w:before="31" w:after="31" w:line="240" w:lineRule="auto"/>
              <w:rPr>
                <w:rFonts w:hint="default" w:ascii="Times New Roman" w:eastAsia="黑体"/>
                <w:color w:val="auto"/>
                <w:spacing w:val="-6"/>
                <w:kern w:val="21"/>
                <w:szCs w:val="21"/>
              </w:rPr>
            </w:pPr>
            <w:r>
              <w:rPr>
                <w:rFonts w:hint="default" w:ascii="Times New Roman" w:eastAsia="黑体"/>
                <w:snapToGrid w:val="0"/>
                <w:color w:val="auto"/>
                <w:spacing w:val="-6"/>
                <w:kern w:val="21"/>
                <w:szCs w:val="21"/>
              </w:rPr>
              <w:t>本项目</w:t>
            </w:r>
          </w:p>
          <w:p>
            <w:pPr>
              <w:pStyle w:val="43"/>
              <w:widowControl/>
              <w:spacing w:before="31" w:after="31" w:line="240" w:lineRule="auto"/>
              <w:rPr>
                <w:rFonts w:hint="default" w:ascii="Times New Roman" w:eastAsia="黑体"/>
                <w:snapToGrid w:val="0"/>
                <w:color w:val="auto"/>
                <w:spacing w:val="-6"/>
                <w:kern w:val="21"/>
                <w:szCs w:val="21"/>
              </w:rPr>
            </w:pPr>
            <w:r>
              <w:rPr>
                <w:rFonts w:hint="default" w:ascii="Times New Roman" w:eastAsia="黑体"/>
                <w:snapToGrid w:val="0"/>
                <w:color w:val="auto"/>
                <w:spacing w:val="-6"/>
                <w:kern w:val="21"/>
                <w:szCs w:val="21"/>
              </w:rPr>
              <w:t>排放量（固体废物产生量）</w:t>
            </w:r>
            <w:r>
              <w:rPr>
                <w:rFonts w:hint="default" w:ascii="Times New Roman" w:eastAsia="黑体"/>
                <w:color w:val="auto"/>
                <w:spacing w:val="-6"/>
                <w:kern w:val="21"/>
                <w:szCs w:val="21"/>
              </w:rPr>
              <w:fldChar w:fldCharType="begin"/>
            </w:r>
            <w:r>
              <w:rPr>
                <w:rFonts w:hint="default" w:ascii="Times New Roman" w:eastAsia="黑体"/>
                <w:snapToGrid w:val="0"/>
                <w:color w:val="auto"/>
                <w:spacing w:val="-6"/>
                <w:kern w:val="21"/>
                <w:szCs w:val="21"/>
              </w:rPr>
              <w:instrText xml:space="preserve"> = 4 \* GB3 \* MERGEFORMAT </w:instrText>
            </w:r>
            <w:r>
              <w:rPr>
                <w:rFonts w:hint="default" w:ascii="Times New Roman" w:eastAsia="黑体"/>
                <w:color w:val="auto"/>
                <w:spacing w:val="-6"/>
                <w:kern w:val="21"/>
                <w:szCs w:val="21"/>
              </w:rPr>
              <w:fldChar w:fldCharType="separate"/>
            </w:r>
            <w:r>
              <w:rPr>
                <w:rFonts w:hint="default" w:ascii="Times New Roman" w:eastAsia="黑体"/>
                <w:color w:val="auto"/>
                <w:kern w:val="2"/>
                <w:szCs w:val="21"/>
              </w:rPr>
              <w:t>④</w:t>
            </w:r>
            <w:r>
              <w:rPr>
                <w:rFonts w:hint="default" w:ascii="Times New Roman" w:eastAsia="黑体"/>
                <w:color w:val="auto"/>
                <w:spacing w:val="-6"/>
                <w:kern w:val="21"/>
                <w:szCs w:val="21"/>
              </w:rPr>
              <w:fldChar w:fldCharType="end"/>
            </w:r>
          </w:p>
        </w:tc>
        <w:tc>
          <w:tcPr>
            <w:tcW w:w="1382"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43"/>
              <w:widowControl/>
              <w:spacing w:before="31" w:after="31" w:line="240" w:lineRule="auto"/>
              <w:rPr>
                <w:rFonts w:hint="default" w:ascii="Times New Roman" w:eastAsia="黑体"/>
                <w:color w:val="000000"/>
                <w:spacing w:val="-16"/>
                <w:kern w:val="21"/>
                <w:szCs w:val="21"/>
              </w:rPr>
            </w:pPr>
            <w:r>
              <w:rPr>
                <w:rFonts w:hint="default" w:ascii="Times New Roman" w:eastAsia="黑体"/>
                <w:snapToGrid w:val="0"/>
                <w:color w:val="000000"/>
                <w:spacing w:val="-16"/>
                <w:kern w:val="21"/>
                <w:szCs w:val="21"/>
              </w:rPr>
              <w:t>以新带老削减量</w:t>
            </w:r>
          </w:p>
          <w:p>
            <w:pPr>
              <w:pStyle w:val="43"/>
              <w:widowControl/>
              <w:spacing w:before="31" w:after="31" w:line="240" w:lineRule="auto"/>
              <w:rPr>
                <w:rFonts w:hint="default" w:ascii="Times New Roman" w:eastAsia="黑体"/>
                <w:snapToGrid w:val="0"/>
                <w:color w:val="000000"/>
                <w:spacing w:val="-16"/>
                <w:kern w:val="21"/>
                <w:szCs w:val="21"/>
              </w:rPr>
            </w:pPr>
            <w:r>
              <w:rPr>
                <w:rFonts w:hint="default" w:ascii="Times New Roman" w:eastAsia="黑体"/>
                <w:snapToGrid w:val="0"/>
                <w:color w:val="000000"/>
                <w:spacing w:val="-16"/>
                <w:kern w:val="21"/>
                <w:szCs w:val="21"/>
              </w:rPr>
              <w:t>（新建项目不填）</w:t>
            </w:r>
            <w:r>
              <w:rPr>
                <w:rFonts w:hint="default" w:ascii="Times New Roman" w:eastAsia="黑体"/>
                <w:color w:val="000000"/>
                <w:spacing w:val="-16"/>
                <w:kern w:val="21"/>
                <w:szCs w:val="21"/>
              </w:rPr>
              <w:fldChar w:fldCharType="begin"/>
            </w:r>
            <w:r>
              <w:rPr>
                <w:rFonts w:hint="default" w:ascii="Times New Roman" w:eastAsia="黑体"/>
                <w:snapToGrid w:val="0"/>
                <w:color w:val="000000"/>
                <w:spacing w:val="-16"/>
                <w:kern w:val="21"/>
                <w:szCs w:val="21"/>
              </w:rPr>
              <w:instrText xml:space="preserve"> = 5 \* GB3 \* MERGEFORMAT </w:instrText>
            </w:r>
            <w:r>
              <w:rPr>
                <w:rFonts w:hint="default" w:ascii="Times New Roman" w:eastAsia="黑体"/>
                <w:color w:val="000000"/>
                <w:spacing w:val="-16"/>
                <w:kern w:val="21"/>
                <w:szCs w:val="21"/>
              </w:rPr>
              <w:fldChar w:fldCharType="separate"/>
            </w:r>
            <w:r>
              <w:rPr>
                <w:rFonts w:hint="default" w:ascii="Times New Roman" w:eastAsia="黑体"/>
                <w:kern w:val="2"/>
                <w:szCs w:val="21"/>
              </w:rPr>
              <w:t>⑤</w:t>
            </w:r>
            <w:r>
              <w:rPr>
                <w:rFonts w:hint="default" w:ascii="Times New Roman" w:eastAsia="黑体"/>
                <w:color w:val="000000"/>
                <w:spacing w:val="-16"/>
                <w:kern w:val="21"/>
                <w:szCs w:val="21"/>
              </w:rPr>
              <w:fldChar w:fldCharType="end"/>
            </w:r>
          </w:p>
        </w:tc>
        <w:tc>
          <w:tcPr>
            <w:tcW w:w="1689"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pPr>
              <w:pStyle w:val="43"/>
              <w:widowControl/>
              <w:spacing w:before="31" w:after="31" w:line="240" w:lineRule="auto"/>
              <w:rPr>
                <w:rFonts w:hint="default" w:ascii="Times New Roman" w:eastAsia="黑体"/>
                <w:color w:val="000000"/>
                <w:spacing w:val="-16"/>
                <w:kern w:val="21"/>
                <w:szCs w:val="21"/>
              </w:rPr>
            </w:pPr>
            <w:r>
              <w:rPr>
                <w:rFonts w:hint="default" w:ascii="Times New Roman" w:eastAsia="黑体"/>
                <w:snapToGrid w:val="0"/>
                <w:color w:val="000000"/>
                <w:spacing w:val="-16"/>
                <w:kern w:val="21"/>
                <w:szCs w:val="21"/>
              </w:rPr>
              <w:t>本项目建成后</w:t>
            </w:r>
          </w:p>
          <w:p>
            <w:pPr>
              <w:pStyle w:val="43"/>
              <w:widowControl/>
              <w:spacing w:before="31" w:after="31" w:line="240" w:lineRule="auto"/>
              <w:rPr>
                <w:rFonts w:hint="default" w:ascii="Times New Roman" w:eastAsia="黑体"/>
                <w:snapToGrid w:val="0"/>
                <w:color w:val="000000"/>
                <w:spacing w:val="-16"/>
                <w:kern w:val="21"/>
                <w:szCs w:val="21"/>
              </w:rPr>
            </w:pPr>
            <w:r>
              <w:rPr>
                <w:rFonts w:hint="default" w:ascii="Times New Roman" w:eastAsia="黑体"/>
                <w:snapToGrid w:val="0"/>
                <w:color w:val="000000"/>
                <w:spacing w:val="-16"/>
                <w:kern w:val="21"/>
                <w:szCs w:val="21"/>
              </w:rPr>
              <w:t>全厂排放量（固体废物产生量）</w:t>
            </w:r>
            <w:r>
              <w:rPr>
                <w:rFonts w:hint="default" w:ascii="Times New Roman" w:eastAsia="黑体"/>
                <w:color w:val="000000"/>
                <w:spacing w:val="-16"/>
                <w:kern w:val="21"/>
                <w:szCs w:val="21"/>
              </w:rPr>
              <w:fldChar w:fldCharType="begin"/>
            </w:r>
            <w:r>
              <w:rPr>
                <w:rFonts w:hint="default" w:ascii="Times New Roman" w:eastAsia="黑体"/>
                <w:snapToGrid w:val="0"/>
                <w:color w:val="000000"/>
                <w:spacing w:val="-16"/>
                <w:kern w:val="21"/>
                <w:szCs w:val="21"/>
              </w:rPr>
              <w:instrText xml:space="preserve"> = 6 \* GB3 \* MERGEFORMAT </w:instrText>
            </w:r>
            <w:r>
              <w:rPr>
                <w:rFonts w:hint="default" w:ascii="Times New Roman" w:eastAsia="黑体"/>
                <w:color w:val="000000"/>
                <w:spacing w:val="-16"/>
                <w:kern w:val="21"/>
                <w:szCs w:val="21"/>
              </w:rPr>
              <w:fldChar w:fldCharType="separate"/>
            </w:r>
            <w:r>
              <w:rPr>
                <w:rFonts w:hint="default" w:ascii="Times New Roman" w:eastAsia="黑体"/>
                <w:kern w:val="2"/>
                <w:szCs w:val="21"/>
              </w:rPr>
              <w:t>⑥</w:t>
            </w:r>
            <w:r>
              <w:rPr>
                <w:rFonts w:hint="default" w:ascii="Times New Roman" w:eastAsia="黑体"/>
                <w:color w:val="000000"/>
                <w:spacing w:val="-16"/>
                <w:kern w:val="21"/>
                <w:szCs w:val="21"/>
              </w:rPr>
              <w:fldChar w:fldCharType="end"/>
            </w:r>
          </w:p>
        </w:tc>
        <w:tc>
          <w:tcPr>
            <w:tcW w:w="1475" w:type="dxa"/>
            <w:tcBorders>
              <w:top w:val="single" w:color="auto" w:sz="8" w:space="0"/>
              <w:left w:val="single" w:color="auto" w:sz="4" w:space="0"/>
              <w:bottom w:val="single" w:color="auto" w:sz="4" w:space="0"/>
              <w:right w:val="single" w:color="auto" w:sz="8" w:space="0"/>
            </w:tcBorders>
            <w:shd w:val="clear" w:color="auto" w:fill="auto"/>
            <w:tcMar>
              <w:left w:w="28" w:type="dxa"/>
              <w:right w:w="28" w:type="dxa"/>
            </w:tcMar>
            <w:vAlign w:val="center"/>
          </w:tcPr>
          <w:p>
            <w:pPr>
              <w:pStyle w:val="43"/>
              <w:widowControl/>
              <w:spacing w:before="31" w:after="31" w:line="240" w:lineRule="auto"/>
              <w:rPr>
                <w:rFonts w:hint="default" w:ascii="Times New Roman" w:eastAsia="黑体"/>
                <w:color w:val="000000"/>
                <w:spacing w:val="-6"/>
                <w:kern w:val="21"/>
                <w:szCs w:val="21"/>
              </w:rPr>
            </w:pPr>
            <w:r>
              <w:rPr>
                <w:rFonts w:hint="default" w:ascii="Times New Roman" w:eastAsia="黑体"/>
                <w:snapToGrid w:val="0"/>
                <w:color w:val="000000"/>
                <w:spacing w:val="-6"/>
                <w:kern w:val="21"/>
                <w:szCs w:val="21"/>
              </w:rPr>
              <w:t>变化量</w:t>
            </w:r>
          </w:p>
          <w:p>
            <w:pPr>
              <w:pStyle w:val="43"/>
              <w:widowControl/>
              <w:spacing w:before="31" w:after="31" w:line="240" w:lineRule="auto"/>
              <w:rPr>
                <w:rFonts w:hint="default" w:ascii="Times New Roman" w:eastAsia="黑体"/>
                <w:snapToGrid w:val="0"/>
                <w:color w:val="000000"/>
                <w:spacing w:val="-6"/>
                <w:kern w:val="21"/>
                <w:szCs w:val="21"/>
              </w:rPr>
            </w:pPr>
            <w:r>
              <w:rPr>
                <w:rFonts w:hint="default" w:ascii="Times New Roman" w:eastAsia="黑体"/>
                <w:color w:val="000000"/>
                <w:spacing w:val="-6"/>
                <w:kern w:val="21"/>
                <w:szCs w:val="21"/>
              </w:rPr>
              <w:fldChar w:fldCharType="begin"/>
            </w:r>
            <w:r>
              <w:rPr>
                <w:rFonts w:hint="default" w:ascii="Times New Roman" w:eastAsia="黑体"/>
                <w:color w:val="000000"/>
                <w:spacing w:val="-6"/>
                <w:kern w:val="21"/>
                <w:szCs w:val="21"/>
              </w:rPr>
              <w:instrText xml:space="preserve"> </w:instrText>
            </w:r>
            <w:r>
              <w:rPr>
                <w:rFonts w:hint="default" w:ascii="Times New Roman" w:eastAsia="黑体"/>
                <w:snapToGrid w:val="0"/>
                <w:color w:val="000000"/>
                <w:spacing w:val="-6"/>
                <w:kern w:val="21"/>
                <w:szCs w:val="21"/>
              </w:rPr>
              <w:instrText xml:space="preserve">= 7 \* GB3 \* MERGEFORMAT </w:instrText>
            </w:r>
            <w:r>
              <w:rPr>
                <w:rFonts w:hint="default" w:ascii="Times New Roman" w:eastAsia="黑体"/>
                <w:color w:val="000000"/>
                <w:spacing w:val="-6"/>
                <w:kern w:val="21"/>
                <w:szCs w:val="21"/>
              </w:rPr>
              <w:fldChar w:fldCharType="separate"/>
            </w:r>
            <w:r>
              <w:rPr>
                <w:rFonts w:hint="default" w:ascii="Times New Roman" w:eastAsia="黑体"/>
                <w:kern w:val="2"/>
                <w:szCs w:val="21"/>
              </w:rPr>
              <w:t>⑦</w:t>
            </w:r>
            <w:r>
              <w:rPr>
                <w:rFonts w:hint="default" w:ascii="Times New Roman" w:eastAsia="黑体"/>
                <w:color w:val="00000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tcBorders>
              <w:top w:val="single" w:color="auto" w:sz="4" w:space="0"/>
              <w:left w:val="single" w:color="auto" w:sz="8"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color w:val="auto"/>
                <w:kern w:val="21"/>
                <w:szCs w:val="21"/>
              </w:rPr>
            </w:pPr>
            <w:r>
              <w:rPr>
                <w:rFonts w:hint="default" w:ascii="Times New Roman"/>
                <w:snapToGrid w:val="0"/>
                <w:color w:val="auto"/>
                <w:kern w:val="21"/>
                <w:szCs w:val="21"/>
              </w:rPr>
              <w:t>废气</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000000" w:themeColor="text1"/>
                <w:kern w:val="21"/>
                <w:szCs w:val="21"/>
                <w14:textFill>
                  <w14:solidFill>
                    <w14:schemeClr w14:val="tx1"/>
                  </w14:solidFill>
                </w14:textFill>
              </w:rPr>
            </w:pPr>
            <w:r>
              <w:rPr>
                <w:rFonts w:hint="default" w:ascii="Times New Roman"/>
                <w:snapToGrid w:val="0"/>
                <w:color w:val="000000" w:themeColor="text1"/>
                <w:kern w:val="21"/>
                <w:szCs w:val="21"/>
                <w14:textFill>
                  <w14:solidFill>
                    <w14:schemeClr w14:val="tx1"/>
                  </w14:solidFill>
                </w14:textFill>
              </w:rPr>
              <w:t>颗粒物</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bCs/>
                <w:color w:val="auto"/>
                <w:sz w:val="21"/>
                <w:szCs w:val="21"/>
                <w:lang w:val="en-US" w:eastAsia="zh-CN"/>
              </w:rPr>
              <w:t>0.54t/a</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auto"/>
                <w:kern w:val="21"/>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000000" w:themeColor="text1"/>
                <w:kern w:val="21"/>
                <w:szCs w:val="21"/>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eastAsia="宋体"/>
                <w:snapToGrid w:val="0"/>
                <w:color w:val="000000" w:themeColor="text1"/>
                <w:kern w:val="21"/>
                <w:szCs w:val="21"/>
                <w:lang w:val="en-US" w:eastAsia="zh-CN"/>
                <w14:textFill>
                  <w14:solidFill>
                    <w14:schemeClr w14:val="tx1"/>
                  </w14:solidFill>
                </w14:textFill>
              </w:rPr>
            </w:pPr>
            <w:r>
              <w:rPr>
                <w:rFonts w:hint="eastAsia" w:ascii="Times New Roman" w:hAnsi="Times New Roman"/>
                <w:bCs/>
                <w:color w:val="000000" w:themeColor="text1"/>
                <w:sz w:val="21"/>
                <w:szCs w:val="21"/>
                <w:lang w:val="en-US" w:eastAsia="zh-CN"/>
                <w14:textFill>
                  <w14:solidFill>
                    <w14:schemeClr w14:val="tx1"/>
                  </w14:solidFill>
                </w14:textFill>
              </w:rPr>
              <w:t>2.698t/a</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bCs/>
                <w:color w:val="auto"/>
                <w:sz w:val="21"/>
                <w:szCs w:val="21"/>
                <w:lang w:val="en-US" w:eastAsia="zh-CN"/>
              </w:rPr>
              <w:t>0.54t/a</w:t>
            </w: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default" w:ascii="Times New Roman"/>
                <w:snapToGrid w:val="0"/>
                <w:color w:val="000000" w:themeColor="text1"/>
                <w:kern w:val="21"/>
                <w:szCs w:val="21"/>
                <w14:textFill>
                  <w14:solidFill>
                    <w14:schemeClr w14:val="tx1"/>
                  </w14:solidFill>
                </w14:textFill>
              </w:rPr>
            </w:pPr>
            <w:r>
              <w:rPr>
                <w:rFonts w:hint="default" w:ascii="Times New Roman"/>
                <w:snapToGrid w:val="0"/>
                <w:color w:val="000000" w:themeColor="text1"/>
                <w:kern w:val="21"/>
                <w:szCs w:val="21"/>
                <w:lang w:val="en-US" w:eastAsia="zh-CN"/>
                <w14:textFill>
                  <w14:solidFill>
                    <w14:schemeClr w14:val="tx1"/>
                  </w14:solidFill>
                </w14:textFill>
              </w:rPr>
              <w:t>2.698t/a</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Theme="minorEastAsia" w:cstheme="minorBidi"/>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2.158</w:t>
            </w:r>
            <w:r>
              <w:rPr>
                <w:rFonts w:hint="default" w:ascii="Times New Roman"/>
                <w:snapToGrid w:val="0"/>
                <w:color w:val="auto"/>
                <w:kern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left w:val="single" w:color="auto" w:sz="8"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auto"/>
                <w:kern w:val="21"/>
                <w:szCs w:val="21"/>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tLeas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SO</w:t>
            </w:r>
            <w:r>
              <w:rPr>
                <w:rFonts w:ascii="Times New Roman" w:hAnsi="Times New Roman" w:cs="Times New Roman"/>
                <w:color w:val="000000" w:themeColor="text1"/>
                <w:szCs w:val="21"/>
                <w:vertAlign w:val="subscript"/>
                <w14:textFill>
                  <w14:solidFill>
                    <w14:schemeClr w14:val="tx1"/>
                  </w14:solidFill>
                </w14:textFill>
              </w:rPr>
              <w:t>2</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bCs/>
                <w:color w:val="auto"/>
                <w:sz w:val="21"/>
                <w:szCs w:val="21"/>
                <w:lang w:val="en-US" w:eastAsia="zh-CN"/>
              </w:rPr>
              <w:t>1.618t/a</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snapToGrid w:val="0"/>
                <w:color w:val="auto"/>
                <w:kern w:val="21"/>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000000" w:themeColor="text1"/>
                <w:kern w:val="21"/>
                <w:szCs w:val="21"/>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eastAsia="宋体"/>
                <w:snapToGrid w:val="0"/>
                <w:color w:val="000000" w:themeColor="text1"/>
                <w:kern w:val="21"/>
                <w:szCs w:val="21"/>
                <w:lang w:val="en-US" w:eastAsia="zh-CN"/>
                <w14:textFill>
                  <w14:solidFill>
                    <w14:schemeClr w14:val="tx1"/>
                  </w14:solidFill>
                </w14:textFill>
              </w:rPr>
            </w:pPr>
            <w:r>
              <w:rPr>
                <w:rFonts w:hint="eastAsia" w:ascii="Times New Roman" w:hAnsi="Times New Roman"/>
                <w:bCs/>
                <w:color w:val="000000" w:themeColor="text1"/>
                <w:sz w:val="21"/>
                <w:szCs w:val="21"/>
                <w:lang w:val="en-US" w:eastAsia="zh-CN"/>
                <w14:textFill>
                  <w14:solidFill>
                    <w14:schemeClr w14:val="tx1"/>
                  </w14:solidFill>
                </w14:textFill>
              </w:rPr>
              <w:t>4.739t/a</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bCs/>
                <w:color w:val="auto"/>
                <w:sz w:val="21"/>
                <w:szCs w:val="21"/>
                <w:lang w:val="en-US" w:eastAsia="zh-CN"/>
              </w:rPr>
              <w:t>1.618t/a</w:t>
            </w: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color w:val="000000" w:themeColor="text1"/>
                <w:szCs w:val="21"/>
                <w14:textFill>
                  <w14:solidFill>
                    <w14:schemeClr w14:val="tx1"/>
                  </w14:solidFill>
                </w14:textFill>
              </w:rPr>
            </w:pPr>
            <w:r>
              <w:rPr>
                <w:rFonts w:hint="eastAsia" w:ascii="Times New Roman" w:hAnsi="Times New Roman"/>
                <w:bCs/>
                <w:color w:val="000000" w:themeColor="text1"/>
                <w:sz w:val="21"/>
                <w:szCs w:val="21"/>
                <w:lang w:val="en-US" w:eastAsia="zh-CN"/>
                <w14:textFill>
                  <w14:solidFill>
                    <w14:schemeClr w14:val="tx1"/>
                  </w14:solidFill>
                </w14:textFill>
              </w:rPr>
              <w:t>4.739t/a</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eastAsiaTheme="minorEastAsia"/>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3.1</w:t>
            </w:r>
            <w:r>
              <w:rPr>
                <w:rFonts w:hint="eastAsia" w:ascii="Times New Roman" w:hAnsi="Times New Roman" w:eastAsia="宋体" w:cs="Times New Roman"/>
                <w:i w:val="0"/>
                <w:iCs w:val="0"/>
                <w:color w:val="000000"/>
                <w:kern w:val="0"/>
                <w:sz w:val="21"/>
                <w:szCs w:val="21"/>
                <w:u w:val="none"/>
                <w:lang w:val="en-US" w:eastAsia="zh-CN" w:bidi="ar"/>
              </w:rPr>
              <w:t>21</w:t>
            </w:r>
            <w:r>
              <w:rPr>
                <w:rFonts w:hint="default" w:ascii="Times New Roman"/>
                <w:snapToGrid w:val="0"/>
                <w:color w:val="auto"/>
                <w:kern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left w:val="single" w:color="auto" w:sz="8"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auto"/>
                <w:kern w:val="21"/>
                <w:szCs w:val="21"/>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tLeast"/>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NOx</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bCs/>
                <w:color w:val="auto"/>
                <w:sz w:val="21"/>
                <w:szCs w:val="21"/>
                <w:lang w:val="en-US" w:eastAsia="zh-CN"/>
              </w:rPr>
              <w:t>4.3t/a</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Times New Roman"/>
                <w:snapToGrid w:val="0"/>
                <w:color w:val="auto"/>
                <w:kern w:val="21"/>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000000" w:themeColor="text1"/>
                <w:kern w:val="21"/>
                <w:szCs w:val="21"/>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eastAsia="宋体"/>
                <w:snapToGrid w:val="0"/>
                <w:color w:val="000000" w:themeColor="text1"/>
                <w:kern w:val="21"/>
                <w:szCs w:val="21"/>
                <w:lang w:val="en-US" w:eastAsia="zh-CN"/>
                <w14:textFill>
                  <w14:solidFill>
                    <w14:schemeClr w14:val="tx1"/>
                  </w14:solidFill>
                </w14:textFill>
              </w:rPr>
            </w:pPr>
            <w:r>
              <w:rPr>
                <w:rFonts w:hint="eastAsia" w:ascii="Times New Roman" w:hAnsi="Times New Roman"/>
                <w:bCs/>
                <w:color w:val="000000" w:themeColor="text1"/>
                <w:sz w:val="21"/>
                <w:szCs w:val="21"/>
                <w:lang w:val="en-US" w:eastAsia="zh-CN"/>
                <w14:textFill>
                  <w14:solidFill>
                    <w14:schemeClr w14:val="tx1"/>
                  </w14:solidFill>
                </w14:textFill>
              </w:rPr>
              <w:t>7.841t/a</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bCs/>
                <w:color w:val="auto"/>
                <w:sz w:val="21"/>
                <w:szCs w:val="21"/>
                <w:lang w:val="en-US" w:eastAsia="zh-CN"/>
              </w:rPr>
              <w:t>4.3t/a</w:t>
            </w: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Times New Roman"/>
                <w:snapToGrid w:val="0"/>
                <w:color w:val="000000" w:themeColor="text1"/>
                <w:kern w:val="21"/>
                <w:szCs w:val="21"/>
                <w14:textFill>
                  <w14:solidFill>
                    <w14:schemeClr w14:val="tx1"/>
                  </w14:solidFill>
                </w14:textFill>
              </w:rPr>
            </w:pPr>
            <w:r>
              <w:rPr>
                <w:rFonts w:hint="eastAsia" w:ascii="Times New Roman" w:hAnsi="Times New Roman"/>
                <w:bCs/>
                <w:color w:val="000000" w:themeColor="text1"/>
                <w:sz w:val="21"/>
                <w:szCs w:val="21"/>
                <w:lang w:val="en-US" w:eastAsia="zh-CN"/>
                <w14:textFill>
                  <w14:solidFill>
                    <w14:schemeClr w14:val="tx1"/>
                  </w14:solidFill>
                </w14:textFill>
              </w:rPr>
              <w:t>7.841t/a</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eastAsiaTheme="minorEastAsia"/>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3.541</w:t>
            </w:r>
            <w:r>
              <w:rPr>
                <w:rFonts w:hint="default" w:ascii="Times New Roman"/>
                <w:snapToGrid w:val="0"/>
                <w:color w:val="auto"/>
                <w:kern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tcBorders>
              <w:top w:val="single" w:color="auto" w:sz="4" w:space="0"/>
              <w:left w:val="single" w:color="auto" w:sz="8" w:space="0"/>
              <w:right w:val="single" w:color="auto" w:sz="4" w:space="0"/>
            </w:tcBorders>
            <w:shd w:val="clear" w:color="auto" w:fill="auto"/>
            <w:vAlign w:val="center"/>
          </w:tcPr>
          <w:p>
            <w:pPr>
              <w:pStyle w:val="43"/>
              <w:widowControl/>
              <w:spacing w:before="31" w:after="31" w:line="240" w:lineRule="auto"/>
              <w:rPr>
                <w:rFonts w:hint="default" w:ascii="Times New Roman"/>
                <w:color w:val="auto"/>
                <w:kern w:val="21"/>
                <w:szCs w:val="21"/>
              </w:rPr>
            </w:pPr>
            <w:r>
              <w:rPr>
                <w:rFonts w:hint="default" w:ascii="Times New Roman"/>
                <w:snapToGrid w:val="0"/>
                <w:color w:val="auto"/>
                <w:kern w:val="21"/>
                <w:szCs w:val="21"/>
              </w:rPr>
              <w:t>一般工业</w:t>
            </w:r>
          </w:p>
          <w:p>
            <w:pPr>
              <w:pStyle w:val="43"/>
              <w:widowControl/>
              <w:spacing w:before="31" w:after="31" w:line="240" w:lineRule="auto"/>
              <w:rPr>
                <w:rFonts w:hint="default" w:ascii="Times New Roman"/>
                <w:color w:val="auto"/>
                <w:kern w:val="21"/>
                <w:szCs w:val="21"/>
              </w:rPr>
            </w:pPr>
            <w:r>
              <w:rPr>
                <w:rFonts w:hint="default" w:ascii="Times New Roman"/>
                <w:snapToGrid w:val="0"/>
                <w:color w:val="auto"/>
                <w:kern w:val="21"/>
                <w:szCs w:val="21"/>
              </w:rPr>
              <w:t>固体废物</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rPr>
              <w:t>炉渣</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10t/a</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auto"/>
                <w:kern w:val="21"/>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auto"/>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snapToGrid w:val="0"/>
                <w:color w:val="auto"/>
                <w:kern w:val="21"/>
                <w:szCs w:val="21"/>
              </w:rPr>
            </w:pPr>
            <w:r>
              <w:rPr>
                <w:rFonts w:hint="eastAsia" w:ascii="Times New Roman" w:hAnsi="Times New Roman" w:cs="Times New Roman"/>
                <w:color w:val="auto"/>
                <w:szCs w:val="21"/>
                <w:lang w:val="en-US" w:eastAsia="zh-CN"/>
              </w:rPr>
              <w:t>899</w:t>
            </w:r>
            <w:r>
              <w:rPr>
                <w:rFonts w:hint="eastAsia" w:ascii="Times New Roman" w:hAnsi="Times New Roman" w:cs="Times New Roman"/>
                <w:color w:val="auto"/>
                <w:szCs w:val="21"/>
              </w:rPr>
              <w:t>t/a</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auto"/>
                <w:kern w:val="21"/>
                <w:szCs w:val="21"/>
              </w:rPr>
            </w:pPr>
            <w:r>
              <w:rPr>
                <w:rFonts w:hint="eastAsia" w:ascii="Times New Roman"/>
                <w:snapToGrid w:val="0"/>
                <w:color w:val="auto"/>
                <w:kern w:val="21"/>
                <w:szCs w:val="21"/>
                <w:lang w:val="en-US" w:eastAsia="zh-CN"/>
              </w:rPr>
              <w:t>10t/a</w:t>
            </w: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eastAsiaTheme="minorEastAsia"/>
                <w:snapToGrid w:val="0"/>
                <w:color w:val="auto"/>
                <w:kern w:val="21"/>
                <w:szCs w:val="21"/>
              </w:rPr>
            </w:pPr>
            <w:r>
              <w:rPr>
                <w:rFonts w:hint="eastAsia" w:ascii="Times New Roman" w:hAnsi="Times New Roman" w:cs="Times New Roman"/>
                <w:color w:val="auto"/>
                <w:szCs w:val="21"/>
                <w:lang w:val="en-US" w:eastAsia="zh-CN"/>
              </w:rPr>
              <w:t>899</w:t>
            </w:r>
            <w:r>
              <w:rPr>
                <w:rFonts w:hint="eastAsia" w:ascii="Times New Roman" w:hAnsi="Times New Roman" w:cs="Times New Roman"/>
                <w:color w:val="auto"/>
                <w:szCs w:val="21"/>
              </w:rPr>
              <w:t>t/a</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jc w:val="center"/>
              <w:rPr>
                <w:rFonts w:hint="default" w:ascii="Times New Roman"/>
                <w:snapToGrid w:val="0"/>
                <w:color w:val="000000"/>
                <w:kern w:val="21"/>
                <w:szCs w:val="21"/>
              </w:rPr>
            </w:pPr>
            <w:r>
              <w:rPr>
                <w:rFonts w:hint="eastAsia" w:ascii="Times New Roman" w:hAnsi="Times New Roman" w:cs="Times New Roman"/>
                <w:szCs w:val="21"/>
                <w:lang w:val="en-US" w:eastAsia="zh-CN"/>
              </w:rPr>
              <w:t>+889</w:t>
            </w:r>
            <w:r>
              <w:rPr>
                <w:rFonts w:hint="eastAsia" w:ascii="Times New Roman" w:hAnsi="Times New Roman" w:cs="Times New Roman"/>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left w:val="single" w:color="auto" w:sz="8"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auto"/>
                <w:kern w:val="21"/>
                <w:szCs w:val="21"/>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eastAsia="zh-CN"/>
              </w:rPr>
              <w:t>锅炉</w:t>
            </w:r>
            <w:r>
              <w:rPr>
                <w:rFonts w:hint="eastAsia" w:ascii="Times New Roman" w:hAnsi="Times New Roman" w:cs="Times New Roman"/>
                <w:color w:val="auto"/>
                <w:szCs w:val="21"/>
              </w:rPr>
              <w:t>除尘灰</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3t/a</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auto"/>
                <w:kern w:val="21"/>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auto"/>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snapToGrid w:val="0"/>
                <w:color w:val="auto"/>
                <w:kern w:val="21"/>
                <w:szCs w:val="21"/>
              </w:rPr>
            </w:pPr>
            <w:r>
              <w:rPr>
                <w:rFonts w:hint="eastAsia" w:ascii="Times New Roman" w:hAnsi="Times New Roman" w:cs="Times New Roman"/>
                <w:color w:val="auto"/>
                <w:szCs w:val="21"/>
                <w:lang w:val="en-US" w:eastAsia="zh-CN"/>
              </w:rPr>
              <w:t>1142t/a</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auto"/>
                <w:kern w:val="21"/>
                <w:szCs w:val="21"/>
              </w:rPr>
            </w:pPr>
            <w:r>
              <w:rPr>
                <w:rFonts w:hint="eastAsia" w:ascii="Times New Roman"/>
                <w:snapToGrid w:val="0"/>
                <w:color w:val="auto"/>
                <w:kern w:val="21"/>
                <w:szCs w:val="21"/>
                <w:lang w:val="en-US" w:eastAsia="zh-CN"/>
              </w:rPr>
              <w:t>3t/a</w:t>
            </w: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Cs w:val="21"/>
                <w:lang w:val="en-US" w:eastAsia="zh-CN"/>
              </w:rPr>
              <w:t>1142t/a</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+1139t/a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left w:val="single" w:color="auto" w:sz="8" w:space="0"/>
              <w:right w:val="single" w:color="auto" w:sz="4" w:space="0"/>
            </w:tcBorders>
            <w:shd w:val="clear" w:color="auto" w:fill="auto"/>
            <w:vAlign w:val="center"/>
          </w:tcPr>
          <w:p>
            <w:pPr>
              <w:rPr>
                <w:rFonts w:ascii="Times New Roman" w:hAnsi="Times New Roman" w:cs="Times New Roman"/>
                <w:color w:val="auto"/>
                <w:sz w:val="20"/>
                <w:szCs w:val="20"/>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mallCaps w:val="0"/>
                <w:color w:val="auto"/>
                <w:kern w:val="2"/>
                <w:sz w:val="21"/>
                <w:szCs w:val="21"/>
                <w:highlight w:val="none"/>
                <w:vertAlign w:val="baseline"/>
                <w:lang w:val="en-US" w:eastAsia="zh-CN" w:bidi="ar-SA"/>
              </w:rPr>
            </w:pPr>
            <w:r>
              <w:rPr>
                <w:rFonts w:hint="eastAsia" w:ascii="Times New Roman" w:hAnsi="Times New Roman"/>
                <w:color w:val="auto"/>
                <w:sz w:val="21"/>
                <w:szCs w:val="21"/>
                <w:highlight w:val="none"/>
                <w:lang w:val="en-US" w:eastAsia="zh-CN"/>
              </w:rPr>
              <w:t>除尘器</w:t>
            </w:r>
            <w:r>
              <w:rPr>
                <w:rFonts w:hint="default" w:ascii="Times New Roman" w:hAnsi="Times New Roman" w:eastAsia="宋体" w:cs="Times New Roman"/>
                <w:smallCaps w:val="0"/>
                <w:color w:val="auto"/>
                <w:sz w:val="21"/>
                <w:szCs w:val="21"/>
                <w:highlight w:val="none"/>
                <w:vertAlign w:val="baseline"/>
                <w:lang w:val="en-US" w:eastAsia="zh-CN" w:bidi="ar-SA"/>
              </w:rPr>
              <w:t>除尘灰</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hAnsi="Times New Roman" w:eastAsia="宋体" w:cs="Times New Roman"/>
                <w:snapToGrid w:val="0"/>
                <w:color w:val="auto"/>
                <w:kern w:val="21"/>
                <w:sz w:val="21"/>
                <w:szCs w:val="21"/>
                <w:lang w:val="en-US" w:eastAsia="zh-CN" w:bidi="ar-SA"/>
              </w:rPr>
            </w:pPr>
            <w:r>
              <w:rPr>
                <w:rFonts w:ascii="Times New Roman"/>
                <w:color w:val="auto"/>
                <w:szCs w:val="21"/>
              </w:rPr>
              <w:t>0</w:t>
            </w:r>
            <w:r>
              <w:rPr>
                <w:rFonts w:hint="default" w:ascii="Times New Roman"/>
                <w:color w:val="auto"/>
                <w:szCs w:val="21"/>
              </w:rPr>
              <w:t>t/a</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auto"/>
                <w:kern w:val="21"/>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auto"/>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snapToGrid w:val="0"/>
                <w:color w:val="auto"/>
                <w:kern w:val="21"/>
                <w:szCs w:val="21"/>
              </w:rPr>
            </w:pPr>
            <w:r>
              <w:rPr>
                <w:rFonts w:hint="eastAsia" w:ascii="Times New Roman" w:hAnsi="Times New Roman" w:cs="Times New Roman"/>
                <w:color w:val="auto"/>
                <w:szCs w:val="21"/>
                <w:lang w:val="en-US" w:eastAsia="zh-CN"/>
              </w:rPr>
              <w:t>1.035t/a</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auto"/>
                <w:kern w:val="21"/>
                <w:szCs w:val="21"/>
              </w:rPr>
            </w:pPr>
            <w:r>
              <w:rPr>
                <w:rFonts w:ascii="Times New Roman"/>
                <w:color w:val="auto"/>
                <w:szCs w:val="21"/>
              </w:rPr>
              <w:t>0</w:t>
            </w:r>
            <w:r>
              <w:rPr>
                <w:rFonts w:hint="default" w:ascii="Times New Roman"/>
                <w:color w:val="auto"/>
                <w:szCs w:val="21"/>
              </w:rPr>
              <w:t>t/a</w:t>
            </w: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Cs w:val="21"/>
                <w:lang w:val="en-US" w:eastAsia="zh-CN"/>
              </w:rPr>
              <w:t>1.035t/a</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+1.035t/a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left w:val="single" w:color="auto" w:sz="8" w:space="0"/>
              <w:right w:val="single" w:color="auto" w:sz="4" w:space="0"/>
            </w:tcBorders>
            <w:shd w:val="clear" w:color="auto" w:fill="auto"/>
            <w:vAlign w:val="center"/>
          </w:tcPr>
          <w:p>
            <w:pPr>
              <w:rPr>
                <w:rFonts w:ascii="Times New Roman" w:hAnsi="Times New Roman" w:cs="Times New Roman"/>
                <w:color w:val="auto"/>
                <w:sz w:val="20"/>
                <w:szCs w:val="20"/>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Cs w:val="21"/>
                <w:lang w:val="en-US" w:eastAsia="zh-CN"/>
              </w:rPr>
              <w:t>固形物MgSO</w:t>
            </w:r>
            <w:r>
              <w:rPr>
                <w:rFonts w:hint="eastAsia" w:ascii="Times New Roman" w:hAnsi="Times New Roman" w:cs="Times New Roman"/>
                <w:color w:val="auto"/>
                <w:szCs w:val="21"/>
                <w:vertAlign w:val="subscript"/>
                <w:lang w:val="en-US" w:eastAsia="zh-CN"/>
              </w:rPr>
              <w:t>4</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hAnsi="Times New Roman" w:eastAsia="宋体" w:cs="Times New Roman"/>
                <w:snapToGrid w:val="0"/>
                <w:color w:val="auto"/>
                <w:kern w:val="21"/>
                <w:sz w:val="21"/>
                <w:szCs w:val="21"/>
                <w:lang w:val="en-US" w:eastAsia="zh-CN" w:bidi="ar-SA"/>
              </w:rPr>
            </w:pPr>
            <w:r>
              <w:rPr>
                <w:rFonts w:ascii="Times New Roman"/>
                <w:snapToGrid w:val="0"/>
                <w:color w:val="auto"/>
                <w:kern w:val="21"/>
                <w:szCs w:val="21"/>
              </w:rPr>
              <w:t>0</w:t>
            </w:r>
            <w:r>
              <w:rPr>
                <w:rFonts w:hint="default" w:ascii="Times New Roman"/>
                <w:color w:val="auto"/>
                <w:szCs w:val="21"/>
              </w:rPr>
              <w:t>t/a</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auto"/>
                <w:kern w:val="21"/>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auto"/>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color w:val="auto"/>
                <w:szCs w:val="21"/>
              </w:rPr>
            </w:pPr>
            <w:r>
              <w:rPr>
                <w:rFonts w:hint="eastAsia" w:ascii="Times New Roman" w:hAnsi="Times New Roman" w:cs="Times New Roman"/>
                <w:color w:val="auto"/>
                <w:szCs w:val="21"/>
                <w:lang w:val="en-US" w:eastAsia="zh-CN"/>
              </w:rPr>
              <w:t>258t/a</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hAnsi="Times New Roman" w:eastAsia="宋体" w:cs="Times New Roman"/>
                <w:snapToGrid w:val="0"/>
                <w:color w:val="auto"/>
                <w:kern w:val="21"/>
                <w:sz w:val="21"/>
                <w:szCs w:val="21"/>
                <w:lang w:val="en-US" w:eastAsia="zh-CN" w:bidi="ar-SA"/>
              </w:rPr>
            </w:pPr>
            <w:r>
              <w:rPr>
                <w:rFonts w:ascii="Times New Roman"/>
                <w:snapToGrid w:val="0"/>
                <w:color w:val="auto"/>
                <w:kern w:val="21"/>
                <w:szCs w:val="21"/>
              </w:rPr>
              <w:t>0</w:t>
            </w:r>
            <w:r>
              <w:rPr>
                <w:rFonts w:hint="default" w:ascii="Times New Roman"/>
                <w:color w:val="auto"/>
                <w:szCs w:val="21"/>
              </w:rPr>
              <w:t>t/a</w:t>
            </w: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color w:val="auto"/>
                <w:szCs w:val="21"/>
              </w:rPr>
            </w:pPr>
            <w:r>
              <w:rPr>
                <w:rFonts w:hint="eastAsia" w:ascii="Times New Roman" w:hAnsi="Times New Roman" w:cs="Times New Roman"/>
                <w:color w:val="auto"/>
                <w:szCs w:val="21"/>
                <w:lang w:val="en-US" w:eastAsia="zh-CN"/>
              </w:rPr>
              <w:t>258t/a</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jc w:val="center"/>
              <w:rPr>
                <w:rFonts w:ascii="Times New Roman"/>
                <w:szCs w:val="21"/>
              </w:rPr>
            </w:pPr>
            <w:r>
              <w:rPr>
                <w:rFonts w:hint="eastAsia" w:ascii="Times New Roman" w:hAnsi="Times New Roman" w:cs="Times New Roman"/>
                <w:color w:val="000000"/>
                <w:szCs w:val="21"/>
              </w:rPr>
              <w:t>+</w:t>
            </w:r>
            <w:r>
              <w:rPr>
                <w:rFonts w:hint="eastAsia" w:ascii="Times New Roman" w:hAnsi="Times New Roman" w:cs="Times New Roman"/>
                <w:szCs w:val="21"/>
                <w:lang w:val="en-US" w:eastAsia="zh-CN"/>
              </w:rPr>
              <w:t>258t/a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left w:val="single" w:color="auto" w:sz="8" w:space="0"/>
              <w:right w:val="single" w:color="auto" w:sz="4" w:space="0"/>
            </w:tcBorders>
            <w:shd w:val="clear" w:color="auto" w:fill="auto"/>
            <w:vAlign w:val="center"/>
          </w:tcPr>
          <w:p>
            <w:pPr>
              <w:rPr>
                <w:rFonts w:ascii="Times New Roman" w:hAnsi="Times New Roman" w:cs="Times New Roman"/>
                <w:color w:val="auto"/>
                <w:sz w:val="20"/>
                <w:szCs w:val="20"/>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ascii="Times New Roman" w:hAnsi="Times New Roman" w:cs="Times New Roman" w:eastAsiaTheme="minorEastAsia"/>
                <w:color w:val="auto"/>
                <w:kern w:val="2"/>
                <w:sz w:val="21"/>
                <w:szCs w:val="21"/>
                <w:lang w:val="en-US" w:eastAsia="zh-CN" w:bidi="ar-SA"/>
              </w:rPr>
            </w:pPr>
            <w:r>
              <w:rPr>
                <w:rFonts w:hint="eastAsia" w:ascii="Times New Roman" w:hAnsi="Times New Roman"/>
                <w:color w:val="auto"/>
                <w:sz w:val="21"/>
                <w:szCs w:val="21"/>
                <w:highlight w:val="none"/>
                <w:lang w:val="en-US" w:eastAsia="zh-CN"/>
              </w:rPr>
              <w:t>废反渗透膜</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hAnsi="Times New Roman" w:eastAsia="宋体" w:cs="Times New Roman"/>
                <w:snapToGrid w:val="0"/>
                <w:color w:val="auto"/>
                <w:kern w:val="21"/>
                <w:sz w:val="21"/>
                <w:szCs w:val="21"/>
                <w:lang w:val="en-US" w:eastAsia="zh-CN" w:bidi="ar-SA"/>
              </w:rPr>
            </w:pPr>
            <w:r>
              <w:rPr>
                <w:rFonts w:ascii="Times New Roman"/>
                <w:color w:val="auto"/>
                <w:szCs w:val="21"/>
              </w:rPr>
              <w:t>0</w:t>
            </w:r>
            <w:r>
              <w:rPr>
                <w:rFonts w:hint="default" w:ascii="Times New Roman"/>
                <w:color w:val="auto"/>
                <w:szCs w:val="21"/>
              </w:rPr>
              <w:t>t/a</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auto"/>
                <w:kern w:val="21"/>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auto"/>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color w:val="auto"/>
                <w:szCs w:val="21"/>
              </w:rPr>
            </w:pPr>
            <w:r>
              <w:rPr>
                <w:rFonts w:hint="eastAsia" w:ascii="Times New Roman" w:hAnsi="Times New Roman" w:cs="Times New Roman"/>
                <w:color w:val="auto"/>
                <w:szCs w:val="21"/>
                <w:lang w:val="en-US" w:eastAsia="zh-CN"/>
              </w:rPr>
              <w:t>1t/a</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hAnsi="Times New Roman" w:eastAsia="宋体" w:cs="Times New Roman"/>
                <w:snapToGrid w:val="0"/>
                <w:color w:val="auto"/>
                <w:kern w:val="21"/>
                <w:sz w:val="21"/>
                <w:szCs w:val="21"/>
                <w:lang w:val="en-US" w:eastAsia="zh-CN" w:bidi="ar-SA"/>
              </w:rPr>
            </w:pPr>
            <w:r>
              <w:rPr>
                <w:rFonts w:ascii="Times New Roman"/>
                <w:color w:val="auto"/>
                <w:szCs w:val="21"/>
              </w:rPr>
              <w:t>0</w:t>
            </w:r>
            <w:r>
              <w:rPr>
                <w:rFonts w:hint="default" w:ascii="Times New Roman"/>
                <w:color w:val="auto"/>
                <w:szCs w:val="21"/>
              </w:rPr>
              <w:t>t/a</w:t>
            </w: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color w:val="auto"/>
                <w:szCs w:val="21"/>
              </w:rPr>
            </w:pPr>
            <w:r>
              <w:rPr>
                <w:rFonts w:hint="eastAsia" w:ascii="Times New Roman" w:hAnsi="Times New Roman" w:cs="Times New Roman"/>
                <w:color w:val="auto"/>
                <w:szCs w:val="21"/>
                <w:lang w:val="en-US" w:eastAsia="zh-CN"/>
              </w:rPr>
              <w:t>1t/a</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jc w:val="center"/>
              <w:rPr>
                <w:rFonts w:ascii="Times New Roman"/>
                <w:szCs w:val="21"/>
              </w:rPr>
            </w:pPr>
            <w:r>
              <w:rPr>
                <w:rFonts w:hint="eastAsia" w:ascii="Times New Roman" w:hAnsi="Times New Roman" w:cs="Times New Roman"/>
                <w:color w:val="000000"/>
                <w:szCs w:val="21"/>
              </w:rPr>
              <w:t>+</w:t>
            </w:r>
            <w:r>
              <w:rPr>
                <w:rFonts w:hint="eastAsia" w:ascii="Times New Roman" w:hAnsi="Times New Roman" w:cs="Times New Roman"/>
                <w:szCs w:val="21"/>
                <w:lang w:val="en-US" w:eastAsia="zh-CN"/>
              </w:rPr>
              <w:t>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left w:val="single" w:color="auto" w:sz="8" w:space="0"/>
              <w:right w:val="single" w:color="auto" w:sz="4" w:space="0"/>
            </w:tcBorders>
            <w:shd w:val="clear" w:color="auto" w:fill="auto"/>
            <w:vAlign w:val="center"/>
          </w:tcPr>
          <w:p>
            <w:pPr>
              <w:rPr>
                <w:rFonts w:ascii="Times New Roman" w:hAnsi="Times New Roman" w:cs="Times New Roman"/>
                <w:color w:val="auto"/>
                <w:sz w:val="20"/>
                <w:szCs w:val="20"/>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水浴除尘池底固形物</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0.47t/a</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auto"/>
                <w:kern w:val="21"/>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auto"/>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eastAsia" w:ascii="Times New Roman" w:hAnsi="Times New Roman" w:eastAsia="宋体" w:cs="Times New Roman"/>
                <w:snapToGrid w:val="0"/>
                <w:color w:val="auto"/>
                <w:kern w:val="21"/>
                <w:sz w:val="21"/>
                <w:szCs w:val="21"/>
                <w:lang w:val="en-US" w:eastAsia="zh-CN" w:bidi="ar-SA"/>
              </w:rPr>
            </w:pPr>
            <w:r>
              <w:rPr>
                <w:rFonts w:ascii="Times New Roman"/>
                <w:color w:val="auto"/>
                <w:szCs w:val="21"/>
              </w:rPr>
              <w:t>0</w:t>
            </w:r>
            <w:r>
              <w:rPr>
                <w:rFonts w:hint="default" w:ascii="Times New Roman"/>
                <w:color w:val="auto"/>
                <w:szCs w:val="21"/>
              </w:rPr>
              <w:t>t/a</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ascii="Times New Roman"/>
                <w:color w:val="auto"/>
                <w:szCs w:val="21"/>
              </w:rPr>
            </w:pPr>
            <w:r>
              <w:rPr>
                <w:rFonts w:ascii="Times New Roman"/>
                <w:color w:val="auto"/>
                <w:szCs w:val="21"/>
              </w:rPr>
              <w:t>0</w:t>
            </w:r>
            <w:r>
              <w:rPr>
                <w:rFonts w:hint="default" w:ascii="Times New Roman"/>
                <w:color w:val="auto"/>
                <w:szCs w:val="21"/>
              </w:rPr>
              <w:t>t/a</w:t>
            </w: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eastAsia" w:ascii="Times New Roman" w:hAnsi="Times New Roman" w:cs="Times New Roman"/>
                <w:color w:val="auto"/>
                <w:szCs w:val="21"/>
                <w:lang w:val="en-US" w:eastAsia="zh-CN"/>
              </w:rPr>
            </w:pPr>
            <w:r>
              <w:rPr>
                <w:rFonts w:ascii="Times New Roman"/>
                <w:color w:val="auto"/>
                <w:szCs w:val="21"/>
              </w:rPr>
              <w:t>0</w:t>
            </w:r>
            <w:r>
              <w:rPr>
                <w:rFonts w:hint="default" w:ascii="Times New Roman"/>
                <w:color w:val="auto"/>
                <w:szCs w:val="21"/>
              </w:rPr>
              <w:t>t/a</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pStyle w:val="43"/>
              <w:widowControl/>
              <w:spacing w:before="31" w:after="31" w:line="240" w:lineRule="auto"/>
              <w:rPr>
                <w:rFonts w:hint="default" w:ascii="Times New Roman" w:hAnsi="Times New Roman" w:cs="Times New Roman" w:eastAsiaTheme="minorEastAsia"/>
                <w:color w:val="000000"/>
                <w:szCs w:val="21"/>
                <w:lang w:val="en-US" w:eastAsia="zh-CN"/>
              </w:rPr>
            </w:pPr>
            <w:r>
              <w:rPr>
                <w:rFonts w:hint="eastAsia" w:ascii="Times New Roman"/>
                <w:snapToGrid w:val="0"/>
                <w:color w:val="auto"/>
                <w:kern w:val="21"/>
                <w:szCs w:val="21"/>
                <w:lang w:val="en-US" w:eastAsia="zh-CN"/>
              </w:rPr>
              <w:t>-0.47t/a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left w:val="single" w:color="auto" w:sz="8" w:space="0"/>
              <w:right w:val="single" w:color="auto" w:sz="4" w:space="0"/>
            </w:tcBorders>
            <w:shd w:val="clear" w:color="auto" w:fill="auto"/>
            <w:vAlign w:val="center"/>
          </w:tcPr>
          <w:p>
            <w:pPr>
              <w:rPr>
                <w:rFonts w:ascii="Times New Roman" w:hAnsi="Times New Roman" w:cs="Times New Roman"/>
                <w:color w:val="auto"/>
                <w:sz w:val="20"/>
                <w:szCs w:val="20"/>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生物质燃料废包装袋</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0.5t/a</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auto"/>
                <w:kern w:val="21"/>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auto"/>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eastAsia" w:ascii="Times New Roman" w:hAnsi="Times New Roman" w:eastAsia="宋体" w:cs="Times New Roman"/>
                <w:snapToGrid w:val="0"/>
                <w:color w:val="auto"/>
                <w:kern w:val="21"/>
                <w:sz w:val="21"/>
                <w:szCs w:val="21"/>
                <w:lang w:val="en-US" w:eastAsia="zh-CN" w:bidi="ar-SA"/>
              </w:rPr>
            </w:pPr>
            <w:r>
              <w:rPr>
                <w:rFonts w:ascii="Times New Roman"/>
                <w:snapToGrid w:val="0"/>
                <w:color w:val="auto"/>
                <w:kern w:val="21"/>
                <w:szCs w:val="21"/>
              </w:rPr>
              <w:t>0</w:t>
            </w:r>
            <w:r>
              <w:rPr>
                <w:rFonts w:hint="default" w:ascii="Times New Roman"/>
                <w:color w:val="auto"/>
                <w:szCs w:val="21"/>
              </w:rPr>
              <w:t>t/a</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ascii="Times New Roman"/>
                <w:color w:val="auto"/>
                <w:szCs w:val="21"/>
              </w:rPr>
            </w:pPr>
            <w:r>
              <w:rPr>
                <w:rFonts w:ascii="Times New Roman"/>
                <w:snapToGrid w:val="0"/>
                <w:color w:val="auto"/>
                <w:kern w:val="21"/>
                <w:szCs w:val="21"/>
              </w:rPr>
              <w:t>0</w:t>
            </w:r>
            <w:r>
              <w:rPr>
                <w:rFonts w:hint="default" w:ascii="Times New Roman"/>
                <w:color w:val="auto"/>
                <w:szCs w:val="21"/>
              </w:rPr>
              <w:t>t/a</w:t>
            </w: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eastAsia" w:ascii="Times New Roman" w:hAnsi="Times New Roman" w:cs="Times New Roman"/>
                <w:color w:val="auto"/>
                <w:szCs w:val="21"/>
                <w:lang w:val="en-US" w:eastAsia="zh-CN"/>
              </w:rPr>
            </w:pPr>
            <w:r>
              <w:rPr>
                <w:rFonts w:ascii="Times New Roman"/>
                <w:snapToGrid w:val="0"/>
                <w:color w:val="auto"/>
                <w:kern w:val="21"/>
                <w:szCs w:val="21"/>
              </w:rPr>
              <w:t>0</w:t>
            </w:r>
            <w:r>
              <w:rPr>
                <w:rFonts w:hint="default" w:ascii="Times New Roman"/>
                <w:color w:val="auto"/>
                <w:szCs w:val="21"/>
              </w:rPr>
              <w:t>t/a</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pStyle w:val="43"/>
              <w:widowControl/>
              <w:spacing w:before="31" w:after="31" w:line="240" w:lineRule="auto"/>
              <w:rPr>
                <w:rFonts w:hint="eastAsia" w:ascii="Times New Roman" w:hAnsi="Times New Roman" w:cs="Times New Roman"/>
                <w:color w:val="000000"/>
                <w:szCs w:val="21"/>
              </w:rPr>
            </w:pPr>
            <w:r>
              <w:rPr>
                <w:rFonts w:hint="eastAsia" w:ascii="Times New Roman"/>
                <w:snapToGrid w:val="0"/>
                <w:color w:val="auto"/>
                <w:kern w:val="21"/>
                <w:szCs w:val="21"/>
                <w:lang w:val="en-US" w:eastAsia="zh-CN"/>
              </w:rPr>
              <w:t>-0.5t/a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left w:val="single" w:color="auto" w:sz="8" w:space="0"/>
              <w:right w:val="single" w:color="auto" w:sz="4" w:space="0"/>
            </w:tcBorders>
            <w:shd w:val="clear" w:color="auto" w:fill="auto"/>
            <w:vAlign w:val="center"/>
          </w:tcPr>
          <w:p>
            <w:pPr>
              <w:rPr>
                <w:rFonts w:ascii="Times New Roman" w:hAnsi="Times New Roman" w:cs="Times New Roman"/>
                <w:color w:val="auto"/>
                <w:sz w:val="20"/>
                <w:szCs w:val="20"/>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废离子交换树脂</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0.1t/a</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auto"/>
                <w:kern w:val="21"/>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auto"/>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eastAsia" w:ascii="Times New Roman" w:hAnsi="Times New Roman" w:eastAsia="宋体" w:cs="Times New Roman"/>
                <w:snapToGrid w:val="0"/>
                <w:color w:val="auto"/>
                <w:kern w:val="21"/>
                <w:sz w:val="21"/>
                <w:szCs w:val="21"/>
                <w:lang w:val="en-US" w:eastAsia="zh-CN" w:bidi="ar-SA"/>
              </w:rPr>
            </w:pPr>
            <w:r>
              <w:rPr>
                <w:rFonts w:ascii="Times New Roman"/>
                <w:color w:val="auto"/>
                <w:szCs w:val="21"/>
              </w:rPr>
              <w:t>0</w:t>
            </w:r>
            <w:r>
              <w:rPr>
                <w:rFonts w:hint="default" w:ascii="Times New Roman"/>
                <w:color w:val="auto"/>
                <w:szCs w:val="21"/>
              </w:rPr>
              <w:t>t/a</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ascii="Times New Roman"/>
                <w:color w:val="auto"/>
                <w:szCs w:val="21"/>
              </w:rPr>
            </w:pPr>
            <w:r>
              <w:rPr>
                <w:rFonts w:ascii="Times New Roman"/>
                <w:color w:val="auto"/>
                <w:szCs w:val="21"/>
              </w:rPr>
              <w:t>0</w:t>
            </w:r>
            <w:r>
              <w:rPr>
                <w:rFonts w:hint="default" w:ascii="Times New Roman"/>
                <w:color w:val="auto"/>
                <w:szCs w:val="21"/>
              </w:rPr>
              <w:t>t/a</w:t>
            </w: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eastAsia" w:ascii="Times New Roman" w:hAnsi="Times New Roman" w:cs="Times New Roman"/>
                <w:color w:val="auto"/>
                <w:szCs w:val="21"/>
                <w:lang w:val="en-US" w:eastAsia="zh-CN"/>
              </w:rPr>
            </w:pPr>
            <w:r>
              <w:rPr>
                <w:rFonts w:ascii="Times New Roman"/>
                <w:color w:val="auto"/>
                <w:szCs w:val="21"/>
              </w:rPr>
              <w:t>0</w:t>
            </w:r>
            <w:r>
              <w:rPr>
                <w:rFonts w:hint="default" w:ascii="Times New Roman"/>
                <w:color w:val="auto"/>
                <w:szCs w:val="21"/>
              </w:rPr>
              <w:t>t/a</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pStyle w:val="43"/>
              <w:widowControl/>
              <w:spacing w:before="31" w:after="31" w:line="240" w:lineRule="auto"/>
              <w:rPr>
                <w:rFonts w:hint="eastAsia" w:ascii="Times New Roman" w:hAnsi="Times New Roman" w:cs="Times New Roman"/>
                <w:color w:val="000000"/>
                <w:szCs w:val="21"/>
              </w:rPr>
            </w:pPr>
            <w:r>
              <w:rPr>
                <w:rFonts w:hint="eastAsia" w:ascii="Times New Roman"/>
                <w:snapToGrid w:val="0"/>
                <w:color w:val="auto"/>
                <w:kern w:val="21"/>
                <w:szCs w:val="21"/>
                <w:lang w:val="en-US" w:eastAsia="zh-CN"/>
              </w:rPr>
              <w:t>-0.1t/a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tcBorders>
              <w:top w:val="single" w:color="auto" w:sz="4" w:space="0"/>
              <w:left w:val="single" w:color="auto" w:sz="8" w:space="0"/>
              <w:bottom w:val="single" w:color="auto" w:sz="8" w:space="0"/>
              <w:right w:val="single" w:color="auto" w:sz="4" w:space="0"/>
            </w:tcBorders>
            <w:shd w:val="clear" w:color="auto" w:fill="auto"/>
            <w:vAlign w:val="center"/>
          </w:tcPr>
          <w:p>
            <w:pPr>
              <w:pStyle w:val="43"/>
              <w:widowControl/>
              <w:spacing w:before="31" w:after="31" w:line="240" w:lineRule="auto"/>
              <w:rPr>
                <w:rFonts w:hint="default" w:ascii="Times New Roman"/>
                <w:color w:val="auto"/>
                <w:kern w:val="21"/>
                <w:szCs w:val="21"/>
              </w:rPr>
            </w:pPr>
            <w:r>
              <w:rPr>
                <w:rFonts w:hint="default" w:ascii="Times New Roman"/>
                <w:snapToGrid w:val="0"/>
                <w:color w:val="auto"/>
                <w:kern w:val="21"/>
                <w:szCs w:val="21"/>
              </w:rPr>
              <w:t>危险废物</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rPr>
              <w:t>废润滑油</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before="31" w:after="31" w:line="240" w:lineRule="auto"/>
              <w:jc w:val="center"/>
              <w:rPr>
                <w:rFonts w:hint="default" w:ascii="Times New Roman"/>
                <w:snapToGrid w:val="0"/>
                <w:color w:val="auto"/>
                <w:kern w:val="21"/>
                <w:szCs w:val="21"/>
              </w:rPr>
            </w:pPr>
            <w:r>
              <w:rPr>
                <w:rFonts w:ascii="Times New Roman"/>
                <w:snapToGrid w:val="0"/>
                <w:color w:val="auto"/>
                <w:kern w:val="21"/>
                <w:szCs w:val="21"/>
              </w:rPr>
              <w:t>0</w:t>
            </w:r>
            <w:r>
              <w:rPr>
                <w:rFonts w:hint="default" w:ascii="Times New Roman"/>
                <w:color w:val="auto"/>
                <w:szCs w:val="21"/>
              </w:rPr>
              <w:t>t/a</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auto"/>
                <w:kern w:val="21"/>
                <w:szCs w:val="21"/>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auto"/>
                <w:kern w:val="21"/>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imes New Roman"/>
                <w:snapToGrid w:val="0"/>
                <w:color w:val="auto"/>
                <w:kern w:val="21"/>
                <w:szCs w:val="21"/>
              </w:rPr>
            </w:pPr>
            <w:r>
              <w:rPr>
                <w:rFonts w:hint="eastAsia" w:ascii="Times New Roman" w:hAnsi="Times New Roman" w:cs="Times New Roman"/>
                <w:color w:val="auto"/>
                <w:szCs w:val="21"/>
              </w:rPr>
              <w:t>0.</w:t>
            </w:r>
            <w:r>
              <w:rPr>
                <w:rFonts w:hint="eastAsia" w:ascii="Times New Roman" w:hAnsi="Times New Roman" w:cs="Times New Roman"/>
                <w:color w:val="auto"/>
                <w:szCs w:val="21"/>
                <w:lang w:val="en-US" w:eastAsia="zh-CN"/>
              </w:rPr>
              <w:t>2</w:t>
            </w:r>
            <w:r>
              <w:rPr>
                <w:rFonts w:hint="eastAsia" w:ascii="Times New Roman" w:hAnsi="Times New Roman" w:cs="Times New Roman"/>
                <w:color w:val="auto"/>
                <w:szCs w:val="21"/>
              </w:rPr>
              <w:t>t/a</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auto"/>
                <w:kern w:val="21"/>
                <w:szCs w:val="21"/>
              </w:rPr>
            </w:pPr>
            <w:r>
              <w:rPr>
                <w:rFonts w:ascii="Times New Roman"/>
                <w:snapToGrid w:val="0"/>
                <w:color w:val="auto"/>
                <w:kern w:val="21"/>
                <w:szCs w:val="21"/>
              </w:rPr>
              <w:t>0</w:t>
            </w:r>
            <w:r>
              <w:rPr>
                <w:rFonts w:hint="default" w:ascii="Times New Roman"/>
                <w:color w:val="auto"/>
                <w:szCs w:val="21"/>
              </w:rPr>
              <w:t>t/a</w:t>
            </w:r>
          </w:p>
        </w:tc>
        <w:tc>
          <w:tcPr>
            <w:tcW w:w="1689"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hint="default" w:ascii="Times New Roman"/>
                <w:snapToGrid w:val="0"/>
                <w:color w:val="auto"/>
                <w:kern w:val="21"/>
                <w:szCs w:val="21"/>
              </w:rPr>
            </w:pPr>
            <w:r>
              <w:rPr>
                <w:rFonts w:hint="eastAsia" w:ascii="Times New Roman" w:hAnsi="Times New Roman" w:cs="Times New Roman"/>
                <w:color w:val="auto"/>
                <w:szCs w:val="21"/>
              </w:rPr>
              <w:t>0.</w:t>
            </w:r>
            <w:r>
              <w:rPr>
                <w:rFonts w:hint="eastAsia" w:ascii="Times New Roman" w:hAnsi="Times New Roman" w:cs="Times New Roman"/>
                <w:color w:val="auto"/>
                <w:szCs w:val="21"/>
                <w:lang w:val="en-US" w:eastAsia="zh-CN"/>
              </w:rPr>
              <w:t>2</w:t>
            </w:r>
            <w:r>
              <w:rPr>
                <w:rFonts w:hint="eastAsia" w:ascii="Times New Roman" w:hAnsi="Times New Roman" w:cs="Times New Roman"/>
                <w:color w:val="auto"/>
                <w:szCs w:val="21"/>
              </w:rPr>
              <w:t>t/a</w:t>
            </w:r>
          </w:p>
        </w:tc>
        <w:tc>
          <w:tcPr>
            <w:tcW w:w="1475" w:type="dxa"/>
            <w:tcBorders>
              <w:top w:val="single" w:color="auto" w:sz="4" w:space="0"/>
              <w:left w:val="single" w:color="auto" w:sz="4" w:space="0"/>
              <w:bottom w:val="single" w:color="auto" w:sz="4" w:space="0"/>
              <w:right w:val="single" w:color="auto" w:sz="8" w:space="0"/>
            </w:tcBorders>
            <w:shd w:val="clear" w:color="auto" w:fill="auto"/>
            <w:vAlign w:val="center"/>
          </w:tcPr>
          <w:p>
            <w:pPr>
              <w:snapToGrid w:val="0"/>
              <w:jc w:val="center"/>
              <w:rPr>
                <w:rFonts w:ascii="Times New Roman"/>
                <w:snapToGrid w:val="0"/>
                <w:color w:val="000000"/>
                <w:kern w:val="21"/>
                <w:szCs w:val="21"/>
              </w:rPr>
            </w:pPr>
            <w:r>
              <w:rPr>
                <w:rFonts w:hint="eastAsia" w:ascii="Times New Roman" w:hAnsi="Times New Roman" w:cs="Times New Roman"/>
                <w:color w:val="000000"/>
                <w:szCs w:val="21"/>
              </w:rPr>
              <w:t>+0.</w:t>
            </w:r>
            <w:r>
              <w:rPr>
                <w:rFonts w:hint="eastAsia" w:ascii="Times New Roman" w:hAnsi="Times New Roman" w:cs="Times New Roman"/>
                <w:color w:val="000000"/>
                <w:szCs w:val="21"/>
                <w:lang w:val="en-US" w:eastAsia="zh-CN"/>
              </w:rPr>
              <w:t>2</w:t>
            </w:r>
            <w:r>
              <w:rPr>
                <w:rFonts w:hint="eastAsia" w:ascii="Times New Roman" w:hAnsi="Times New Roman" w:cs="Times New Roman"/>
                <w:color w:val="000000"/>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top w:val="single" w:color="auto" w:sz="4" w:space="0"/>
              <w:left w:val="single" w:color="auto" w:sz="8" w:space="0"/>
              <w:bottom w:val="single" w:color="auto" w:sz="8" w:space="0"/>
              <w:right w:val="single" w:color="auto" w:sz="4" w:space="0"/>
            </w:tcBorders>
            <w:shd w:val="clear" w:color="auto" w:fill="auto"/>
            <w:vAlign w:val="center"/>
          </w:tcPr>
          <w:p>
            <w:pPr>
              <w:rPr>
                <w:rFonts w:ascii="Times New Roman" w:hAnsi="Times New Roman" w:cs="Times New Roman"/>
                <w:color w:val="auto"/>
                <w:sz w:val="20"/>
                <w:szCs w:val="20"/>
              </w:rPr>
            </w:pPr>
          </w:p>
        </w:tc>
        <w:tc>
          <w:tcPr>
            <w:tcW w:w="1417" w:type="dxa"/>
            <w:tcBorders>
              <w:top w:val="single" w:color="auto" w:sz="4" w:space="0"/>
              <w:left w:val="single" w:color="auto" w:sz="4" w:space="0"/>
              <w:bottom w:val="single" w:color="auto" w:sz="8" w:space="0"/>
              <w:right w:val="single" w:color="auto" w:sz="4" w:space="0"/>
            </w:tcBorders>
            <w:shd w:val="clear" w:color="auto" w:fill="auto"/>
            <w:vAlign w:val="center"/>
          </w:tcPr>
          <w:p>
            <w:pPr>
              <w:jc w:val="center"/>
              <w:rPr>
                <w:rFonts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rPr>
              <w:t>废油桶</w:t>
            </w:r>
          </w:p>
        </w:tc>
        <w:tc>
          <w:tcPr>
            <w:tcW w:w="1702" w:type="dxa"/>
            <w:tcBorders>
              <w:top w:val="single" w:color="auto" w:sz="4" w:space="0"/>
              <w:left w:val="single" w:color="auto" w:sz="4" w:space="0"/>
              <w:bottom w:val="single" w:color="auto" w:sz="8" w:space="0"/>
              <w:right w:val="single" w:color="auto" w:sz="4" w:space="0"/>
            </w:tcBorders>
            <w:shd w:val="clear" w:color="auto" w:fill="auto"/>
            <w:vAlign w:val="center"/>
          </w:tcPr>
          <w:p>
            <w:pPr>
              <w:widowControl/>
              <w:spacing w:before="31" w:after="31" w:line="240" w:lineRule="auto"/>
              <w:jc w:val="center"/>
              <w:rPr>
                <w:rFonts w:hint="default" w:ascii="Times New Roman"/>
                <w:snapToGrid w:val="0"/>
                <w:color w:val="auto"/>
                <w:kern w:val="21"/>
                <w:szCs w:val="21"/>
              </w:rPr>
            </w:pPr>
            <w:r>
              <w:rPr>
                <w:rFonts w:ascii="Times New Roman"/>
                <w:snapToGrid w:val="0"/>
                <w:color w:val="auto"/>
                <w:kern w:val="21"/>
                <w:szCs w:val="21"/>
              </w:rPr>
              <w:t>0</w:t>
            </w:r>
            <w:r>
              <w:rPr>
                <w:rFonts w:hint="default" w:ascii="Times New Roman"/>
                <w:color w:val="auto"/>
                <w:szCs w:val="21"/>
              </w:rPr>
              <w:t>t/a</w:t>
            </w: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auto"/>
                <w:kern w:val="21"/>
                <w:szCs w:val="21"/>
              </w:rPr>
            </w:pPr>
          </w:p>
        </w:tc>
        <w:tc>
          <w:tcPr>
            <w:tcW w:w="1702" w:type="dxa"/>
            <w:tcBorders>
              <w:top w:val="single" w:color="auto" w:sz="4" w:space="0"/>
              <w:left w:val="single" w:color="auto" w:sz="4" w:space="0"/>
              <w:bottom w:val="single" w:color="auto" w:sz="8"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auto"/>
                <w:kern w:val="21"/>
                <w:szCs w:val="21"/>
              </w:rPr>
            </w:pPr>
          </w:p>
        </w:tc>
        <w:tc>
          <w:tcPr>
            <w:tcW w:w="1559" w:type="dxa"/>
            <w:tcBorders>
              <w:top w:val="single" w:color="auto" w:sz="4" w:space="0"/>
              <w:left w:val="single" w:color="auto" w:sz="4" w:space="0"/>
              <w:bottom w:val="single" w:color="auto" w:sz="8" w:space="0"/>
              <w:right w:val="single" w:color="auto" w:sz="4" w:space="0"/>
            </w:tcBorders>
            <w:shd w:val="clear" w:color="auto" w:fill="auto"/>
            <w:vAlign w:val="center"/>
          </w:tcPr>
          <w:p>
            <w:pPr>
              <w:snapToGrid w:val="0"/>
              <w:jc w:val="center"/>
              <w:rPr>
                <w:rFonts w:ascii="Times New Roman"/>
                <w:snapToGrid w:val="0"/>
                <w:color w:val="auto"/>
                <w:kern w:val="21"/>
                <w:szCs w:val="21"/>
              </w:rPr>
            </w:pPr>
            <w:r>
              <w:rPr>
                <w:rFonts w:hint="eastAsia" w:ascii="Times New Roman" w:hAnsi="Times New Roman" w:cs="Times New Roman"/>
                <w:color w:val="auto"/>
                <w:szCs w:val="21"/>
              </w:rPr>
              <w:t>0.</w:t>
            </w:r>
            <w:r>
              <w:rPr>
                <w:rFonts w:hint="eastAsia" w:ascii="Times New Roman" w:hAnsi="Times New Roman" w:cs="Times New Roman"/>
                <w:color w:val="auto"/>
                <w:szCs w:val="21"/>
                <w:lang w:val="en-US" w:eastAsia="zh-CN"/>
              </w:rPr>
              <w:t>1</w:t>
            </w:r>
            <w:r>
              <w:rPr>
                <w:rFonts w:hint="eastAsia" w:ascii="Times New Roman" w:hAnsi="Times New Roman" w:cs="Times New Roman"/>
                <w:color w:val="auto"/>
                <w:szCs w:val="21"/>
              </w:rPr>
              <w:t>t/a</w:t>
            </w:r>
          </w:p>
        </w:tc>
        <w:tc>
          <w:tcPr>
            <w:tcW w:w="1382" w:type="dxa"/>
            <w:tcBorders>
              <w:top w:val="single" w:color="auto" w:sz="4" w:space="0"/>
              <w:left w:val="single" w:color="auto" w:sz="4" w:space="0"/>
              <w:bottom w:val="single" w:color="auto" w:sz="8" w:space="0"/>
              <w:right w:val="single" w:color="auto" w:sz="4" w:space="0"/>
            </w:tcBorders>
            <w:shd w:val="clear" w:color="auto" w:fill="auto"/>
            <w:vAlign w:val="center"/>
          </w:tcPr>
          <w:p>
            <w:pPr>
              <w:pStyle w:val="43"/>
              <w:widowControl/>
              <w:spacing w:before="31" w:after="31" w:line="240" w:lineRule="auto"/>
              <w:rPr>
                <w:rFonts w:hint="default" w:ascii="Times New Roman"/>
                <w:snapToGrid w:val="0"/>
                <w:color w:val="auto"/>
                <w:kern w:val="21"/>
                <w:szCs w:val="21"/>
              </w:rPr>
            </w:pPr>
            <w:r>
              <w:rPr>
                <w:rFonts w:ascii="Times New Roman"/>
                <w:color w:val="auto"/>
                <w:szCs w:val="21"/>
              </w:rPr>
              <w:t>0</w:t>
            </w:r>
            <w:r>
              <w:rPr>
                <w:rFonts w:hint="default" w:ascii="Times New Roman"/>
                <w:color w:val="auto"/>
                <w:szCs w:val="21"/>
              </w:rPr>
              <w:t>t/a</w:t>
            </w:r>
          </w:p>
        </w:tc>
        <w:tc>
          <w:tcPr>
            <w:tcW w:w="1689" w:type="dxa"/>
            <w:tcBorders>
              <w:top w:val="single" w:color="auto" w:sz="4" w:space="0"/>
              <w:left w:val="single" w:color="auto" w:sz="4" w:space="0"/>
              <w:bottom w:val="single" w:color="auto" w:sz="8" w:space="0"/>
              <w:right w:val="single" w:color="auto" w:sz="4" w:space="0"/>
            </w:tcBorders>
            <w:shd w:val="clear" w:color="auto" w:fill="auto"/>
            <w:vAlign w:val="center"/>
          </w:tcPr>
          <w:p>
            <w:pPr>
              <w:snapToGrid w:val="0"/>
              <w:jc w:val="center"/>
              <w:rPr>
                <w:rFonts w:hint="default" w:ascii="Times New Roman"/>
                <w:snapToGrid w:val="0"/>
                <w:color w:val="auto"/>
                <w:kern w:val="21"/>
                <w:szCs w:val="21"/>
              </w:rPr>
            </w:pPr>
            <w:r>
              <w:rPr>
                <w:rFonts w:hint="eastAsia" w:ascii="Times New Roman" w:hAnsi="Times New Roman" w:cs="Times New Roman"/>
                <w:color w:val="auto"/>
                <w:szCs w:val="21"/>
              </w:rPr>
              <w:t>0.</w:t>
            </w:r>
            <w:r>
              <w:rPr>
                <w:rFonts w:hint="eastAsia" w:ascii="Times New Roman" w:hAnsi="Times New Roman" w:cs="Times New Roman"/>
                <w:color w:val="auto"/>
                <w:szCs w:val="21"/>
                <w:lang w:val="en-US" w:eastAsia="zh-CN"/>
              </w:rPr>
              <w:t>1</w:t>
            </w:r>
            <w:r>
              <w:rPr>
                <w:rFonts w:hint="eastAsia" w:ascii="Times New Roman" w:hAnsi="Times New Roman" w:cs="Times New Roman"/>
                <w:color w:val="auto"/>
                <w:szCs w:val="21"/>
              </w:rPr>
              <w:t>t/a</w:t>
            </w:r>
          </w:p>
        </w:tc>
        <w:tc>
          <w:tcPr>
            <w:tcW w:w="1475" w:type="dxa"/>
            <w:tcBorders>
              <w:top w:val="single" w:color="auto" w:sz="4" w:space="0"/>
              <w:left w:val="single" w:color="auto" w:sz="4" w:space="0"/>
              <w:bottom w:val="single" w:color="auto" w:sz="8" w:space="0"/>
              <w:right w:val="single" w:color="auto" w:sz="8" w:space="0"/>
            </w:tcBorders>
            <w:shd w:val="clear" w:color="auto" w:fill="auto"/>
            <w:vAlign w:val="center"/>
          </w:tcPr>
          <w:p>
            <w:pPr>
              <w:snapToGrid w:val="0"/>
              <w:jc w:val="center"/>
              <w:rPr>
                <w:rFonts w:ascii="Times New Roman"/>
                <w:snapToGrid w:val="0"/>
                <w:color w:val="000000"/>
                <w:kern w:val="21"/>
                <w:szCs w:val="21"/>
              </w:rPr>
            </w:pPr>
            <w:r>
              <w:rPr>
                <w:rFonts w:hint="eastAsia" w:ascii="Times New Roman" w:hAnsi="Times New Roman" w:cs="Times New Roman"/>
                <w:color w:val="000000"/>
                <w:szCs w:val="21"/>
              </w:rPr>
              <w:t>+0.</w:t>
            </w:r>
            <w:r>
              <w:rPr>
                <w:rFonts w:hint="eastAsia" w:ascii="Times New Roman" w:hAnsi="Times New Roman" w:cs="Times New Roman"/>
                <w:color w:val="000000"/>
                <w:szCs w:val="21"/>
                <w:lang w:val="en-US" w:eastAsia="zh-CN"/>
              </w:rPr>
              <w:t>1</w:t>
            </w:r>
            <w:r>
              <w:rPr>
                <w:rFonts w:hint="eastAsia" w:ascii="Times New Roman" w:hAnsi="Times New Roman" w:cs="Times New Roman"/>
                <w:color w:val="000000"/>
                <w:szCs w:val="21"/>
              </w:rPr>
              <w:t>t/a</w:t>
            </w:r>
          </w:p>
        </w:tc>
      </w:tr>
    </w:tbl>
    <w:p>
      <w:pPr>
        <w:pStyle w:val="43"/>
        <w:widowControl/>
        <w:spacing w:before="249" w:beforeLines="80" w:after="31"/>
        <w:jc w:val="left"/>
        <w:rPr>
          <w:rFonts w:hAnsi="宋体"/>
          <w:color w:val="000000"/>
          <w:spacing w:val="-6"/>
          <w:kern w:val="21"/>
          <w:szCs w:val="21"/>
        </w:rPr>
        <w:sectPr>
          <w:footerReference r:id="rId4" w:type="default"/>
          <w:pgSz w:w="16838" w:h="11906" w:orient="landscape"/>
          <w:pgMar w:top="1531" w:right="1702" w:bottom="1531" w:left="1702" w:header="851" w:footer="851" w:gutter="0"/>
          <w:cols w:space="425" w:num="1"/>
          <w:docGrid w:type="lines" w:linePitch="312" w:charSpace="0"/>
        </w:sectPr>
      </w:pPr>
      <w:r>
        <w:rPr>
          <w:rFonts w:hAnsi="宋体"/>
          <w:snapToGrid w:val="0"/>
          <w:color w:val="000000"/>
          <w:kern w:val="21"/>
          <w:szCs w:val="21"/>
        </w:rPr>
        <w:t>注：</w:t>
      </w:r>
      <w:r>
        <w:rPr>
          <w:rFonts w:hAnsi="宋体"/>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color w:val="000000"/>
          <w:spacing w:val="-16"/>
          <w:kern w:val="21"/>
          <w:szCs w:val="21"/>
        </w:rPr>
        <w:fldChar w:fldCharType="separate"/>
      </w:r>
      <w:r>
        <w:rPr>
          <w:rFonts w:hAnsi="宋体"/>
          <w:szCs w:val="21"/>
        </w:rPr>
        <w:t>⑥</w:t>
      </w:r>
      <w:r>
        <w:rPr>
          <w:rFonts w:hAnsi="宋体"/>
          <w:color w:val="000000"/>
          <w:spacing w:val="-16"/>
          <w:kern w:val="21"/>
          <w:szCs w:val="21"/>
        </w:rPr>
        <w:fldChar w:fldCharType="end"/>
      </w:r>
      <w:r>
        <w:rPr>
          <w:rFonts w:hAnsi="宋体"/>
          <w:snapToGrid w:val="0"/>
          <w:color w:val="000000"/>
          <w:spacing w:val="-16"/>
          <w:kern w:val="21"/>
          <w:szCs w:val="21"/>
        </w:rPr>
        <w:t>=</w:t>
      </w:r>
      <w:r>
        <w:rPr>
          <w:rFonts w:hAnsi="宋体"/>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color w:val="000000"/>
          <w:spacing w:val="-6"/>
          <w:kern w:val="21"/>
          <w:szCs w:val="21"/>
        </w:rPr>
        <w:fldChar w:fldCharType="separate"/>
      </w:r>
      <w:r>
        <w:rPr>
          <w:rFonts w:hAnsi="宋体"/>
          <w:szCs w:val="21"/>
        </w:rPr>
        <w:t>①</w:t>
      </w:r>
      <w:r>
        <w:rPr>
          <w:rFonts w:hAnsi="宋体"/>
          <w:color w:val="000000"/>
          <w:spacing w:val="-6"/>
          <w:kern w:val="21"/>
          <w:szCs w:val="21"/>
        </w:rPr>
        <w:fldChar w:fldCharType="end"/>
      </w:r>
      <w:r>
        <w:rPr>
          <w:rFonts w:hAnsi="宋体"/>
          <w:snapToGrid w:val="0"/>
          <w:color w:val="000000"/>
          <w:spacing w:val="-6"/>
          <w:kern w:val="21"/>
          <w:szCs w:val="21"/>
        </w:rPr>
        <w:t>+</w:t>
      </w:r>
      <w:r>
        <w:rPr>
          <w:rFonts w:hAnsi="宋体"/>
          <w:color w:val="000000"/>
          <w:spacing w:val="-6"/>
          <w:kern w:val="21"/>
          <w:szCs w:val="21"/>
        </w:rPr>
        <w:fldChar w:fldCharType="begin"/>
      </w:r>
      <w:r>
        <w:rPr>
          <w:rFonts w:hAnsi="宋体"/>
          <w:snapToGrid w:val="0"/>
          <w:color w:val="000000"/>
          <w:spacing w:val="-6"/>
          <w:kern w:val="21"/>
          <w:szCs w:val="21"/>
        </w:rPr>
        <w:instrText xml:space="preserve"> = 3 \* GB3 \* MERGEFORMAT </w:instrText>
      </w:r>
      <w:r>
        <w:rPr>
          <w:rFonts w:hAnsi="宋体"/>
          <w:color w:val="000000"/>
          <w:spacing w:val="-6"/>
          <w:kern w:val="21"/>
          <w:szCs w:val="21"/>
        </w:rPr>
        <w:fldChar w:fldCharType="separate"/>
      </w:r>
      <w:r>
        <w:rPr>
          <w:rFonts w:hAnsi="宋体"/>
          <w:szCs w:val="21"/>
        </w:rPr>
        <w:t>③</w:t>
      </w:r>
      <w:r>
        <w:rPr>
          <w:rFonts w:hAnsi="宋体"/>
          <w:color w:val="000000"/>
          <w:spacing w:val="-6"/>
          <w:kern w:val="21"/>
          <w:szCs w:val="21"/>
        </w:rPr>
        <w:fldChar w:fldCharType="end"/>
      </w:r>
      <w:r>
        <w:rPr>
          <w:rFonts w:hAnsi="宋体"/>
          <w:snapToGrid w:val="0"/>
          <w:color w:val="000000"/>
          <w:spacing w:val="-6"/>
          <w:kern w:val="21"/>
          <w:szCs w:val="21"/>
        </w:rPr>
        <w:t>+</w:t>
      </w:r>
      <w:r>
        <w:rPr>
          <w:rFonts w:hAnsi="宋体"/>
          <w:color w:val="000000"/>
          <w:spacing w:val="-6"/>
          <w:kern w:val="21"/>
          <w:szCs w:val="21"/>
        </w:rPr>
        <w:fldChar w:fldCharType="begin"/>
      </w:r>
      <w:r>
        <w:rPr>
          <w:rFonts w:hAnsi="宋体"/>
          <w:snapToGrid w:val="0"/>
          <w:color w:val="000000"/>
          <w:spacing w:val="-6"/>
          <w:kern w:val="21"/>
          <w:szCs w:val="21"/>
        </w:rPr>
        <w:instrText xml:space="preserve"> = 4 \* GB3 \* MERGEFORMAT </w:instrText>
      </w:r>
      <w:r>
        <w:rPr>
          <w:rFonts w:hAnsi="宋体"/>
          <w:color w:val="000000"/>
          <w:spacing w:val="-6"/>
          <w:kern w:val="21"/>
          <w:szCs w:val="21"/>
        </w:rPr>
        <w:fldChar w:fldCharType="separate"/>
      </w:r>
      <w:r>
        <w:rPr>
          <w:rFonts w:hAnsi="宋体"/>
          <w:szCs w:val="21"/>
        </w:rPr>
        <w:t>④</w:t>
      </w:r>
      <w:r>
        <w:rPr>
          <w:rFonts w:hAnsi="宋体"/>
          <w:color w:val="000000"/>
          <w:spacing w:val="-6"/>
          <w:kern w:val="21"/>
          <w:szCs w:val="21"/>
        </w:rPr>
        <w:fldChar w:fldCharType="end"/>
      </w:r>
      <w:r>
        <w:rPr>
          <w:rFonts w:hAnsi="宋体"/>
          <w:snapToGrid w:val="0"/>
          <w:color w:val="000000"/>
          <w:spacing w:val="-6"/>
          <w:kern w:val="21"/>
          <w:szCs w:val="21"/>
        </w:rPr>
        <w:t>-</w:t>
      </w:r>
      <w:r>
        <w:rPr>
          <w:rFonts w:hAnsi="宋体"/>
          <w:color w:val="000000"/>
          <w:spacing w:val="-16"/>
          <w:kern w:val="21"/>
          <w:szCs w:val="21"/>
        </w:rPr>
        <w:fldChar w:fldCharType="begin"/>
      </w:r>
      <w:r>
        <w:rPr>
          <w:rFonts w:hAnsi="宋体"/>
          <w:snapToGrid w:val="0"/>
          <w:color w:val="000000"/>
          <w:spacing w:val="-16"/>
          <w:kern w:val="21"/>
          <w:szCs w:val="21"/>
        </w:rPr>
        <w:instrText xml:space="preserve"> = 5 \* GB3 \* MERGEFORMAT </w:instrText>
      </w:r>
      <w:r>
        <w:rPr>
          <w:rFonts w:hAnsi="宋体"/>
          <w:color w:val="000000"/>
          <w:spacing w:val="-16"/>
          <w:kern w:val="21"/>
          <w:szCs w:val="21"/>
        </w:rPr>
        <w:fldChar w:fldCharType="separate"/>
      </w:r>
      <w:r>
        <w:rPr>
          <w:rFonts w:hAnsi="宋体"/>
          <w:szCs w:val="21"/>
        </w:rPr>
        <w:t>⑤</w:t>
      </w:r>
      <w:r>
        <w:rPr>
          <w:rFonts w:hAnsi="宋体"/>
          <w:color w:val="000000"/>
          <w:spacing w:val="-16"/>
          <w:kern w:val="21"/>
          <w:szCs w:val="21"/>
        </w:rPr>
        <w:fldChar w:fldCharType="end"/>
      </w:r>
      <w:r>
        <w:rPr>
          <w:rFonts w:hAnsi="宋体"/>
          <w:snapToGrid w:val="0"/>
          <w:color w:val="000000"/>
          <w:spacing w:val="-16"/>
          <w:kern w:val="21"/>
          <w:szCs w:val="21"/>
        </w:rPr>
        <w:t>；</w:t>
      </w:r>
      <w:r>
        <w:rPr>
          <w:rFonts w:hAnsi="宋体"/>
          <w:color w:val="000000"/>
          <w:spacing w:val="-6"/>
          <w:kern w:val="21"/>
          <w:szCs w:val="21"/>
        </w:rPr>
        <w:fldChar w:fldCharType="begin"/>
      </w:r>
      <w:r>
        <w:rPr>
          <w:rFonts w:hAnsi="宋体"/>
          <w:snapToGrid w:val="0"/>
          <w:color w:val="000000"/>
          <w:spacing w:val="-6"/>
          <w:kern w:val="21"/>
          <w:szCs w:val="21"/>
        </w:rPr>
        <w:instrText xml:space="preserve"> = 7 \* GB3 \* MERGEFORMAT </w:instrText>
      </w:r>
      <w:r>
        <w:rPr>
          <w:rFonts w:hAnsi="宋体"/>
          <w:color w:val="000000"/>
          <w:spacing w:val="-6"/>
          <w:kern w:val="21"/>
          <w:szCs w:val="21"/>
        </w:rPr>
        <w:fldChar w:fldCharType="separate"/>
      </w:r>
      <w:r>
        <w:rPr>
          <w:rFonts w:hAnsi="宋体"/>
          <w:szCs w:val="21"/>
        </w:rPr>
        <w:t>⑦</w:t>
      </w:r>
      <w:r>
        <w:rPr>
          <w:rFonts w:hAnsi="宋体"/>
          <w:color w:val="000000"/>
          <w:spacing w:val="-6"/>
          <w:kern w:val="21"/>
          <w:szCs w:val="21"/>
        </w:rPr>
        <w:fldChar w:fldCharType="end"/>
      </w:r>
      <w:r>
        <w:rPr>
          <w:rFonts w:hAnsi="宋体"/>
          <w:snapToGrid w:val="0"/>
          <w:color w:val="000000"/>
          <w:spacing w:val="-6"/>
          <w:kern w:val="21"/>
          <w:szCs w:val="21"/>
        </w:rPr>
        <w:t>=</w:t>
      </w:r>
      <w:r>
        <w:rPr>
          <w:rFonts w:hAnsi="宋体"/>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color w:val="000000"/>
          <w:spacing w:val="-16"/>
          <w:kern w:val="21"/>
          <w:szCs w:val="21"/>
        </w:rPr>
        <w:fldChar w:fldCharType="separate"/>
      </w:r>
      <w:r>
        <w:rPr>
          <w:rFonts w:hAnsi="宋体"/>
          <w:szCs w:val="21"/>
        </w:rPr>
        <w:t>⑥</w:t>
      </w:r>
      <w:r>
        <w:rPr>
          <w:rFonts w:hAnsi="宋体"/>
          <w:color w:val="000000"/>
          <w:spacing w:val="-16"/>
          <w:kern w:val="21"/>
          <w:szCs w:val="21"/>
        </w:rPr>
        <w:fldChar w:fldCharType="end"/>
      </w:r>
      <w:r>
        <w:rPr>
          <w:rFonts w:hAnsi="宋体"/>
          <w:snapToGrid w:val="0"/>
          <w:color w:val="000000"/>
          <w:spacing w:val="-16"/>
          <w:kern w:val="21"/>
          <w:szCs w:val="21"/>
        </w:rPr>
        <w:t>-</w:t>
      </w:r>
      <w:r>
        <w:rPr>
          <w:rFonts w:hAnsi="宋体"/>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color w:val="000000"/>
          <w:spacing w:val="-6"/>
          <w:kern w:val="21"/>
          <w:szCs w:val="21"/>
        </w:rPr>
        <w:fldChar w:fldCharType="separate"/>
      </w:r>
      <w:r>
        <w:rPr>
          <w:rFonts w:hAnsi="宋体"/>
          <w:szCs w:val="21"/>
        </w:rPr>
        <w:t>①</w:t>
      </w:r>
      <w:r>
        <w:rPr>
          <w:rFonts w:hAnsi="宋体"/>
          <w:color w:val="000000"/>
          <w:spacing w:val="-6"/>
          <w:kern w:val="21"/>
          <w:szCs w:val="21"/>
        </w:rPr>
        <w:fldChar w:fldCharType="end"/>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sz w:val="24"/>
        </w:rPr>
      </w:pPr>
      <w:r>
        <w:rPr>
          <w:rFonts w:ascii="Times New Roman" w:hAnsi="Times New Roman" w:cs="Times New Roman"/>
          <w:sz w:val="24"/>
        </w:rPr>
        <w:t>附图</w:t>
      </w:r>
      <w:r>
        <w:rPr>
          <w:rFonts w:hint="eastAsia" w:ascii="Times New Roman" w:hAnsi="Times New Roman" w:cs="Times New Roman"/>
          <w:sz w:val="24"/>
          <w:lang w:val="en-US" w:eastAsia="zh-CN"/>
        </w:rPr>
        <w:t xml:space="preserve"> </w:t>
      </w:r>
      <w:r>
        <w:rPr>
          <w:rFonts w:hint="eastAsia" w:ascii="Times New Roman" w:hAnsi="Times New Roman" w:cs="Times New Roman"/>
          <w:sz w:val="24"/>
        </w:rPr>
        <w:t>1</w:t>
      </w:r>
      <w:r>
        <w:rPr>
          <w:rFonts w:ascii="Times New Roman" w:hAnsi="Times New Roman" w:cs="Times New Roman"/>
          <w:sz w:val="24"/>
        </w:rPr>
        <w:t xml:space="preserve"> </w:t>
      </w:r>
      <w:r>
        <w:rPr>
          <w:rFonts w:hint="eastAsia" w:ascii="Times New Roman" w:hAnsi="Times New Roman" w:cs="Times New Roman"/>
          <w:sz w:val="24"/>
        </w:rPr>
        <w:t>项目所在地理位置图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sz w:val="24"/>
        </w:rPr>
      </w:pPr>
      <w:r>
        <w:rPr>
          <w:rFonts w:hint="eastAsia" w:ascii="Times New Roman" w:hAnsi="Times New Roman" w:cs="Times New Roman"/>
          <w:sz w:val="24"/>
        </w:rPr>
        <w:t>附图</w:t>
      </w:r>
      <w:r>
        <w:rPr>
          <w:rFonts w:hint="eastAsia" w:ascii="Times New Roman" w:hAnsi="Times New Roman" w:cs="Times New Roman"/>
          <w:sz w:val="24"/>
          <w:lang w:val="en-US" w:eastAsia="zh-CN"/>
        </w:rPr>
        <w:t xml:space="preserve"> </w:t>
      </w:r>
      <w:r>
        <w:rPr>
          <w:rFonts w:hint="eastAsia" w:ascii="Times New Roman" w:hAnsi="Times New Roman" w:cs="Times New Roman"/>
          <w:sz w:val="24"/>
        </w:rPr>
        <w:t>2 项目平面布置图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sz w:val="24"/>
        </w:rPr>
      </w:pPr>
      <w:r>
        <w:rPr>
          <w:rFonts w:hint="eastAsia" w:ascii="Times New Roman" w:hAnsi="Times New Roman" w:cs="Times New Roman"/>
          <w:sz w:val="24"/>
        </w:rPr>
        <w:t>附图</w:t>
      </w:r>
      <w:r>
        <w:rPr>
          <w:rFonts w:hint="eastAsia" w:ascii="Times New Roman" w:hAnsi="Times New Roman" w:cs="Times New Roman"/>
          <w:sz w:val="24"/>
          <w:lang w:val="en-US" w:eastAsia="zh-CN"/>
        </w:rPr>
        <w:t xml:space="preserve"> </w:t>
      </w:r>
      <w:r>
        <w:rPr>
          <w:rFonts w:hint="eastAsia" w:ascii="Times New Roman" w:hAnsi="Times New Roman" w:cs="Times New Roman"/>
          <w:sz w:val="24"/>
        </w:rPr>
        <w:t>3 项目与生态保护红线位置关系图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sz w:val="24"/>
        </w:rPr>
      </w:pPr>
      <w:r>
        <w:rPr>
          <w:rFonts w:hint="eastAsia" w:ascii="Times New Roman" w:hAnsi="Times New Roman" w:cs="Times New Roman"/>
          <w:sz w:val="24"/>
        </w:rPr>
        <w:t>附图</w:t>
      </w:r>
      <w:r>
        <w:rPr>
          <w:rFonts w:hint="eastAsia" w:ascii="Times New Roman" w:hAnsi="Times New Roman" w:cs="Times New Roman"/>
          <w:sz w:val="24"/>
          <w:lang w:val="en-US" w:eastAsia="zh-CN"/>
        </w:rPr>
        <w:t xml:space="preserve"> 4</w:t>
      </w:r>
      <w:r>
        <w:rPr>
          <w:rFonts w:hint="eastAsia" w:ascii="Times New Roman" w:hAnsi="Times New Roman" w:cs="Times New Roman"/>
          <w:sz w:val="24"/>
        </w:rPr>
        <w:t xml:space="preserve"> 项目</w:t>
      </w:r>
      <w:r>
        <w:rPr>
          <w:rFonts w:hint="eastAsia" w:ascii="Times New Roman" w:hAnsi="Times New Roman" w:cs="Times New Roman"/>
          <w:sz w:val="24"/>
          <w:lang w:eastAsia="zh-CN"/>
        </w:rPr>
        <w:t>四邻</w:t>
      </w:r>
      <w:r>
        <w:rPr>
          <w:rFonts w:hint="eastAsia" w:ascii="Times New Roman" w:hAnsi="Times New Roman" w:cs="Times New Roman"/>
          <w:sz w:val="24"/>
        </w:rPr>
        <w:t>关系图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附图 5 建设项目环境保护目标分布图（500m）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sz w:val="24"/>
          <w:lang w:val="en-US" w:eastAsia="zh-CN"/>
        </w:rPr>
        <w:sectPr>
          <w:pgSz w:w="11906" w:h="16838"/>
          <w:pgMar w:top="1702" w:right="1531" w:bottom="1702" w:left="1531" w:header="851" w:footer="851" w:gutter="0"/>
          <w:cols w:space="425" w:num="1"/>
          <w:docGrid w:type="lines" w:linePitch="312" w:charSpace="0"/>
        </w:sectPr>
      </w:pPr>
      <w:r>
        <w:rPr>
          <w:rFonts w:hint="eastAsia" w:ascii="Times New Roman" w:hAnsi="Times New Roman" w:cs="Times New Roman"/>
          <w:sz w:val="24"/>
          <w:lang w:val="en-US" w:eastAsia="zh-CN"/>
        </w:rPr>
        <w:t>附图 6 建设项目环境保护目标分布图（50m）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sz w:val="24"/>
          <w:lang w:eastAsia="zh-CN"/>
        </w:rPr>
      </w:pPr>
      <w:r>
        <w:rPr>
          <w:rFonts w:hint="eastAsia" w:ascii="Times New Roman" w:hAnsi="Times New Roman" w:cs="Times New Roman"/>
          <w:sz w:val="24"/>
          <w:lang w:eastAsia="zh-CN"/>
        </w:rPr>
        <w:t>附件</w:t>
      </w:r>
      <w:r>
        <w:rPr>
          <w:rFonts w:hint="eastAsia" w:ascii="Times New Roman" w:hAnsi="Times New Roman" w:cs="Times New Roman"/>
          <w:sz w:val="24"/>
        </w:rPr>
        <w:t>1</w:t>
      </w:r>
      <w:r>
        <w:rPr>
          <w:rFonts w:ascii="Times New Roman" w:hAnsi="Times New Roman" w:cs="Times New Roman"/>
          <w:sz w:val="24"/>
        </w:rPr>
        <w:t xml:space="preserve"> </w:t>
      </w:r>
      <w:r>
        <w:rPr>
          <w:rFonts w:hint="eastAsia" w:ascii="Times New Roman" w:hAnsi="Times New Roman" w:cs="Times New Roman"/>
          <w:sz w:val="24"/>
          <w:lang w:eastAsia="zh-CN"/>
        </w:rPr>
        <w:t>备案证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eastAsiaTheme="minorEastAsia"/>
          <w:sz w:val="24"/>
          <w:lang w:eastAsia="zh-CN"/>
        </w:rPr>
      </w:pPr>
      <w:r>
        <w:rPr>
          <w:rFonts w:hint="eastAsia" w:ascii="Times New Roman" w:hAnsi="Times New Roman" w:cs="Times New Roman"/>
          <w:sz w:val="24"/>
          <w:lang w:eastAsia="zh-CN"/>
        </w:rPr>
        <w:t>附件</w:t>
      </w:r>
      <w:r>
        <w:rPr>
          <w:rFonts w:hint="eastAsia" w:ascii="Times New Roman" w:hAnsi="Times New Roman" w:cs="Times New Roman"/>
          <w:sz w:val="24"/>
          <w:lang w:val="en-US" w:eastAsia="zh-CN"/>
        </w:rPr>
        <w:t>2</w:t>
      </w:r>
      <w:r>
        <w:rPr>
          <w:rFonts w:ascii="Times New Roman" w:hAnsi="Times New Roman" w:cs="Times New Roman"/>
          <w:sz w:val="24"/>
        </w:rPr>
        <w:t xml:space="preserve"> </w:t>
      </w:r>
      <w:r>
        <w:rPr>
          <w:rFonts w:hint="eastAsia" w:ascii="Times New Roman" w:hAnsi="Times New Roman" w:cs="Times New Roman"/>
          <w:sz w:val="24"/>
          <w:lang w:eastAsia="zh-CN"/>
        </w:rPr>
        <w:t>承德市发展和改革委员会《关于木兰皇家农业综合示范区用煤项目新增用煤指标的划拨意见》（能耗划拨</w:t>
      </w:r>
      <w:r>
        <w:rPr>
          <w:rFonts w:hint="eastAsia" w:ascii="Times New Roman" w:hAnsi="Times New Roman" w:cs="Times New Roman"/>
          <w:sz w:val="24"/>
          <w:lang w:val="en-US" w:eastAsia="zh-CN"/>
        </w:rPr>
        <w:t>2022-01</w:t>
      </w:r>
      <w:r>
        <w:rPr>
          <w:rFonts w:hint="eastAsia" w:ascii="Times New Roman" w:hAnsi="Times New Roman" w:cs="Times New Roman"/>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sz w:val="24"/>
          <w:lang w:eastAsia="zh-CN"/>
        </w:rPr>
      </w:pPr>
      <w:r>
        <w:rPr>
          <w:rFonts w:hint="eastAsia" w:ascii="Times New Roman" w:hAnsi="Times New Roman" w:cs="Times New Roman"/>
          <w:sz w:val="24"/>
          <w:lang w:eastAsia="zh-CN"/>
        </w:rPr>
        <w:t>附件</w:t>
      </w:r>
      <w:r>
        <w:rPr>
          <w:rFonts w:hint="eastAsia" w:ascii="Times New Roman" w:hAnsi="Times New Roman" w:cs="Times New Roman"/>
          <w:sz w:val="24"/>
          <w:lang w:val="en-US" w:eastAsia="zh-CN"/>
        </w:rPr>
        <w:t>3</w:t>
      </w:r>
      <w:r>
        <w:rPr>
          <w:rFonts w:hint="eastAsia" w:ascii="Times New Roman" w:hAnsi="Times New Roman" w:cs="Times New Roman"/>
          <w:sz w:val="24"/>
          <w:lang w:eastAsia="zh-CN"/>
        </w:rPr>
        <w:t>煤质检验报告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eastAsiaTheme="minorEastAsia"/>
          <w:sz w:val="24"/>
          <w:lang w:eastAsia="zh-CN"/>
        </w:rPr>
      </w:pPr>
      <w:r>
        <w:rPr>
          <w:rFonts w:hint="eastAsia" w:ascii="Times New Roman" w:hAnsi="Times New Roman" w:cs="Times New Roman"/>
          <w:sz w:val="24"/>
          <w:lang w:eastAsia="zh-CN"/>
        </w:rPr>
        <w:t>附件</w:t>
      </w:r>
      <w:r>
        <w:rPr>
          <w:rFonts w:hint="eastAsia" w:ascii="Times New Roman" w:hAnsi="Times New Roman" w:cs="Times New Roman"/>
          <w:sz w:val="24"/>
          <w:lang w:val="en-US" w:eastAsia="zh-CN"/>
        </w:rPr>
        <w:t>4</w:t>
      </w:r>
      <w:r>
        <w:rPr>
          <w:rFonts w:ascii="Times New Roman" w:hAnsi="Times New Roman" w:cs="Times New Roman"/>
          <w:sz w:val="24"/>
        </w:rPr>
        <w:t xml:space="preserve"> </w:t>
      </w:r>
      <w:r>
        <w:rPr>
          <w:rFonts w:hint="eastAsia" w:ascii="Times New Roman" w:hAnsi="Times New Roman" w:cs="Times New Roman"/>
          <w:sz w:val="24"/>
          <w:lang w:eastAsia="zh-CN"/>
        </w:rPr>
        <w:t>营业执照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eastAsiaTheme="minorEastAsia"/>
          <w:sz w:val="24"/>
          <w:lang w:eastAsia="zh-CN"/>
        </w:rPr>
      </w:pPr>
      <w:r>
        <w:rPr>
          <w:rFonts w:hint="eastAsia" w:ascii="Times New Roman" w:hAnsi="Times New Roman" w:cs="Times New Roman"/>
          <w:sz w:val="24"/>
          <w:lang w:eastAsia="zh-CN"/>
        </w:rPr>
        <w:t>附件</w:t>
      </w:r>
      <w:r>
        <w:rPr>
          <w:rFonts w:hint="eastAsia" w:ascii="Times New Roman" w:hAnsi="Times New Roman" w:cs="Times New Roman"/>
          <w:sz w:val="24"/>
          <w:lang w:val="en-US" w:eastAsia="zh-CN"/>
        </w:rPr>
        <w:t>5</w:t>
      </w:r>
      <w:r>
        <w:rPr>
          <w:rFonts w:hint="eastAsia" w:ascii="Times New Roman" w:hAnsi="Times New Roman" w:cs="Times New Roman"/>
          <w:sz w:val="24"/>
        </w:rPr>
        <w:t xml:space="preserve"> </w:t>
      </w:r>
      <w:r>
        <w:rPr>
          <w:rFonts w:hint="eastAsia" w:ascii="Times New Roman" w:hAnsi="Times New Roman" w:cs="Times New Roman"/>
          <w:sz w:val="24"/>
          <w:lang w:eastAsia="zh-CN"/>
        </w:rPr>
        <w:t>关于《承德富龙现代农业发展有限公司马铃薯深加工项目环境影响报告表（附水环境影响评价专项报告）》批复</w:t>
      </w:r>
      <w:r>
        <w:rPr>
          <w:rFonts w:hint="eastAsia" w:ascii="Times New Roman" w:hAnsi="Times New Roman" w:cs="Times New Roman"/>
          <w:bCs/>
          <w:sz w:val="24"/>
          <w:lang w:val="en-US" w:eastAsia="zh-CN"/>
        </w:rPr>
        <w:t>（承环评【2012】122号）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eastAsiaTheme="minorEastAsia"/>
          <w:sz w:val="24"/>
          <w:lang w:eastAsia="zh-CN"/>
        </w:rPr>
      </w:pPr>
      <w:r>
        <w:rPr>
          <w:rFonts w:hint="eastAsia" w:ascii="Times New Roman" w:hAnsi="Times New Roman" w:cs="Times New Roman"/>
          <w:sz w:val="24"/>
          <w:lang w:eastAsia="zh-CN"/>
        </w:rPr>
        <w:t>附件</w:t>
      </w:r>
      <w:r>
        <w:rPr>
          <w:rFonts w:hint="eastAsia" w:ascii="Times New Roman" w:hAnsi="Times New Roman" w:cs="Times New Roman"/>
          <w:sz w:val="24"/>
          <w:lang w:val="en-US" w:eastAsia="zh-CN"/>
        </w:rPr>
        <w:t>6</w:t>
      </w:r>
      <w:r>
        <w:rPr>
          <w:rFonts w:hint="eastAsia" w:ascii="Times New Roman" w:hAnsi="Times New Roman" w:cs="Times New Roman"/>
          <w:sz w:val="24"/>
        </w:rPr>
        <w:t xml:space="preserve"> </w:t>
      </w:r>
      <w:r>
        <w:rPr>
          <w:rFonts w:hint="eastAsia" w:ascii="Times New Roman" w:hAnsi="Times New Roman" w:cs="Times New Roman"/>
          <w:sz w:val="24"/>
          <w:lang w:eastAsia="zh-CN"/>
        </w:rPr>
        <w:t>关于《《承德富龙现代农业发展有限公司马铃薯深加工项目》验收意见</w:t>
      </w:r>
      <w:r>
        <w:rPr>
          <w:rFonts w:hint="eastAsia" w:ascii="Times New Roman" w:hAnsi="Times New Roman" w:cs="Times New Roman"/>
          <w:bCs/>
          <w:sz w:val="24"/>
          <w:lang w:val="en-US" w:eastAsia="zh-CN"/>
        </w:rPr>
        <w:t>（承环验【2016】26号）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eastAsiaTheme="minorEastAsia"/>
          <w:sz w:val="24"/>
          <w:lang w:eastAsia="zh-CN"/>
        </w:rPr>
      </w:pPr>
      <w:r>
        <w:rPr>
          <w:rFonts w:hint="eastAsia" w:ascii="Times New Roman" w:hAnsi="Times New Roman" w:cs="Times New Roman"/>
          <w:sz w:val="24"/>
          <w:lang w:val="en-US" w:eastAsia="zh-CN"/>
        </w:rPr>
        <w:t>附件7</w:t>
      </w:r>
      <w:r>
        <w:rPr>
          <w:rFonts w:hint="eastAsia" w:ascii="Times New Roman" w:hAnsi="Times New Roman" w:cs="Times New Roman"/>
          <w:sz w:val="24"/>
        </w:rPr>
        <w:t xml:space="preserve"> </w:t>
      </w:r>
      <w:r>
        <w:rPr>
          <w:rFonts w:hint="eastAsia" w:ascii="Times New Roman" w:hAnsi="Times New Roman" w:cs="Times New Roman"/>
          <w:sz w:val="24"/>
          <w:lang w:eastAsia="zh-CN"/>
        </w:rPr>
        <w:t>木兰皇家农业综合示范区集中供热承德富龙现代农业发展有限公司锅炉升级改造项目竣工环境环境保护验收工作组验收意见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sz w:val="24"/>
          <w:lang w:eastAsia="zh-CN"/>
        </w:rPr>
      </w:pPr>
      <w:r>
        <w:rPr>
          <w:rFonts w:hint="eastAsia" w:ascii="Times New Roman" w:hAnsi="Times New Roman" w:cs="Times New Roman"/>
          <w:sz w:val="24"/>
          <w:lang w:val="en-US" w:eastAsia="zh-CN"/>
        </w:rPr>
        <w:t xml:space="preserve">附件8 </w:t>
      </w:r>
      <w:r>
        <w:rPr>
          <w:rFonts w:hint="eastAsia" w:ascii="Times New Roman" w:hAnsi="Times New Roman" w:cs="Times New Roman"/>
          <w:sz w:val="24"/>
          <w:lang w:eastAsia="zh-CN"/>
        </w:rPr>
        <w:t>承德富龙现代农业发展有限公司突发环境事件应急预案备案表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sz w:val="24"/>
          <w:lang w:eastAsia="zh-CN"/>
        </w:rPr>
      </w:pPr>
      <w:r>
        <w:rPr>
          <w:rFonts w:hint="eastAsia" w:ascii="Times New Roman" w:hAnsi="Times New Roman" w:cs="Times New Roman"/>
          <w:sz w:val="24"/>
          <w:lang w:val="en-US" w:eastAsia="zh-CN"/>
        </w:rPr>
        <w:t xml:space="preserve">附件9 </w:t>
      </w:r>
      <w:r>
        <w:rPr>
          <w:rFonts w:hint="eastAsia" w:ascii="Times New Roman" w:hAnsi="Times New Roman" w:cs="Times New Roman"/>
          <w:sz w:val="24"/>
          <w:lang w:eastAsia="zh-CN"/>
        </w:rPr>
        <w:t>承德富龙现代农业发展有限公司排污许可证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sz w:val="24"/>
          <w:lang w:eastAsia="zh-CN"/>
        </w:rPr>
      </w:pPr>
      <w:r>
        <w:rPr>
          <w:rFonts w:hint="eastAsia" w:ascii="Times New Roman" w:hAnsi="Times New Roman" w:cs="Times New Roman"/>
          <w:sz w:val="24"/>
          <w:lang w:val="en-US" w:eastAsia="zh-CN"/>
        </w:rPr>
        <w:t xml:space="preserve">附件10 </w:t>
      </w:r>
      <w:r>
        <w:rPr>
          <w:rFonts w:hint="eastAsia" w:ascii="Times New Roman" w:hAnsi="Times New Roman" w:cs="Times New Roman"/>
          <w:sz w:val="24"/>
          <w:lang w:eastAsia="zh-CN"/>
        </w:rPr>
        <w:t>承德富龙现代农业发展有限公司危险废物收集转运技术服务合同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auto"/>
          <w:sz w:val="24"/>
          <w:lang w:eastAsia="zh-CN"/>
        </w:rPr>
      </w:pPr>
      <w:r>
        <w:rPr>
          <w:rFonts w:hint="eastAsia" w:ascii="Times New Roman" w:hAnsi="Times New Roman" w:cs="Times New Roman"/>
          <w:color w:val="auto"/>
          <w:sz w:val="24"/>
          <w:lang w:val="en-US" w:eastAsia="zh-CN"/>
        </w:rPr>
        <w:t xml:space="preserve">附件11 </w:t>
      </w:r>
      <w:r>
        <w:rPr>
          <w:rFonts w:hint="eastAsia"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lang w:eastAsia="zh-CN"/>
        </w:rPr>
        <w:t>木兰皇家农业综合示范园区集中供热承德富龙现代农业发展有限公司锅炉升级改造项目</w:t>
      </w:r>
      <w:r>
        <w:rPr>
          <w:rFonts w:hint="default" w:ascii="Times New Roman" w:hAnsi="Times New Roman" w:eastAsia="宋体" w:cs="Times New Roman"/>
          <w:bCs/>
          <w:color w:val="auto"/>
          <w:sz w:val="24"/>
          <w:lang w:val="en-US" w:eastAsia="zh-CN"/>
        </w:rPr>
        <w:t>竣工环境保护验收报告</w:t>
      </w:r>
      <w:r>
        <w:rPr>
          <w:rFonts w:hint="eastAsia" w:ascii="Times New Roman" w:hAnsi="Times New Roman" w:eastAsia="宋体" w:cs="Times New Roman"/>
          <w:bCs/>
          <w:color w:val="auto"/>
          <w:sz w:val="24"/>
          <w:lang w:val="en-US" w:eastAsia="zh-CN"/>
        </w:rPr>
        <w:t>》</w:t>
      </w:r>
      <w:r>
        <w:rPr>
          <w:rFonts w:hint="eastAsia" w:ascii="Times New Roman" w:hAnsi="Times New Roman" w:eastAsia="宋体" w:cs="Times New Roman"/>
          <w:b w:val="0"/>
          <w:bCs w:val="0"/>
          <w:color w:val="auto"/>
          <w:sz w:val="24"/>
          <w:lang w:val="en-US" w:eastAsia="zh-CN"/>
        </w:rPr>
        <w:t>检测报告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auto"/>
          <w:sz w:val="24"/>
          <w:lang w:eastAsia="zh-CN"/>
        </w:rPr>
      </w:pPr>
      <w:r>
        <w:rPr>
          <w:rFonts w:hint="eastAsia" w:ascii="Times New Roman" w:hAnsi="Times New Roman" w:cs="Times New Roman"/>
          <w:color w:val="auto"/>
          <w:sz w:val="24"/>
          <w:lang w:val="en-US" w:eastAsia="zh-CN"/>
        </w:rPr>
        <w:t>附件12 《木兰皇家农业综合示范区蒸汽供给项目环境质量现状监测》检测报告（字PY2302218-001号）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 xml:space="preserve"> </w:t>
      </w:r>
    </w:p>
    <w:p>
      <w:pPr>
        <w:pStyle w:val="33"/>
        <w:numPr>
          <w:ilvl w:val="4"/>
          <w:numId w:val="0"/>
        </w:numPr>
        <w:ind w:leftChars="0"/>
        <w:jc w:val="both"/>
        <w:rPr>
          <w:rFonts w:hint="default"/>
        </w:rPr>
        <w:sectPr>
          <w:pgSz w:w="11906" w:h="16838"/>
          <w:pgMar w:top="1702" w:right="1531" w:bottom="1702" w:left="1531" w:header="851" w:footer="851" w:gutter="0"/>
          <w:cols w:space="425" w:num="1"/>
          <w:docGrid w:type="lines" w:linePitch="312" w:charSpace="0"/>
        </w:sectPr>
      </w:pPr>
    </w:p>
    <w:p>
      <w:pPr>
        <w:jc w:val="center"/>
        <w:rPr>
          <w:rFonts w:hint="eastAsia"/>
          <w:lang w:val="en-US" w:eastAsia="zh-CN"/>
        </w:rPr>
      </w:pPr>
      <w:r>
        <mc:AlternateContent>
          <mc:Choice Requires="wpg">
            <w:drawing>
              <wp:anchor distT="0" distB="0" distL="114300" distR="114300" simplePos="0" relativeHeight="251664384" behindDoc="0" locked="0" layoutInCell="1" allowOverlap="1">
                <wp:simplePos x="0" y="0"/>
                <wp:positionH relativeFrom="column">
                  <wp:posOffset>4218940</wp:posOffset>
                </wp:positionH>
                <wp:positionV relativeFrom="paragraph">
                  <wp:posOffset>2971800</wp:posOffset>
                </wp:positionV>
                <wp:extent cx="1146810" cy="360045"/>
                <wp:effectExtent l="12065" t="4445" r="22225" b="16510"/>
                <wp:wrapNone/>
                <wp:docPr id="129" name="组合 129"/>
                <wp:cNvGraphicFramePr/>
                <a:graphic xmlns:a="http://schemas.openxmlformats.org/drawingml/2006/main">
                  <a:graphicData uri="http://schemas.microsoft.com/office/word/2010/wordprocessingGroup">
                    <wpg:wgp>
                      <wpg:cNvGrpSpPr/>
                      <wpg:grpSpPr>
                        <a:xfrm flipH="1" flipV="1">
                          <a:off x="0" y="0"/>
                          <a:ext cx="1146810" cy="360045"/>
                          <a:chOff x="2663" y="804257"/>
                          <a:chExt cx="1667" cy="529"/>
                        </a:xfrm>
                      </wpg:grpSpPr>
                      <wps:wsp>
                        <wps:cNvPr id="119" name="任意多边形 119"/>
                        <wps:cNvSpPr/>
                        <wps:spPr>
                          <a:xfrm>
                            <a:off x="4223" y="804257"/>
                            <a:ext cx="107" cy="107"/>
                          </a:xfrm>
                          <a:custGeom>
                            <a:avLst/>
                            <a:gdLst/>
                            <a:ahLst/>
                            <a:cxnLst>
                              <a:cxn ang="16187392">
                                <a:pos x="53" y="0"/>
                              </a:cxn>
                              <a:cxn ang="10747904">
                                <a:pos x="0" y="40"/>
                              </a:cxn>
                              <a:cxn ang="5373952">
                                <a:pos x="20" y="106"/>
                              </a:cxn>
                              <a:cxn ang="5373952">
                                <a:pos x="86" y="106"/>
                              </a:cxn>
                              <a:cxn ang="0">
                                <a:pos x="106" y="40"/>
                              </a:cxn>
                            </a:cxnLst>
                            <a:rect l="0" t="0" r="0" b="0"/>
                            <a:pathLst>
                              <a:path w="107" h="107">
                                <a:moveTo>
                                  <a:pt x="0" y="40"/>
                                </a:moveTo>
                                <a:lnTo>
                                  <a:pt x="40" y="40"/>
                                </a:lnTo>
                                <a:lnTo>
                                  <a:pt x="53" y="0"/>
                                </a:lnTo>
                                <a:lnTo>
                                  <a:pt x="66" y="40"/>
                                </a:lnTo>
                                <a:lnTo>
                                  <a:pt x="106" y="40"/>
                                </a:lnTo>
                                <a:lnTo>
                                  <a:pt x="73" y="66"/>
                                </a:lnTo>
                                <a:lnTo>
                                  <a:pt x="86" y="106"/>
                                </a:lnTo>
                                <a:lnTo>
                                  <a:pt x="53" y="81"/>
                                </a:lnTo>
                                <a:lnTo>
                                  <a:pt x="20" y="106"/>
                                </a:lnTo>
                                <a:lnTo>
                                  <a:pt x="33" y="66"/>
                                </a:lnTo>
                                <a:close/>
                              </a:path>
                            </a:pathLst>
                          </a:custGeom>
                          <a:solidFill>
                            <a:srgbClr val="C0504D"/>
                          </a:solidFill>
                          <a:ln w="25400" cap="flat" cmpd="sng">
                            <a:solidFill>
                              <a:srgbClr val="FF0000"/>
                            </a:solidFill>
                            <a:prstDash val="solid"/>
                            <a:round/>
                            <a:headEnd type="none" w="med" len="med"/>
                            <a:tailEnd type="none" w="med" len="med"/>
                          </a:ln>
                        </wps:spPr>
                        <wps:bodyPr anchor="ctr" anchorCtr="0" upright="1"/>
                      </wps:wsp>
                      <wps:wsp>
                        <wps:cNvPr id="120" name="圆角矩形标注 120"/>
                        <wps:cNvSpPr/>
                        <wps:spPr>
                          <a:xfrm>
                            <a:off x="2663" y="804317"/>
                            <a:ext cx="1384" cy="469"/>
                          </a:xfrm>
                          <a:prstGeom prst="wedgeRoundRectCallout">
                            <a:avLst>
                              <a:gd name="adj1" fmla="val 62139"/>
                              <a:gd name="adj2" fmla="val -45949"/>
                              <a:gd name="adj3" fmla="val 16667"/>
                            </a:avLst>
                          </a:prstGeom>
                          <a:solidFill>
                            <a:srgbClr val="FFFFFF"/>
                          </a:solidFill>
                          <a:ln w="9525" cap="flat" cmpd="sng">
                            <a:solidFill>
                              <a:srgbClr val="FF0000"/>
                            </a:solidFill>
                            <a:prstDash val="solid"/>
                            <a:miter/>
                            <a:headEnd type="none" w="med" len="med"/>
                            <a:tailEnd type="none" w="med" len="med"/>
                          </a:ln>
                        </wps:spPr>
                        <wps:txbx>
                          <w:txbxContent>
                            <w:p>
                              <w:pPr>
                                <w:spacing w:line="0" w:lineRule="atLeast"/>
                                <w:ind w:left="0" w:leftChars="0" w:firstLine="0" w:firstLineChars="0"/>
                                <w:jc w:val="both"/>
                                <w:rPr>
                                  <w:rFonts w:eastAsia="宋体"/>
                                  <w:b/>
                                  <w:color w:val="FF0000"/>
                                  <w:sz w:val="24"/>
                                </w:rPr>
                              </w:pPr>
                              <w:r>
                                <w:rPr>
                                  <w:rFonts w:hint="eastAsia" w:hAnsi="宋体"/>
                                  <w:b/>
                                  <w:color w:val="FF0000"/>
                                  <w:sz w:val="24"/>
                                </w:rPr>
                                <w:t>建设项目</w:t>
                              </w:r>
                            </w:p>
                          </w:txbxContent>
                        </wps:txbx>
                        <wps:bodyPr upright="1"/>
                      </wps:wsp>
                    </wpg:wgp>
                  </a:graphicData>
                </a:graphic>
              </wp:anchor>
            </w:drawing>
          </mc:Choice>
          <mc:Fallback>
            <w:pict>
              <v:group id="_x0000_s1026" o:spid="_x0000_s1026" o:spt="203" style="position:absolute;left:0pt;flip:x y;margin-left:332.2pt;margin-top:234pt;height:28.35pt;width:90.3pt;z-index:251664384;mso-width-relative:page;mso-height-relative:page;" coordorigin="2663,804257" coordsize="1667,529" o:gfxdata="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">
                <o:lock v:ext="edit" aspectratio="f"/>
                <v:shape id="_x0000_s1026" o:spid="_x0000_s1026" o:spt="100" style="position:absolute;left:4223;top:804257;height:107;width:107;v-text-anchor:middle;" fillcolor="#C0504D" filled="t" stroked="t" coordsize="107,107" o:gfxdata="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7FqCbsAAADc&#10;AAAADwAAAAAAAAABACAAAAAiAAAAZHJzL2Rvd25yZXYueG1sUEsBAhQAFAAAAAgAh07iQDMvBZ47&#10;AAAAOQAAABAAAAAAAAAAAQAgAAAACgEAAGRycy9zaGFwZXhtbC54bWxQSwUGAAAAAAYABgBbAQAA&#10;tAMAAAAA&#10;" path="m0,40l40,40,53,0,66,40,106,40,73,66,86,106,53,81,20,106,33,66xe">
                  <v:path o:connectlocs="53,0;0,40;20,106;86,106;106,40" o:connectangles="247,164,82,82,0"/>
                  <v:fill on="t" focussize="0,0"/>
                  <v:stroke weight="2pt" color="#FF0000" joinstyle="round"/>
                  <v:imagedata o:title=""/>
                  <o:lock v:ext="edit" aspectratio="f"/>
                </v:shape>
                <v:shape id="_x0000_s1026" o:spid="_x0000_s1026" o:spt="62" type="#_x0000_t62" style="position:absolute;left:2663;top:804317;height:469;width:1384;" fillcolor="#FFFFFF" filled="t" stroked="t" coordsize="21600,21600" o:gfxdata="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dKZovQAA&#10;ANwAAAAPAAAAAAAAAAEAIAAAACIAAABkcnMvZG93bnJldi54bWxQSwECFAAUAAAACACHTuJAMy8F&#10;njsAAAA5AAAAEAAAAAAAAAABACAAAAAMAQAAZHJzL3NoYXBleG1sLnhtbFBLBQYAAAAABgAGAFsB&#10;AAC2AwAAAAA=&#10;" adj="24222,875,14400">
                  <v:fill on="t" focussize="0,0"/>
                  <v:stroke color="#FF0000" joinstyle="miter"/>
                  <v:imagedata o:title=""/>
                  <o:lock v:ext="edit" aspectratio="f"/>
                  <v:textbox>
                    <w:txbxContent>
                      <w:p>
                        <w:pPr>
                          <w:spacing w:line="0" w:lineRule="atLeast"/>
                          <w:ind w:left="0" w:leftChars="0" w:firstLine="0" w:firstLineChars="0"/>
                          <w:jc w:val="both"/>
                          <w:rPr>
                            <w:rFonts w:eastAsia="宋体"/>
                            <w:b/>
                            <w:color w:val="FF0000"/>
                            <w:sz w:val="24"/>
                          </w:rPr>
                        </w:pPr>
                        <w:r>
                          <w:rPr>
                            <w:rFonts w:hint="eastAsia" w:hAnsi="宋体"/>
                            <w:b/>
                            <w:color w:val="FF0000"/>
                            <w:sz w:val="24"/>
                          </w:rPr>
                          <w:t>建设项目</w:t>
                        </w:r>
                      </w:p>
                    </w:txbxContent>
                  </v:textbox>
                </v:shape>
              </v:group>
            </w:pict>
          </mc:Fallback>
        </mc:AlternateContent>
      </w:r>
      <w:r>
        <w:rPr>
          <w:rFonts w:hint="eastAsia"/>
          <w:lang w:val="en-US" w:eastAsia="zh-CN"/>
        </w:rPr>
        <w:drawing>
          <wp:inline distT="0" distB="0" distL="114300" distR="114300">
            <wp:extent cx="6938010" cy="5284470"/>
            <wp:effectExtent l="0" t="0" r="15240" b="11430"/>
            <wp:docPr id="11" name="图片 11" descr="围场满族蒙古族自治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围场满族蒙古族自治县"/>
                    <pic:cNvPicPr>
                      <a:picLocks noChangeAspect="1"/>
                    </pic:cNvPicPr>
                  </pic:nvPicPr>
                  <pic:blipFill>
                    <a:blip r:embed="rId19"/>
                    <a:srcRect l="128" t="7814" r="14122" b="-181"/>
                    <a:stretch>
                      <a:fillRect/>
                    </a:stretch>
                  </pic:blipFill>
                  <pic:spPr>
                    <a:xfrm>
                      <a:off x="0" y="0"/>
                      <a:ext cx="6938010" cy="5284470"/>
                    </a:xfrm>
                    <a:prstGeom prst="rect">
                      <a:avLst/>
                    </a:prstGeom>
                  </pic:spPr>
                </pic:pic>
              </a:graphicData>
            </a:graphic>
          </wp:inline>
        </w:drawing>
      </w:r>
    </w:p>
    <w:p>
      <w:pPr>
        <w:jc w:val="center"/>
        <w:rPr>
          <w:rFonts w:ascii="Times New Roman" w:hAnsi="Times New Roman" w:cs="Times New Roman"/>
          <w:b/>
          <w:bCs/>
        </w:rPr>
      </w:pPr>
      <w:r>
        <w:rPr>
          <w:rFonts w:ascii="Times New Roman" w:hAnsi="Times New Roman" w:cs="Times New Roman"/>
          <w:b/>
          <w:bCs/>
        </w:rPr>
        <w:t>附图</w:t>
      </w:r>
      <w:r>
        <w:rPr>
          <w:rFonts w:hint="eastAsia" w:ascii="Times New Roman" w:hAnsi="Times New Roman" w:cs="Times New Roman"/>
          <w:b/>
          <w:bCs/>
        </w:rPr>
        <w:t>1</w:t>
      </w:r>
      <w:r>
        <w:rPr>
          <w:rFonts w:ascii="Times New Roman" w:hAnsi="Times New Roman" w:cs="Times New Roman"/>
          <w:b/>
          <w:bCs/>
        </w:rPr>
        <w:t xml:space="preserve"> </w:t>
      </w:r>
      <w:r>
        <w:rPr>
          <w:rFonts w:hint="eastAsia" w:ascii="Times New Roman" w:hAnsi="Times New Roman" w:cs="Times New Roman"/>
          <w:b/>
          <w:bCs/>
        </w:rPr>
        <w:t>项目所在地理位置图</w:t>
      </w:r>
    </w:p>
    <w:p>
      <w:pPr>
        <w:jc w:val="center"/>
        <w:rPr>
          <w:rFonts w:hint="default"/>
          <w:lang w:val="en-US"/>
        </w:rPr>
        <w:sectPr>
          <w:pgSz w:w="16838" w:h="11906" w:orient="landscape"/>
          <w:pgMar w:top="1531" w:right="1702" w:bottom="1531" w:left="1702" w:header="851" w:footer="851" w:gutter="0"/>
          <w:cols w:space="425" w:num="1"/>
          <w:docGrid w:type="lines" w:linePitch="312" w:charSpace="0"/>
        </w:sectPr>
      </w:pPr>
    </w:p>
    <w:p>
      <w:pPr>
        <w:jc w:val="center"/>
      </w:pPr>
    </w:p>
    <w:p>
      <w:pPr>
        <w:jc w:val="center"/>
      </w:pPr>
      <w:r>
        <w:drawing>
          <wp:inline distT="0" distB="0" distL="114300" distR="114300">
            <wp:extent cx="7593965" cy="5093335"/>
            <wp:effectExtent l="0" t="0" r="6985" b="1206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0"/>
                    <a:stretch>
                      <a:fillRect/>
                    </a:stretch>
                  </pic:blipFill>
                  <pic:spPr>
                    <a:xfrm>
                      <a:off x="0" y="0"/>
                      <a:ext cx="7593965" cy="5093335"/>
                    </a:xfrm>
                    <a:prstGeom prst="rect">
                      <a:avLst/>
                    </a:prstGeom>
                    <a:noFill/>
                    <a:ln>
                      <a:noFill/>
                    </a:ln>
                  </pic:spPr>
                </pic:pic>
              </a:graphicData>
            </a:graphic>
          </wp:inline>
        </w:drawing>
      </w:r>
    </w:p>
    <w:p>
      <w:pPr>
        <w:jc w:val="center"/>
        <w:rPr>
          <w:rFonts w:ascii="Times New Roman" w:hAnsi="Times New Roman" w:cs="Times New Roman"/>
          <w:b/>
          <w:bCs/>
        </w:rPr>
      </w:pPr>
      <w:r>
        <w:rPr>
          <w:rFonts w:ascii="Times New Roman" w:hAnsi="Times New Roman" w:cs="Times New Roman"/>
          <w:b/>
          <w:bCs/>
        </w:rPr>
        <w:t>附图</w:t>
      </w:r>
      <w:r>
        <w:rPr>
          <w:rFonts w:hint="eastAsia" w:ascii="Times New Roman" w:hAnsi="Times New Roman" w:cs="Times New Roman"/>
          <w:b/>
          <w:bCs/>
        </w:rPr>
        <w:t>2</w:t>
      </w:r>
      <w:r>
        <w:rPr>
          <w:rFonts w:ascii="Times New Roman" w:hAnsi="Times New Roman" w:cs="Times New Roman"/>
          <w:b/>
          <w:bCs/>
        </w:rPr>
        <w:t xml:space="preserve"> </w:t>
      </w:r>
      <w:r>
        <w:rPr>
          <w:rFonts w:hint="eastAsia" w:ascii="Times New Roman" w:hAnsi="Times New Roman" w:cs="Times New Roman"/>
          <w:b/>
          <w:bCs/>
        </w:rPr>
        <w:t>项目平面布置图</w:t>
      </w:r>
    </w:p>
    <w:p>
      <w:pPr>
        <w:jc w:val="center"/>
        <w:sectPr>
          <w:pgSz w:w="16838" w:h="11906" w:orient="landscape"/>
          <w:pgMar w:top="1531" w:right="1702" w:bottom="1531" w:left="1702" w:header="851" w:footer="851" w:gutter="0"/>
          <w:cols w:space="425" w:num="1"/>
          <w:docGrid w:type="lines" w:linePitch="312" w:charSpace="0"/>
        </w:sectPr>
      </w:pPr>
    </w:p>
    <w:p>
      <w:pPr>
        <w:pStyle w:val="43"/>
        <w:widowControl/>
        <w:spacing w:before="249" w:beforeLines="80" w:after="31"/>
        <w:jc w:val="center"/>
        <w:rPr>
          <w:rFonts w:hint="default"/>
        </w:rPr>
      </w:pPr>
      <w:r>
        <w:drawing>
          <wp:inline distT="0" distB="0" distL="114300" distR="114300">
            <wp:extent cx="7595235" cy="5196205"/>
            <wp:effectExtent l="0" t="0" r="5715" b="444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1"/>
                    <a:stretch>
                      <a:fillRect/>
                    </a:stretch>
                  </pic:blipFill>
                  <pic:spPr>
                    <a:xfrm>
                      <a:off x="0" y="0"/>
                      <a:ext cx="7595235" cy="5196205"/>
                    </a:xfrm>
                    <a:prstGeom prst="rect">
                      <a:avLst/>
                    </a:prstGeom>
                    <a:noFill/>
                    <a:ln>
                      <a:noFill/>
                    </a:ln>
                  </pic:spPr>
                </pic:pic>
              </a:graphicData>
            </a:graphic>
          </wp:inline>
        </w:drawing>
      </w:r>
    </w:p>
    <w:p>
      <w:pPr>
        <w:jc w:val="center"/>
        <w:rPr>
          <w:rFonts w:ascii="Times New Roman" w:hAnsi="Times New Roman" w:cs="Times New Roman"/>
          <w:b/>
          <w:bCs/>
        </w:rPr>
      </w:pPr>
      <w:r>
        <w:rPr>
          <w:rFonts w:ascii="Times New Roman" w:hAnsi="Times New Roman" w:cs="Times New Roman"/>
          <w:b/>
          <w:bCs/>
        </w:rPr>
        <w:t xml:space="preserve">附图3 </w:t>
      </w:r>
      <w:r>
        <w:rPr>
          <w:rFonts w:hint="eastAsia" w:ascii="Times New Roman" w:hAnsi="Times New Roman" w:cs="Times New Roman"/>
          <w:b/>
          <w:bCs/>
        </w:rPr>
        <w:t>项目与生态保护红线位置关系图</w:t>
      </w:r>
    </w:p>
    <w:p>
      <w:pPr>
        <w:pStyle w:val="43"/>
        <w:keepNext w:val="0"/>
        <w:keepLines w:val="0"/>
        <w:pageBreakBefore w:val="0"/>
        <w:widowControl/>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cs="Times New Roman"/>
          <w:b/>
          <w:bCs/>
        </w:rPr>
      </w:pPr>
      <w:r>
        <w:rPr>
          <w:color w:val="auto"/>
        </w:rPr>
        <w:drawing>
          <wp:inline distT="0" distB="0" distL="114300" distR="114300">
            <wp:extent cx="8378825" cy="4872990"/>
            <wp:effectExtent l="0" t="0" r="3175" b="3810"/>
            <wp:docPr id="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
                    <pic:cNvPicPr>
                      <a:picLocks noChangeAspect="1"/>
                    </pic:cNvPicPr>
                  </pic:nvPicPr>
                  <pic:blipFill>
                    <a:blip r:embed="rId22"/>
                    <a:stretch>
                      <a:fillRect/>
                    </a:stretch>
                  </pic:blipFill>
                  <pic:spPr>
                    <a:xfrm>
                      <a:off x="0" y="0"/>
                      <a:ext cx="8378825" cy="4872990"/>
                    </a:xfrm>
                    <a:prstGeom prst="rect">
                      <a:avLst/>
                    </a:prstGeom>
                    <a:noFill/>
                    <a:ln>
                      <a:noFill/>
                    </a:ln>
                  </pic:spPr>
                </pic:pic>
              </a:graphicData>
            </a:graphic>
          </wp:inline>
        </w:drawing>
      </w:r>
      <w:r>
        <w:rPr>
          <w:rFonts w:ascii="Times New Roman" w:hAnsi="Times New Roman" w:cs="Times New Roman"/>
          <w:b/>
          <w:bCs/>
        </w:rPr>
        <w:t>附图</w:t>
      </w:r>
      <w:r>
        <w:rPr>
          <w:rFonts w:hint="eastAsia" w:ascii="Times New Roman" w:hAnsi="Times New Roman" w:cs="Times New Roman"/>
          <w:b/>
          <w:bCs/>
          <w:lang w:val="en-US" w:eastAsia="zh-CN"/>
        </w:rPr>
        <w:t>4</w:t>
      </w:r>
      <w:r>
        <w:rPr>
          <w:rFonts w:ascii="Times New Roman" w:hAnsi="Times New Roman" w:cs="Times New Roman"/>
          <w:b/>
          <w:bCs/>
        </w:rPr>
        <w:t xml:space="preserve"> </w:t>
      </w:r>
      <w:r>
        <w:rPr>
          <w:rFonts w:hint="eastAsia" w:ascii="Times New Roman" w:hAnsi="Times New Roman" w:cs="Times New Roman"/>
          <w:b/>
          <w:bCs/>
        </w:rPr>
        <w:t>项目</w:t>
      </w:r>
      <w:r>
        <w:rPr>
          <w:rFonts w:hint="eastAsia" w:ascii="Times New Roman" w:cs="Times New Roman"/>
          <w:b/>
          <w:bCs/>
          <w:lang w:eastAsia="zh-CN"/>
        </w:rPr>
        <w:t>四邻</w:t>
      </w:r>
      <w:r>
        <w:rPr>
          <w:rFonts w:hint="eastAsia" w:ascii="Times New Roman" w:hAnsi="Times New Roman" w:cs="Times New Roman"/>
          <w:b/>
          <w:bCs/>
        </w:rPr>
        <w:t>关系图</w:t>
      </w:r>
    </w:p>
    <w:p>
      <w:pPr>
        <w:rPr>
          <w:rFonts w:hint="default"/>
        </w:rPr>
      </w:pPr>
    </w:p>
    <w:p>
      <w:pPr>
        <w:bidi w:val="0"/>
        <w:jc w:val="center"/>
      </w:pPr>
      <w:r>
        <w:drawing>
          <wp:inline distT="0" distB="0" distL="114300" distR="114300">
            <wp:extent cx="7175500" cy="4812030"/>
            <wp:effectExtent l="0" t="0" r="6350" b="762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3"/>
                    <a:stretch>
                      <a:fillRect/>
                    </a:stretch>
                  </pic:blipFill>
                  <pic:spPr>
                    <a:xfrm>
                      <a:off x="0" y="0"/>
                      <a:ext cx="7175500" cy="4812030"/>
                    </a:xfrm>
                    <a:prstGeom prst="rect">
                      <a:avLst/>
                    </a:prstGeom>
                    <a:noFill/>
                    <a:ln>
                      <a:noFill/>
                    </a:ln>
                  </pic:spPr>
                </pic:pic>
              </a:graphicData>
            </a:graphic>
          </wp:inline>
        </w:drawing>
      </w:r>
    </w:p>
    <w:p>
      <w:pPr>
        <w:bidi w:val="0"/>
        <w:jc w:val="center"/>
        <w:rPr>
          <w:rFonts w:hint="eastAsia"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附图 5 建设项目环境保护目标分布图（500m）</w:t>
      </w:r>
    </w:p>
    <w:p>
      <w:pPr>
        <w:bidi w:val="0"/>
        <w:jc w:val="center"/>
      </w:pPr>
      <w:r>
        <w:drawing>
          <wp:inline distT="0" distB="0" distL="114300" distR="114300">
            <wp:extent cx="6598285" cy="5185410"/>
            <wp:effectExtent l="0" t="0" r="12065" b="1524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24"/>
                    <a:stretch>
                      <a:fillRect/>
                    </a:stretch>
                  </pic:blipFill>
                  <pic:spPr>
                    <a:xfrm>
                      <a:off x="0" y="0"/>
                      <a:ext cx="6598285" cy="5185410"/>
                    </a:xfrm>
                    <a:prstGeom prst="rect">
                      <a:avLst/>
                    </a:prstGeom>
                    <a:noFill/>
                    <a:ln>
                      <a:noFill/>
                    </a:ln>
                  </pic:spPr>
                </pic:pic>
              </a:graphicData>
            </a:graphic>
          </wp:inline>
        </w:drawing>
      </w:r>
    </w:p>
    <w:p>
      <w:pPr>
        <w:bidi w:val="0"/>
        <w:jc w:val="center"/>
        <w:rPr>
          <w:rFonts w:hint="default" w:ascii="Times New Roman" w:hAnsi="Times New Roman" w:eastAsia="宋体" w:cs="Times New Roman"/>
          <w:b/>
          <w:bCs/>
          <w:kern w:val="0"/>
          <w:sz w:val="21"/>
          <w:szCs w:val="20"/>
          <w:lang w:val="en-US" w:eastAsia="zh-CN" w:bidi="ar-SA"/>
        </w:rPr>
      </w:pPr>
      <w:r>
        <w:rPr>
          <w:rFonts w:hint="eastAsia" w:ascii="Times New Roman" w:hAnsi="Times New Roman" w:eastAsia="宋体" w:cs="Times New Roman"/>
          <w:b/>
          <w:bCs/>
          <w:kern w:val="0"/>
          <w:sz w:val="21"/>
          <w:szCs w:val="20"/>
          <w:lang w:val="en-US" w:eastAsia="zh-CN" w:bidi="ar-SA"/>
        </w:rPr>
        <w:t>附图 6 建设</w:t>
      </w:r>
      <w:r>
        <w:rPr>
          <w:rFonts w:hint="default" w:ascii="Times New Roman" w:hAnsi="Times New Roman" w:eastAsia="宋体" w:cs="Times New Roman"/>
          <w:b/>
          <w:bCs/>
          <w:kern w:val="0"/>
          <w:sz w:val="21"/>
          <w:szCs w:val="20"/>
          <w:lang w:val="en-US" w:eastAsia="zh-CN" w:bidi="ar-SA"/>
        </w:rPr>
        <w:t>项目</w:t>
      </w:r>
      <w:r>
        <w:rPr>
          <w:rFonts w:hint="eastAsia" w:ascii="Times New Roman" w:hAnsi="Times New Roman" w:eastAsia="宋体" w:cs="Times New Roman"/>
          <w:b/>
          <w:bCs/>
          <w:kern w:val="0"/>
          <w:sz w:val="21"/>
          <w:szCs w:val="20"/>
          <w:lang w:val="en-US" w:eastAsia="zh-CN" w:bidi="ar-SA"/>
        </w:rPr>
        <w:t>环境保护目标分布</w:t>
      </w:r>
      <w:r>
        <w:rPr>
          <w:rFonts w:hint="default" w:ascii="Times New Roman" w:hAnsi="Times New Roman" w:eastAsia="宋体" w:cs="Times New Roman"/>
          <w:b/>
          <w:bCs/>
          <w:kern w:val="0"/>
          <w:sz w:val="21"/>
          <w:szCs w:val="20"/>
          <w:lang w:val="en-US" w:eastAsia="zh-CN" w:bidi="ar-SA"/>
        </w:rPr>
        <w:t>图</w:t>
      </w:r>
      <w:r>
        <w:rPr>
          <w:rFonts w:hint="eastAsia" w:ascii="Times New Roman" w:hAnsi="Times New Roman" w:eastAsia="宋体" w:cs="Times New Roman"/>
          <w:b/>
          <w:bCs/>
          <w:kern w:val="0"/>
          <w:sz w:val="21"/>
          <w:szCs w:val="20"/>
          <w:lang w:val="en-US" w:eastAsia="zh-CN" w:bidi="ar-SA"/>
        </w:rPr>
        <w:t>（50m）</w:t>
      </w:r>
    </w:p>
    <w:sectPr>
      <w:pgSz w:w="16838" w:h="11906" w:orient="landscape"/>
      <w:pgMar w:top="1531" w:right="1702" w:bottom="1531" w:left="1702" w:header="851" w:footer="851"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auto"/>
    <w:pitch w:val="default"/>
    <w:sig w:usb0="00000000" w:usb1="00000000" w:usb2="00000000" w:usb3="00000000" w:csb0="00040000" w:csb1="00000000"/>
  </w:font>
  <w:font w:name="方正小标宋_GBK">
    <w:altName w:val="微软雅黑"/>
    <w:panose1 w:val="00000000000000000000"/>
    <w:charset w:val="86"/>
    <w:family w:val="auto"/>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7</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pStyle w:val="16"/>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7</w:t>
                    </w:r>
                    <w:r>
                      <w:rPr>
                        <w:rFonts w:ascii="Times New Roman" w:hAnsi="Times New Roman" w:cs="Times New Roma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BD1D71"/>
    <w:multiLevelType w:val="singleLevel"/>
    <w:tmpl w:val="99BD1D71"/>
    <w:lvl w:ilvl="0" w:tentative="0">
      <w:start w:val="5"/>
      <w:numFmt w:val="decimal"/>
      <w:suff w:val="nothing"/>
      <w:lvlText w:val="%1、"/>
      <w:lvlJc w:val="left"/>
    </w:lvl>
  </w:abstractNum>
  <w:abstractNum w:abstractNumId="1">
    <w:nsid w:val="C1B4A333"/>
    <w:multiLevelType w:val="singleLevel"/>
    <w:tmpl w:val="C1B4A333"/>
    <w:lvl w:ilvl="0" w:tentative="0">
      <w:start w:val="2"/>
      <w:numFmt w:val="decimal"/>
      <w:suff w:val="nothing"/>
      <w:lvlText w:val="%1、"/>
      <w:lvlJc w:val="left"/>
    </w:lvl>
  </w:abstractNum>
  <w:abstractNum w:abstractNumId="2">
    <w:nsid w:val="C8769DE9"/>
    <w:multiLevelType w:val="singleLevel"/>
    <w:tmpl w:val="C8769DE9"/>
    <w:lvl w:ilvl="0" w:tentative="0">
      <w:start w:val="2"/>
      <w:numFmt w:val="decimal"/>
      <w:suff w:val="nothing"/>
      <w:lvlText w:val="（%1）"/>
      <w:lvlJc w:val="left"/>
    </w:lvl>
  </w:abstractNum>
  <w:abstractNum w:abstractNumId="3">
    <w:nsid w:val="04E356F8"/>
    <w:multiLevelType w:val="singleLevel"/>
    <w:tmpl w:val="04E356F8"/>
    <w:lvl w:ilvl="0" w:tentative="0">
      <w:start w:val="1"/>
      <w:numFmt w:val="decimal"/>
      <w:suff w:val="nothing"/>
      <w:lvlText w:val="%1、"/>
      <w:lvlJc w:val="left"/>
    </w:lvl>
  </w:abstractNum>
  <w:abstractNum w:abstractNumId="4">
    <w:nsid w:val="0F432353"/>
    <w:multiLevelType w:val="multilevel"/>
    <w:tmpl w:val="0F432353"/>
    <w:lvl w:ilvl="0" w:tentative="0">
      <w:start w:val="1"/>
      <w:numFmt w:val="decimal"/>
      <w:isLgl/>
      <w:suff w:val="space"/>
      <w:lvlText w:val="第%1章"/>
      <w:lvlJc w:val="center"/>
      <w:pPr>
        <w:ind w:left="0" w:firstLine="0"/>
      </w:pPr>
      <w:rPr>
        <w:rFonts w:hint="eastAsia"/>
      </w:rPr>
    </w:lvl>
    <w:lvl w:ilvl="1" w:tentative="0">
      <w:start w:val="1"/>
      <w:numFmt w:val="decimal"/>
      <w:isLgl/>
      <w:suff w:val="space"/>
      <w:lvlText w:val="%1.%2"/>
      <w:lvlJc w:val="left"/>
      <w:pPr>
        <w:ind w:left="0" w:firstLine="0"/>
      </w:pPr>
      <w:rPr>
        <w:rFonts w:hint="eastAsia" w:ascii="Times New Roman" w:hAnsi="Times New Roman" w:cs="Times New Roman"/>
        <w:b w:val="0"/>
        <w:bCs w:val="0"/>
        <w:i w:val="0"/>
        <w:iCs w:val="0"/>
        <w:caps w:val="0"/>
        <w:smallCaps w:val="0"/>
        <w:strike w:val="0"/>
        <w:dstrike w:val="0"/>
        <w:vanish w:val="0"/>
        <w:spacing w:val="0"/>
        <w:kern w:val="0"/>
        <w:position w:val="0"/>
        <w:u w:val="none"/>
        <w:vertAlign w:val="baseline"/>
      </w:rPr>
    </w:lvl>
    <w:lvl w:ilvl="2" w:tentative="0">
      <w:start w:val="1"/>
      <w:numFmt w:val="decimal"/>
      <w:isLgl/>
      <w:suff w:val="nothing"/>
      <w:lvlText w:val="%1.%2.%3"/>
      <w:lvlJc w:val="left"/>
      <w:pPr>
        <w:ind w:left="0" w:firstLine="0"/>
      </w:pPr>
      <w:rPr>
        <w:rFonts w:hint="eastAsia"/>
      </w:rPr>
    </w:lvl>
    <w:lvl w:ilvl="3" w:tentative="0">
      <w:start w:val="1"/>
      <w:numFmt w:val="decimal"/>
      <w:isLgl/>
      <w:suff w:val="nothing"/>
      <w:lvlText w:val="%1.%2.%3.%4"/>
      <w:lvlJc w:val="left"/>
      <w:pPr>
        <w:ind w:left="0" w:firstLine="0"/>
      </w:pPr>
      <w:rPr>
        <w:rFonts w:hint="eastAsia"/>
      </w:rPr>
    </w:lvl>
    <w:lvl w:ilvl="4" w:tentative="0">
      <w:start w:val="1"/>
      <w:numFmt w:val="decimal"/>
      <w:lvlRestart w:val="2"/>
      <w:pStyle w:val="36"/>
      <w:isLgl/>
      <w:suff w:val="nothing"/>
      <w:lvlText w:val="表%1.%2-%5"/>
      <w:lvlJc w:val="center"/>
      <w:pPr>
        <w:ind w:left="0" w:firstLine="0"/>
      </w:pPr>
    </w:lvl>
    <w:lvl w:ilvl="5" w:tentative="0">
      <w:start w:val="0"/>
      <w:numFmt w:val="decimal"/>
      <w:lvlText w:val=""/>
      <w:lvlJc w:val="left"/>
      <w:pPr>
        <w:ind w:left="0" w:firstLine="0"/>
      </w:pPr>
      <w:rPr>
        <w:rFonts w:hint="eastAsia"/>
      </w:rPr>
    </w:lvl>
    <w:lvl w:ilvl="6" w:tentative="0">
      <w:start w:val="0"/>
      <w:numFmt w:val="decimal"/>
      <w:lvlText w:val=""/>
      <w:lvlJc w:val="left"/>
      <w:pPr>
        <w:ind w:left="0" w:firstLine="0"/>
      </w:pPr>
      <w:rPr>
        <w:rFonts w:hint="eastAsia"/>
      </w:rPr>
    </w:lvl>
    <w:lvl w:ilvl="7" w:tentative="0">
      <w:start w:val="0"/>
      <w:numFmt w:val="decimal"/>
      <w:lvlText w:val=""/>
      <w:lvlJc w:val="left"/>
      <w:pPr>
        <w:ind w:left="0" w:firstLine="0"/>
      </w:pPr>
      <w:rPr>
        <w:rFonts w:hint="eastAsia"/>
      </w:rPr>
    </w:lvl>
    <w:lvl w:ilvl="8" w:tentative="0">
      <w:start w:val="0"/>
      <w:numFmt w:val="decimal"/>
      <w:lvlText w:val=""/>
      <w:lvlJc w:val="left"/>
      <w:pPr>
        <w:ind w:left="0" w:firstLine="0"/>
      </w:pPr>
      <w:rPr>
        <w:rFonts w:hint="eastAsia"/>
      </w:rPr>
    </w:lvl>
  </w:abstractNum>
  <w:abstractNum w:abstractNumId="5">
    <w:nsid w:val="1049AB53"/>
    <w:multiLevelType w:val="singleLevel"/>
    <w:tmpl w:val="1049AB53"/>
    <w:lvl w:ilvl="0" w:tentative="0">
      <w:start w:val="2"/>
      <w:numFmt w:val="decimal"/>
      <w:suff w:val="nothing"/>
      <w:lvlText w:val="（%1）"/>
      <w:lvlJc w:val="left"/>
    </w:lvl>
  </w:abstractNum>
  <w:abstractNum w:abstractNumId="6">
    <w:nsid w:val="5595CF87"/>
    <w:multiLevelType w:val="singleLevel"/>
    <w:tmpl w:val="5595CF87"/>
    <w:lvl w:ilvl="0" w:tentative="0">
      <w:start w:val="1"/>
      <w:numFmt w:val="decimal"/>
      <w:suff w:val="nothing"/>
      <w:lvlText w:val="%1、"/>
      <w:lvlJc w:val="left"/>
    </w:lvl>
  </w:abstractNum>
  <w:abstractNum w:abstractNumId="7">
    <w:nsid w:val="5A4A69E1"/>
    <w:multiLevelType w:val="singleLevel"/>
    <w:tmpl w:val="5A4A69E1"/>
    <w:lvl w:ilvl="0" w:tentative="0">
      <w:start w:val="1"/>
      <w:numFmt w:val="decimal"/>
      <w:suff w:val="nothing"/>
      <w:lvlText w:val="（%1）"/>
      <w:lvlJc w:val="left"/>
    </w:lvl>
  </w:abstractNum>
  <w:abstractNum w:abstractNumId="8">
    <w:nsid w:val="6F7892B5"/>
    <w:multiLevelType w:val="singleLevel"/>
    <w:tmpl w:val="6F7892B5"/>
    <w:lvl w:ilvl="0" w:tentative="0">
      <w:start w:val="5"/>
      <w:numFmt w:val="decimal"/>
      <w:suff w:val="nothing"/>
      <w:lvlText w:val="%1、"/>
      <w:lvlJc w:val="left"/>
    </w:lvl>
  </w:abstractNum>
  <w:abstractNum w:abstractNumId="9">
    <w:nsid w:val="7084B00C"/>
    <w:multiLevelType w:val="singleLevel"/>
    <w:tmpl w:val="7084B00C"/>
    <w:lvl w:ilvl="0" w:tentative="0">
      <w:start w:val="1"/>
      <w:numFmt w:val="decimal"/>
      <w:suff w:val="space"/>
      <w:lvlText w:val="%1."/>
      <w:lvlJc w:val="left"/>
    </w:lvl>
  </w:abstractNum>
  <w:num w:numId="1">
    <w:abstractNumId w:val="4"/>
  </w:num>
  <w:num w:numId="2">
    <w:abstractNumId w:val="9"/>
  </w:num>
  <w:num w:numId="3">
    <w:abstractNumId w:val="1"/>
  </w:num>
  <w:num w:numId="4">
    <w:abstractNumId w:val="0"/>
  </w:num>
  <w:num w:numId="5">
    <w:abstractNumId w:val="2"/>
  </w:num>
  <w:num w:numId="6">
    <w:abstractNumId w:val="3"/>
  </w:num>
  <w:num w:numId="7">
    <w:abstractNumId w:val="5"/>
  </w:num>
  <w:num w:numId="8">
    <w:abstractNumId w:val="6"/>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0MDZmYjI1ODZhZmRiNjU0NDRjYjcwMDM2YTFjOWEifQ=="/>
  </w:docVars>
  <w:rsids>
    <w:rsidRoot w:val="00172A27"/>
    <w:rsid w:val="000267AE"/>
    <w:rsid w:val="00124C8C"/>
    <w:rsid w:val="001361EA"/>
    <w:rsid w:val="00172A27"/>
    <w:rsid w:val="001B1371"/>
    <w:rsid w:val="001B745B"/>
    <w:rsid w:val="001E4111"/>
    <w:rsid w:val="002E0985"/>
    <w:rsid w:val="002E1C35"/>
    <w:rsid w:val="002E4461"/>
    <w:rsid w:val="002F0D65"/>
    <w:rsid w:val="00324016"/>
    <w:rsid w:val="00391867"/>
    <w:rsid w:val="003B6C45"/>
    <w:rsid w:val="003D1863"/>
    <w:rsid w:val="003F704E"/>
    <w:rsid w:val="00424E96"/>
    <w:rsid w:val="00440030"/>
    <w:rsid w:val="004558AE"/>
    <w:rsid w:val="00501949"/>
    <w:rsid w:val="005764F8"/>
    <w:rsid w:val="005C487F"/>
    <w:rsid w:val="005F77E0"/>
    <w:rsid w:val="00602A1A"/>
    <w:rsid w:val="00630B97"/>
    <w:rsid w:val="00636397"/>
    <w:rsid w:val="00687B62"/>
    <w:rsid w:val="00691B89"/>
    <w:rsid w:val="006C2F0F"/>
    <w:rsid w:val="007169F5"/>
    <w:rsid w:val="00724E10"/>
    <w:rsid w:val="00735F5E"/>
    <w:rsid w:val="00787F8A"/>
    <w:rsid w:val="007B2DAF"/>
    <w:rsid w:val="00833D74"/>
    <w:rsid w:val="00863DC4"/>
    <w:rsid w:val="008961CA"/>
    <w:rsid w:val="008D194B"/>
    <w:rsid w:val="0098118A"/>
    <w:rsid w:val="00A14891"/>
    <w:rsid w:val="00A47E8D"/>
    <w:rsid w:val="00A56EED"/>
    <w:rsid w:val="00B16749"/>
    <w:rsid w:val="00B705EC"/>
    <w:rsid w:val="00B71A62"/>
    <w:rsid w:val="00BC62F3"/>
    <w:rsid w:val="00BE48D3"/>
    <w:rsid w:val="00BF2DBF"/>
    <w:rsid w:val="00C14EEB"/>
    <w:rsid w:val="00C17A47"/>
    <w:rsid w:val="00C31CCC"/>
    <w:rsid w:val="00C31CCF"/>
    <w:rsid w:val="00CD1657"/>
    <w:rsid w:val="00CE43C7"/>
    <w:rsid w:val="00D973C4"/>
    <w:rsid w:val="00DE2238"/>
    <w:rsid w:val="00E11CF5"/>
    <w:rsid w:val="00E86630"/>
    <w:rsid w:val="00F036C9"/>
    <w:rsid w:val="00FB53A6"/>
    <w:rsid w:val="00FD154A"/>
    <w:rsid w:val="00FD59ED"/>
    <w:rsid w:val="01161381"/>
    <w:rsid w:val="017B0945"/>
    <w:rsid w:val="01A74369"/>
    <w:rsid w:val="01D02643"/>
    <w:rsid w:val="020C2D47"/>
    <w:rsid w:val="021D673F"/>
    <w:rsid w:val="0253791C"/>
    <w:rsid w:val="027D34DE"/>
    <w:rsid w:val="02C600A3"/>
    <w:rsid w:val="02E97ACB"/>
    <w:rsid w:val="02F44E16"/>
    <w:rsid w:val="03221C82"/>
    <w:rsid w:val="033B7533"/>
    <w:rsid w:val="0349117B"/>
    <w:rsid w:val="037618EA"/>
    <w:rsid w:val="03AB35A6"/>
    <w:rsid w:val="03AC50FA"/>
    <w:rsid w:val="03CD095B"/>
    <w:rsid w:val="03CE2876"/>
    <w:rsid w:val="03D0646F"/>
    <w:rsid w:val="03E91A81"/>
    <w:rsid w:val="046E6310"/>
    <w:rsid w:val="04B8054C"/>
    <w:rsid w:val="05693FB9"/>
    <w:rsid w:val="05A905FC"/>
    <w:rsid w:val="05C51C57"/>
    <w:rsid w:val="05ED245D"/>
    <w:rsid w:val="0659554A"/>
    <w:rsid w:val="06A93CA3"/>
    <w:rsid w:val="06D53FF1"/>
    <w:rsid w:val="0713480B"/>
    <w:rsid w:val="07231E69"/>
    <w:rsid w:val="07256189"/>
    <w:rsid w:val="077C1770"/>
    <w:rsid w:val="07986BBB"/>
    <w:rsid w:val="079C5571"/>
    <w:rsid w:val="0854010A"/>
    <w:rsid w:val="089723B1"/>
    <w:rsid w:val="08AD1C45"/>
    <w:rsid w:val="08E97A22"/>
    <w:rsid w:val="092D370C"/>
    <w:rsid w:val="09A37453"/>
    <w:rsid w:val="09AE6285"/>
    <w:rsid w:val="09BE532C"/>
    <w:rsid w:val="09CC2C7E"/>
    <w:rsid w:val="09E2115C"/>
    <w:rsid w:val="09EB5BAD"/>
    <w:rsid w:val="0A0F17B5"/>
    <w:rsid w:val="0A3D64E4"/>
    <w:rsid w:val="0A4C39A4"/>
    <w:rsid w:val="0A6434B4"/>
    <w:rsid w:val="0A8D1088"/>
    <w:rsid w:val="0B03120A"/>
    <w:rsid w:val="0B2C0A43"/>
    <w:rsid w:val="0B4E14EF"/>
    <w:rsid w:val="0B524481"/>
    <w:rsid w:val="0B6769AD"/>
    <w:rsid w:val="0C0974EF"/>
    <w:rsid w:val="0C584CFC"/>
    <w:rsid w:val="0CE0170C"/>
    <w:rsid w:val="0CEC5053"/>
    <w:rsid w:val="0D50011D"/>
    <w:rsid w:val="0D6E60A1"/>
    <w:rsid w:val="0DAC2BE0"/>
    <w:rsid w:val="0DC53159"/>
    <w:rsid w:val="0DDF1F5D"/>
    <w:rsid w:val="0DF87710"/>
    <w:rsid w:val="0E217F0E"/>
    <w:rsid w:val="0E4D6224"/>
    <w:rsid w:val="0E5326FC"/>
    <w:rsid w:val="0E8D12AC"/>
    <w:rsid w:val="0E8D6B3D"/>
    <w:rsid w:val="0ED339BE"/>
    <w:rsid w:val="0F090680"/>
    <w:rsid w:val="0F111912"/>
    <w:rsid w:val="0F15352F"/>
    <w:rsid w:val="0F1D534F"/>
    <w:rsid w:val="0F4E0AEF"/>
    <w:rsid w:val="0FD2474F"/>
    <w:rsid w:val="101D170C"/>
    <w:rsid w:val="1028024E"/>
    <w:rsid w:val="107C3FFB"/>
    <w:rsid w:val="10A11133"/>
    <w:rsid w:val="10AD2B28"/>
    <w:rsid w:val="10CB2243"/>
    <w:rsid w:val="10D174C3"/>
    <w:rsid w:val="10F43DD4"/>
    <w:rsid w:val="113F1490"/>
    <w:rsid w:val="11476CAA"/>
    <w:rsid w:val="116C7CAB"/>
    <w:rsid w:val="118F60CF"/>
    <w:rsid w:val="11D93757"/>
    <w:rsid w:val="11DB2F82"/>
    <w:rsid w:val="11E607D2"/>
    <w:rsid w:val="11F748B7"/>
    <w:rsid w:val="121B1287"/>
    <w:rsid w:val="123B3CA3"/>
    <w:rsid w:val="123D018D"/>
    <w:rsid w:val="1264486D"/>
    <w:rsid w:val="128A0105"/>
    <w:rsid w:val="12984039"/>
    <w:rsid w:val="12B0189F"/>
    <w:rsid w:val="13031039"/>
    <w:rsid w:val="133B5D22"/>
    <w:rsid w:val="136B1323"/>
    <w:rsid w:val="139978A7"/>
    <w:rsid w:val="1423559E"/>
    <w:rsid w:val="144638D4"/>
    <w:rsid w:val="149A490B"/>
    <w:rsid w:val="15442E15"/>
    <w:rsid w:val="15BA227C"/>
    <w:rsid w:val="15F95A83"/>
    <w:rsid w:val="16A6046E"/>
    <w:rsid w:val="16BD73D6"/>
    <w:rsid w:val="16C904F5"/>
    <w:rsid w:val="16EC061C"/>
    <w:rsid w:val="170027A2"/>
    <w:rsid w:val="17151A29"/>
    <w:rsid w:val="17391BA1"/>
    <w:rsid w:val="17681A7D"/>
    <w:rsid w:val="17AA3CB7"/>
    <w:rsid w:val="17B10F10"/>
    <w:rsid w:val="17BD66AA"/>
    <w:rsid w:val="183E348C"/>
    <w:rsid w:val="18644DCF"/>
    <w:rsid w:val="1880075E"/>
    <w:rsid w:val="18DE1F23"/>
    <w:rsid w:val="18EB4163"/>
    <w:rsid w:val="19C16692"/>
    <w:rsid w:val="1A311066"/>
    <w:rsid w:val="1AD10BBC"/>
    <w:rsid w:val="1AE40C5E"/>
    <w:rsid w:val="1B4B6E4F"/>
    <w:rsid w:val="1B760452"/>
    <w:rsid w:val="1BDD3667"/>
    <w:rsid w:val="1BF46F59"/>
    <w:rsid w:val="1BF65ECC"/>
    <w:rsid w:val="1C0B2BAF"/>
    <w:rsid w:val="1D094185"/>
    <w:rsid w:val="1D0D782F"/>
    <w:rsid w:val="1D115A7C"/>
    <w:rsid w:val="1D357B45"/>
    <w:rsid w:val="1D992860"/>
    <w:rsid w:val="1D9D525C"/>
    <w:rsid w:val="1D9D5E45"/>
    <w:rsid w:val="1DE1772C"/>
    <w:rsid w:val="1DFD7970"/>
    <w:rsid w:val="1EC473B4"/>
    <w:rsid w:val="1F041D46"/>
    <w:rsid w:val="1F086AFE"/>
    <w:rsid w:val="1F097A07"/>
    <w:rsid w:val="1F1B448B"/>
    <w:rsid w:val="1F7638D9"/>
    <w:rsid w:val="1F7B0466"/>
    <w:rsid w:val="1F885B44"/>
    <w:rsid w:val="1FC6153F"/>
    <w:rsid w:val="1FE3361D"/>
    <w:rsid w:val="1FEB6733"/>
    <w:rsid w:val="2009596F"/>
    <w:rsid w:val="201B4437"/>
    <w:rsid w:val="20354EDA"/>
    <w:rsid w:val="205145E4"/>
    <w:rsid w:val="206369CD"/>
    <w:rsid w:val="20826828"/>
    <w:rsid w:val="20854FA7"/>
    <w:rsid w:val="20A67279"/>
    <w:rsid w:val="20A9091F"/>
    <w:rsid w:val="20D74BF7"/>
    <w:rsid w:val="20D97BFC"/>
    <w:rsid w:val="20EF7729"/>
    <w:rsid w:val="210466A8"/>
    <w:rsid w:val="21447812"/>
    <w:rsid w:val="220B4608"/>
    <w:rsid w:val="22280453"/>
    <w:rsid w:val="227527C2"/>
    <w:rsid w:val="22796D32"/>
    <w:rsid w:val="22A46395"/>
    <w:rsid w:val="22DE2C70"/>
    <w:rsid w:val="231B4F3B"/>
    <w:rsid w:val="23E038A2"/>
    <w:rsid w:val="23E05708"/>
    <w:rsid w:val="23F92E98"/>
    <w:rsid w:val="241E6014"/>
    <w:rsid w:val="24D203B7"/>
    <w:rsid w:val="25290BDE"/>
    <w:rsid w:val="25645C2C"/>
    <w:rsid w:val="256F7A98"/>
    <w:rsid w:val="258A2AF7"/>
    <w:rsid w:val="266863F9"/>
    <w:rsid w:val="26B90FA9"/>
    <w:rsid w:val="27006272"/>
    <w:rsid w:val="27077D9F"/>
    <w:rsid w:val="270F0DA7"/>
    <w:rsid w:val="272C1B70"/>
    <w:rsid w:val="281933DC"/>
    <w:rsid w:val="284762ED"/>
    <w:rsid w:val="28632F63"/>
    <w:rsid w:val="286A0B75"/>
    <w:rsid w:val="28DD3586"/>
    <w:rsid w:val="28F434A6"/>
    <w:rsid w:val="292508D7"/>
    <w:rsid w:val="295D3B08"/>
    <w:rsid w:val="29BD2746"/>
    <w:rsid w:val="29F061F8"/>
    <w:rsid w:val="2A614B6C"/>
    <w:rsid w:val="2A7E7D38"/>
    <w:rsid w:val="2AC364BE"/>
    <w:rsid w:val="2AEA31DB"/>
    <w:rsid w:val="2AF72B16"/>
    <w:rsid w:val="2AF85308"/>
    <w:rsid w:val="2AFB5029"/>
    <w:rsid w:val="2B294E5B"/>
    <w:rsid w:val="2B4B0019"/>
    <w:rsid w:val="2B5B2654"/>
    <w:rsid w:val="2B5B5219"/>
    <w:rsid w:val="2B982C80"/>
    <w:rsid w:val="2BB03438"/>
    <w:rsid w:val="2BB3445D"/>
    <w:rsid w:val="2BC76C50"/>
    <w:rsid w:val="2BDD06EA"/>
    <w:rsid w:val="2C4B13FD"/>
    <w:rsid w:val="2C702EFB"/>
    <w:rsid w:val="2CB74F17"/>
    <w:rsid w:val="2CBB6970"/>
    <w:rsid w:val="2D610802"/>
    <w:rsid w:val="2D8F2691"/>
    <w:rsid w:val="2D99141A"/>
    <w:rsid w:val="2DA062D3"/>
    <w:rsid w:val="2DB62EAA"/>
    <w:rsid w:val="2DB773A6"/>
    <w:rsid w:val="2E1555FE"/>
    <w:rsid w:val="2E482D57"/>
    <w:rsid w:val="2E732B82"/>
    <w:rsid w:val="2E7417C2"/>
    <w:rsid w:val="2E8007AE"/>
    <w:rsid w:val="2E8D1817"/>
    <w:rsid w:val="2EC77E3E"/>
    <w:rsid w:val="2F0236E2"/>
    <w:rsid w:val="2F2A64B2"/>
    <w:rsid w:val="2F3C5AE9"/>
    <w:rsid w:val="2FC3709C"/>
    <w:rsid w:val="301D11FA"/>
    <w:rsid w:val="30417351"/>
    <w:rsid w:val="304D1F83"/>
    <w:rsid w:val="305166D9"/>
    <w:rsid w:val="30C24BD4"/>
    <w:rsid w:val="30D24BED"/>
    <w:rsid w:val="30E45588"/>
    <w:rsid w:val="30E5729F"/>
    <w:rsid w:val="31362DFD"/>
    <w:rsid w:val="318235E3"/>
    <w:rsid w:val="31B952C3"/>
    <w:rsid w:val="32BB0CF7"/>
    <w:rsid w:val="33286F39"/>
    <w:rsid w:val="33421AB8"/>
    <w:rsid w:val="339C2E39"/>
    <w:rsid w:val="33B069D9"/>
    <w:rsid w:val="33FB1803"/>
    <w:rsid w:val="342F03CC"/>
    <w:rsid w:val="34457169"/>
    <w:rsid w:val="344E1C78"/>
    <w:rsid w:val="346056D9"/>
    <w:rsid w:val="34693082"/>
    <w:rsid w:val="3499500F"/>
    <w:rsid w:val="34F827BB"/>
    <w:rsid w:val="350529D6"/>
    <w:rsid w:val="363E1597"/>
    <w:rsid w:val="36773D1D"/>
    <w:rsid w:val="36856700"/>
    <w:rsid w:val="369D2E79"/>
    <w:rsid w:val="369E270D"/>
    <w:rsid w:val="36CC06D6"/>
    <w:rsid w:val="3705521C"/>
    <w:rsid w:val="373E1BCC"/>
    <w:rsid w:val="377E310B"/>
    <w:rsid w:val="37AC6E81"/>
    <w:rsid w:val="37BE7196"/>
    <w:rsid w:val="38141881"/>
    <w:rsid w:val="381C6F43"/>
    <w:rsid w:val="381F02B5"/>
    <w:rsid w:val="38393D38"/>
    <w:rsid w:val="38B16E69"/>
    <w:rsid w:val="38C73435"/>
    <w:rsid w:val="39BA729B"/>
    <w:rsid w:val="39FA5917"/>
    <w:rsid w:val="3A47408D"/>
    <w:rsid w:val="3AB2671B"/>
    <w:rsid w:val="3ACC590D"/>
    <w:rsid w:val="3B7516FD"/>
    <w:rsid w:val="3B936C18"/>
    <w:rsid w:val="3BA01718"/>
    <w:rsid w:val="3BA64B36"/>
    <w:rsid w:val="3BBE154E"/>
    <w:rsid w:val="3BC4757F"/>
    <w:rsid w:val="3C400A6C"/>
    <w:rsid w:val="3C4C7E41"/>
    <w:rsid w:val="3C7D6E01"/>
    <w:rsid w:val="3D343B3E"/>
    <w:rsid w:val="3D936471"/>
    <w:rsid w:val="3D9F78D6"/>
    <w:rsid w:val="3DA12467"/>
    <w:rsid w:val="3DA27CA7"/>
    <w:rsid w:val="3DAE5468"/>
    <w:rsid w:val="3DBA5AA9"/>
    <w:rsid w:val="3DF909AD"/>
    <w:rsid w:val="3E22376D"/>
    <w:rsid w:val="3E410685"/>
    <w:rsid w:val="3E4E7132"/>
    <w:rsid w:val="3EBD7882"/>
    <w:rsid w:val="3EEF22EE"/>
    <w:rsid w:val="3F063EA6"/>
    <w:rsid w:val="3F2B002A"/>
    <w:rsid w:val="3F2F08E3"/>
    <w:rsid w:val="3F563219"/>
    <w:rsid w:val="3FCC14EC"/>
    <w:rsid w:val="3FF06549"/>
    <w:rsid w:val="401F7A0E"/>
    <w:rsid w:val="402C0CFE"/>
    <w:rsid w:val="40321C70"/>
    <w:rsid w:val="40BF3F42"/>
    <w:rsid w:val="4111773A"/>
    <w:rsid w:val="420818AA"/>
    <w:rsid w:val="423A4B83"/>
    <w:rsid w:val="42783449"/>
    <w:rsid w:val="42D958A8"/>
    <w:rsid w:val="42E12896"/>
    <w:rsid w:val="430F4A24"/>
    <w:rsid w:val="433607FF"/>
    <w:rsid w:val="435B516A"/>
    <w:rsid w:val="435F2677"/>
    <w:rsid w:val="436E4F7B"/>
    <w:rsid w:val="43843785"/>
    <w:rsid w:val="43E179C4"/>
    <w:rsid w:val="43EF7878"/>
    <w:rsid w:val="447A2D02"/>
    <w:rsid w:val="448D1087"/>
    <w:rsid w:val="44B54378"/>
    <w:rsid w:val="44BB6944"/>
    <w:rsid w:val="450E23E9"/>
    <w:rsid w:val="451C0A61"/>
    <w:rsid w:val="45231780"/>
    <w:rsid w:val="4549537D"/>
    <w:rsid w:val="454A2EC2"/>
    <w:rsid w:val="455671BE"/>
    <w:rsid w:val="460D470D"/>
    <w:rsid w:val="463330D7"/>
    <w:rsid w:val="46513CE4"/>
    <w:rsid w:val="466A1B0F"/>
    <w:rsid w:val="46753AD4"/>
    <w:rsid w:val="46755243"/>
    <w:rsid w:val="46B14243"/>
    <w:rsid w:val="46C90079"/>
    <w:rsid w:val="46D12EE7"/>
    <w:rsid w:val="46F90FF5"/>
    <w:rsid w:val="4741682D"/>
    <w:rsid w:val="4753585C"/>
    <w:rsid w:val="47677F9F"/>
    <w:rsid w:val="47B40D6E"/>
    <w:rsid w:val="47B90F74"/>
    <w:rsid w:val="47BD1354"/>
    <w:rsid w:val="47E07053"/>
    <w:rsid w:val="47E141F4"/>
    <w:rsid w:val="47F74333"/>
    <w:rsid w:val="47FD2EDF"/>
    <w:rsid w:val="482362D5"/>
    <w:rsid w:val="482E70E5"/>
    <w:rsid w:val="48BB52F9"/>
    <w:rsid w:val="4900516D"/>
    <w:rsid w:val="49092480"/>
    <w:rsid w:val="493167A1"/>
    <w:rsid w:val="49403578"/>
    <w:rsid w:val="49655B08"/>
    <w:rsid w:val="49A00EE4"/>
    <w:rsid w:val="49A6448E"/>
    <w:rsid w:val="49B05341"/>
    <w:rsid w:val="49EA66EE"/>
    <w:rsid w:val="4A0707F1"/>
    <w:rsid w:val="4A28271A"/>
    <w:rsid w:val="4A805FE3"/>
    <w:rsid w:val="4A8B605B"/>
    <w:rsid w:val="4AAB218B"/>
    <w:rsid w:val="4AEC5ECE"/>
    <w:rsid w:val="4B0215FB"/>
    <w:rsid w:val="4B1F4221"/>
    <w:rsid w:val="4B6955F6"/>
    <w:rsid w:val="4B990325"/>
    <w:rsid w:val="4BB4141E"/>
    <w:rsid w:val="4BD81AEF"/>
    <w:rsid w:val="4C116BF5"/>
    <w:rsid w:val="4C2D2421"/>
    <w:rsid w:val="4C6E389F"/>
    <w:rsid w:val="4C6E59B3"/>
    <w:rsid w:val="4CB2168E"/>
    <w:rsid w:val="4CB96330"/>
    <w:rsid w:val="4CC64F30"/>
    <w:rsid w:val="4CE25C17"/>
    <w:rsid w:val="4D0D2B4C"/>
    <w:rsid w:val="4D1B54DE"/>
    <w:rsid w:val="4D253538"/>
    <w:rsid w:val="4D900DD8"/>
    <w:rsid w:val="4D9B2A4B"/>
    <w:rsid w:val="4E353C32"/>
    <w:rsid w:val="4EC04D70"/>
    <w:rsid w:val="4ED754D8"/>
    <w:rsid w:val="4EF308EC"/>
    <w:rsid w:val="4F1E60A9"/>
    <w:rsid w:val="4F683963"/>
    <w:rsid w:val="4F7D3785"/>
    <w:rsid w:val="4FF62710"/>
    <w:rsid w:val="4FF65889"/>
    <w:rsid w:val="502D7C51"/>
    <w:rsid w:val="50497753"/>
    <w:rsid w:val="504E306C"/>
    <w:rsid w:val="506D3BED"/>
    <w:rsid w:val="50757B3C"/>
    <w:rsid w:val="508E1E5D"/>
    <w:rsid w:val="509A1B7B"/>
    <w:rsid w:val="509A2C0D"/>
    <w:rsid w:val="50AA44C3"/>
    <w:rsid w:val="50DF6CDD"/>
    <w:rsid w:val="517168AD"/>
    <w:rsid w:val="51772E0C"/>
    <w:rsid w:val="51AA0775"/>
    <w:rsid w:val="51E2011D"/>
    <w:rsid w:val="52221D4B"/>
    <w:rsid w:val="52983131"/>
    <w:rsid w:val="529C4037"/>
    <w:rsid w:val="52C028A8"/>
    <w:rsid w:val="52EB34F6"/>
    <w:rsid w:val="530B4D79"/>
    <w:rsid w:val="53456B4D"/>
    <w:rsid w:val="53612159"/>
    <w:rsid w:val="53BC4849"/>
    <w:rsid w:val="53F7273F"/>
    <w:rsid w:val="54151C75"/>
    <w:rsid w:val="5428598C"/>
    <w:rsid w:val="5437028A"/>
    <w:rsid w:val="54433D85"/>
    <w:rsid w:val="552317B6"/>
    <w:rsid w:val="554B1EEA"/>
    <w:rsid w:val="556116B0"/>
    <w:rsid w:val="568D0C9D"/>
    <w:rsid w:val="56AF5FD4"/>
    <w:rsid w:val="56D920C4"/>
    <w:rsid w:val="56DB6E9A"/>
    <w:rsid w:val="572A2889"/>
    <w:rsid w:val="5744650F"/>
    <w:rsid w:val="57586AAD"/>
    <w:rsid w:val="57857649"/>
    <w:rsid w:val="57B02F9F"/>
    <w:rsid w:val="57B52A0A"/>
    <w:rsid w:val="57CB33DC"/>
    <w:rsid w:val="57FF32C7"/>
    <w:rsid w:val="58404BAE"/>
    <w:rsid w:val="58441B79"/>
    <w:rsid w:val="58572052"/>
    <w:rsid w:val="589D0369"/>
    <w:rsid w:val="58CD048A"/>
    <w:rsid w:val="59834189"/>
    <w:rsid w:val="59891978"/>
    <w:rsid w:val="59BA7ABB"/>
    <w:rsid w:val="59DF560E"/>
    <w:rsid w:val="59DF58CF"/>
    <w:rsid w:val="59E42079"/>
    <w:rsid w:val="59EA375B"/>
    <w:rsid w:val="5A0A1136"/>
    <w:rsid w:val="5A500DA3"/>
    <w:rsid w:val="5AB70CDF"/>
    <w:rsid w:val="5B1E0B11"/>
    <w:rsid w:val="5B26719A"/>
    <w:rsid w:val="5B6E6ECE"/>
    <w:rsid w:val="5B703C64"/>
    <w:rsid w:val="5B9F175F"/>
    <w:rsid w:val="5BA10582"/>
    <w:rsid w:val="5BE3040D"/>
    <w:rsid w:val="5C2A2A79"/>
    <w:rsid w:val="5C6A6223"/>
    <w:rsid w:val="5C6C3E79"/>
    <w:rsid w:val="5C7834CB"/>
    <w:rsid w:val="5C872268"/>
    <w:rsid w:val="5CA63D15"/>
    <w:rsid w:val="5CE25051"/>
    <w:rsid w:val="5CED2814"/>
    <w:rsid w:val="5CFD7E74"/>
    <w:rsid w:val="5D035A0E"/>
    <w:rsid w:val="5DA447BC"/>
    <w:rsid w:val="5DC1149C"/>
    <w:rsid w:val="5E6D1395"/>
    <w:rsid w:val="5E7961C1"/>
    <w:rsid w:val="5EA33DFC"/>
    <w:rsid w:val="5F710023"/>
    <w:rsid w:val="5F7E00CF"/>
    <w:rsid w:val="5F93359F"/>
    <w:rsid w:val="5FBD0C24"/>
    <w:rsid w:val="5FFE5700"/>
    <w:rsid w:val="60300F22"/>
    <w:rsid w:val="60407D58"/>
    <w:rsid w:val="605108E0"/>
    <w:rsid w:val="606D3688"/>
    <w:rsid w:val="608A1AC7"/>
    <w:rsid w:val="60B57376"/>
    <w:rsid w:val="60E40E2C"/>
    <w:rsid w:val="60FF24C2"/>
    <w:rsid w:val="61072709"/>
    <w:rsid w:val="61860C5B"/>
    <w:rsid w:val="61882948"/>
    <w:rsid w:val="61C56A26"/>
    <w:rsid w:val="61CC6F6B"/>
    <w:rsid w:val="61CE1DDF"/>
    <w:rsid w:val="62022E61"/>
    <w:rsid w:val="624D4B74"/>
    <w:rsid w:val="62C90722"/>
    <w:rsid w:val="62E30E76"/>
    <w:rsid w:val="63324C6E"/>
    <w:rsid w:val="636470D7"/>
    <w:rsid w:val="63765739"/>
    <w:rsid w:val="63817ACE"/>
    <w:rsid w:val="6386124A"/>
    <w:rsid w:val="63C60877"/>
    <w:rsid w:val="63F4419C"/>
    <w:rsid w:val="64120656"/>
    <w:rsid w:val="64606704"/>
    <w:rsid w:val="64DF4FFF"/>
    <w:rsid w:val="64FA049F"/>
    <w:rsid w:val="65FC4BDB"/>
    <w:rsid w:val="661145F5"/>
    <w:rsid w:val="663F1584"/>
    <w:rsid w:val="665A1BDA"/>
    <w:rsid w:val="667226EC"/>
    <w:rsid w:val="67882F95"/>
    <w:rsid w:val="67B71945"/>
    <w:rsid w:val="67FB1582"/>
    <w:rsid w:val="6840603D"/>
    <w:rsid w:val="68525E8B"/>
    <w:rsid w:val="69327385"/>
    <w:rsid w:val="69532642"/>
    <w:rsid w:val="69DB78CC"/>
    <w:rsid w:val="6A595000"/>
    <w:rsid w:val="6ADC6ADC"/>
    <w:rsid w:val="6B460F19"/>
    <w:rsid w:val="6B5307C0"/>
    <w:rsid w:val="6B6442C9"/>
    <w:rsid w:val="6B803FC6"/>
    <w:rsid w:val="6B8125F5"/>
    <w:rsid w:val="6BB121C7"/>
    <w:rsid w:val="6BD44496"/>
    <w:rsid w:val="6BFD532F"/>
    <w:rsid w:val="6C2814C5"/>
    <w:rsid w:val="6C4C3656"/>
    <w:rsid w:val="6C664DF2"/>
    <w:rsid w:val="6C815525"/>
    <w:rsid w:val="6CB26AA1"/>
    <w:rsid w:val="6D3708FF"/>
    <w:rsid w:val="6D7875A5"/>
    <w:rsid w:val="6DBE1F99"/>
    <w:rsid w:val="6DC03BF0"/>
    <w:rsid w:val="6E232D28"/>
    <w:rsid w:val="6E501F00"/>
    <w:rsid w:val="6E7C3ABA"/>
    <w:rsid w:val="6E997D2F"/>
    <w:rsid w:val="6EB42FA3"/>
    <w:rsid w:val="6EDA6E0C"/>
    <w:rsid w:val="6EFA2E1A"/>
    <w:rsid w:val="6F405236"/>
    <w:rsid w:val="6F4869F1"/>
    <w:rsid w:val="6F4877BE"/>
    <w:rsid w:val="6F4A5EE7"/>
    <w:rsid w:val="6F8B537D"/>
    <w:rsid w:val="6F904BDE"/>
    <w:rsid w:val="6F91141C"/>
    <w:rsid w:val="6FBF2E55"/>
    <w:rsid w:val="700938F6"/>
    <w:rsid w:val="707327C8"/>
    <w:rsid w:val="70737A09"/>
    <w:rsid w:val="707B10D7"/>
    <w:rsid w:val="7087615F"/>
    <w:rsid w:val="70E91ED6"/>
    <w:rsid w:val="71190F28"/>
    <w:rsid w:val="713C1D6D"/>
    <w:rsid w:val="71A20A44"/>
    <w:rsid w:val="71AF2CDF"/>
    <w:rsid w:val="71C075D0"/>
    <w:rsid w:val="72231CD3"/>
    <w:rsid w:val="72570FBF"/>
    <w:rsid w:val="730840D9"/>
    <w:rsid w:val="733131CB"/>
    <w:rsid w:val="734908B8"/>
    <w:rsid w:val="73650526"/>
    <w:rsid w:val="738C1AEF"/>
    <w:rsid w:val="739E0815"/>
    <w:rsid w:val="73BF5218"/>
    <w:rsid w:val="73DA456B"/>
    <w:rsid w:val="73F22B6A"/>
    <w:rsid w:val="746E20C7"/>
    <w:rsid w:val="74760972"/>
    <w:rsid w:val="75076260"/>
    <w:rsid w:val="756B25EB"/>
    <w:rsid w:val="75AC1C95"/>
    <w:rsid w:val="75CC2672"/>
    <w:rsid w:val="75D77C14"/>
    <w:rsid w:val="75E04EE1"/>
    <w:rsid w:val="761330AB"/>
    <w:rsid w:val="761769E9"/>
    <w:rsid w:val="764E5797"/>
    <w:rsid w:val="76A4663C"/>
    <w:rsid w:val="76F959A4"/>
    <w:rsid w:val="770C2D36"/>
    <w:rsid w:val="775B4928"/>
    <w:rsid w:val="77651918"/>
    <w:rsid w:val="777228EC"/>
    <w:rsid w:val="779D54AA"/>
    <w:rsid w:val="78085C32"/>
    <w:rsid w:val="784B34A0"/>
    <w:rsid w:val="79094215"/>
    <w:rsid w:val="790D0689"/>
    <w:rsid w:val="79196953"/>
    <w:rsid w:val="795E4973"/>
    <w:rsid w:val="79932CDD"/>
    <w:rsid w:val="79AF4111"/>
    <w:rsid w:val="79B01F4F"/>
    <w:rsid w:val="7A0C263A"/>
    <w:rsid w:val="7A3A5E0C"/>
    <w:rsid w:val="7A710091"/>
    <w:rsid w:val="7AA9363A"/>
    <w:rsid w:val="7AC26604"/>
    <w:rsid w:val="7ACD3EED"/>
    <w:rsid w:val="7AD62C51"/>
    <w:rsid w:val="7B0A7C76"/>
    <w:rsid w:val="7B88692C"/>
    <w:rsid w:val="7C2D6612"/>
    <w:rsid w:val="7CE20E1A"/>
    <w:rsid w:val="7D002834"/>
    <w:rsid w:val="7D57214E"/>
    <w:rsid w:val="7D592A4D"/>
    <w:rsid w:val="7D730F31"/>
    <w:rsid w:val="7D753548"/>
    <w:rsid w:val="7D8214F8"/>
    <w:rsid w:val="7D862189"/>
    <w:rsid w:val="7D8D1B16"/>
    <w:rsid w:val="7E7E3DBF"/>
    <w:rsid w:val="7E835DB6"/>
    <w:rsid w:val="7EAD1705"/>
    <w:rsid w:val="7EAE39FD"/>
    <w:rsid w:val="7ECC2586"/>
    <w:rsid w:val="7F8205CB"/>
    <w:rsid w:val="7F833C67"/>
    <w:rsid w:val="7F9326A8"/>
    <w:rsid w:val="7FEA51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outlineLvl w:val="0"/>
    </w:pPr>
    <w:rPr>
      <w:b/>
      <w:bCs/>
      <w:sz w:val="28"/>
    </w:rPr>
  </w:style>
  <w:style w:type="paragraph" w:styleId="3">
    <w:name w:val="heading 3"/>
    <w:basedOn w:val="1"/>
    <w:next w:val="1"/>
    <w:qFormat/>
    <w:uiPriority w:val="0"/>
    <w:pPr>
      <w:keepNext/>
      <w:keepLines/>
      <w:spacing w:before="260" w:after="260" w:line="416" w:lineRule="auto"/>
      <w:outlineLvl w:val="2"/>
    </w:pPr>
    <w:rPr>
      <w:b/>
      <w:bCs/>
      <w:sz w:val="32"/>
      <w:szCs w:val="32"/>
    </w:rPr>
  </w:style>
  <w:style w:type="character" w:default="1" w:styleId="26">
    <w:name w:val="Default Paragraph Font"/>
    <w:autoRedefine/>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4">
    <w:name w:val="Normal Indent"/>
    <w:basedOn w:val="1"/>
    <w:next w:val="1"/>
    <w:qFormat/>
    <w:uiPriority w:val="0"/>
    <w:pPr>
      <w:ind w:firstLine="420"/>
    </w:pPr>
    <w:rPr>
      <w:rFonts w:ascii="Times New Roman"/>
      <w:sz w:val="28"/>
    </w:rPr>
  </w:style>
  <w:style w:type="paragraph" w:styleId="5">
    <w:name w:val="caption"/>
    <w:basedOn w:val="1"/>
    <w:next w:val="1"/>
    <w:autoRedefine/>
    <w:qFormat/>
    <w:uiPriority w:val="0"/>
    <w:pPr>
      <w:spacing w:before="25" w:beforeLines="25" w:line="360" w:lineRule="auto"/>
      <w:jc w:val="center"/>
    </w:pPr>
    <w:rPr>
      <w:rFonts w:ascii="黑体" w:hAnsi="宋体" w:eastAsia="黑体"/>
      <w:szCs w:val="20"/>
    </w:rPr>
  </w:style>
  <w:style w:type="paragraph" w:styleId="6">
    <w:name w:val="annotation text"/>
    <w:basedOn w:val="1"/>
    <w:link w:val="60"/>
    <w:autoRedefine/>
    <w:qFormat/>
    <w:uiPriority w:val="99"/>
    <w:pPr>
      <w:jc w:val="left"/>
    </w:pPr>
  </w:style>
  <w:style w:type="paragraph" w:styleId="7">
    <w:name w:val="Body Text"/>
    <w:basedOn w:val="1"/>
    <w:next w:val="1"/>
    <w:qFormat/>
    <w:uiPriority w:val="0"/>
    <w:pPr>
      <w:spacing w:after="120"/>
    </w:pPr>
  </w:style>
  <w:style w:type="paragraph" w:styleId="8">
    <w:name w:val="Body Text Indent"/>
    <w:basedOn w:val="1"/>
    <w:next w:val="9"/>
    <w:qFormat/>
    <w:uiPriority w:val="0"/>
    <w:pPr>
      <w:spacing w:after="120"/>
      <w:ind w:left="420" w:leftChars="200"/>
    </w:pPr>
  </w:style>
  <w:style w:type="paragraph" w:customStyle="1" w:styleId="9">
    <w:name w:val="样式 正文文本缩进 + 行距: 1.5 倍行距"/>
    <w:basedOn w:val="10"/>
    <w:next w:val="11"/>
    <w:qFormat/>
    <w:uiPriority w:val="0"/>
    <w:pPr>
      <w:spacing w:after="120" w:line="360" w:lineRule="auto"/>
      <w:ind w:left="90" w:leftChars="32" w:firstLine="560" w:firstLineChars="200"/>
    </w:pPr>
    <w:rPr>
      <w:rFonts w:cs="宋体"/>
      <w:sz w:val="24"/>
    </w:rPr>
  </w:style>
  <w:style w:type="paragraph" w:customStyle="1" w:styleId="10">
    <w:name w:val="Body Text Indent"/>
    <w:basedOn w:val="1"/>
    <w:next w:val="9"/>
    <w:autoRedefine/>
    <w:qFormat/>
    <w:uiPriority w:val="0"/>
    <w:pPr>
      <w:spacing w:after="120" w:afterLines="0"/>
      <w:ind w:left="420" w:leftChars="200"/>
    </w:pPr>
    <w:rPr>
      <w:rFonts w:ascii="Times New Roman" w:hAnsi="Times New Roman" w:eastAsia="宋体"/>
      <w:sz w:val="24"/>
    </w:rPr>
  </w:style>
  <w:style w:type="paragraph" w:styleId="11">
    <w:name w:val="header"/>
    <w:basedOn w:val="1"/>
    <w:next w:val="12"/>
    <w:link w:val="59"/>
    <w:autoRedefine/>
    <w:qFormat/>
    <w:uiPriority w:val="0"/>
    <w:pPr>
      <w:pBdr>
        <w:bottom w:val="single" w:color="auto" w:sz="6" w:space="1"/>
      </w:pBdr>
      <w:tabs>
        <w:tab w:val="center" w:pos="4153"/>
        <w:tab w:val="right" w:pos="8306"/>
      </w:tabs>
      <w:snapToGrid w:val="0"/>
      <w:jc w:val="center"/>
    </w:pPr>
    <w:rPr>
      <w:sz w:val="18"/>
      <w:szCs w:val="18"/>
    </w:rPr>
  </w:style>
  <w:style w:type="paragraph" w:customStyle="1" w:styleId="12">
    <w:name w:val="样式5"/>
    <w:basedOn w:val="13"/>
    <w:autoRedefine/>
    <w:qFormat/>
    <w:uiPriority w:val="0"/>
    <w:pPr>
      <w:snapToGrid w:val="0"/>
      <w:spacing w:before="62" w:beforeLines="20" w:after="62" w:afterLines="20" w:line="480" w:lineRule="exact"/>
      <w:ind w:firstLine="523" w:firstLineChars="218"/>
      <w:jc w:val="both"/>
    </w:pPr>
    <w:rPr>
      <w:i/>
      <w:iCs/>
      <w:kern w:val="2"/>
      <w:sz w:val="24"/>
      <w:szCs w:val="20"/>
    </w:rPr>
  </w:style>
  <w:style w:type="paragraph" w:customStyle="1" w:styleId="13">
    <w:name w:val="正文1"/>
    <w:basedOn w:val="1"/>
    <w:next w:val="1"/>
    <w:autoRedefine/>
    <w:qFormat/>
    <w:uiPriority w:val="0"/>
    <w:pPr>
      <w:ind w:firstLine="505"/>
    </w:pPr>
    <w:rPr>
      <w:rFonts w:ascii="宋体" w:hAnsi="宋体" w:cs="Times New Roman"/>
      <w:kern w:val="2"/>
      <w:sz w:val="28"/>
      <w:szCs w:val="20"/>
    </w:rPr>
  </w:style>
  <w:style w:type="paragraph" w:styleId="14">
    <w:name w:val="Plain Text"/>
    <w:basedOn w:val="1"/>
    <w:autoRedefine/>
    <w:qFormat/>
    <w:uiPriority w:val="0"/>
    <w:rPr>
      <w:rFonts w:ascii="宋体" w:hAnsi="Courier New"/>
      <w:sz w:val="28"/>
    </w:rPr>
  </w:style>
  <w:style w:type="paragraph" w:styleId="15">
    <w:name w:val="Balloon Text"/>
    <w:basedOn w:val="1"/>
    <w:link w:val="62"/>
    <w:autoRedefine/>
    <w:qFormat/>
    <w:uiPriority w:val="0"/>
    <w:rPr>
      <w:sz w:val="18"/>
      <w:szCs w:val="18"/>
    </w:rPr>
  </w:style>
  <w:style w:type="paragraph" w:styleId="16">
    <w:name w:val="footer"/>
    <w:basedOn w:val="1"/>
    <w:link w:val="40"/>
    <w:autoRedefine/>
    <w:qFormat/>
    <w:uiPriority w:val="0"/>
    <w:pPr>
      <w:tabs>
        <w:tab w:val="center" w:pos="4153"/>
        <w:tab w:val="right" w:pos="8306"/>
      </w:tabs>
      <w:snapToGrid w:val="0"/>
      <w:jc w:val="left"/>
    </w:pPr>
    <w:rPr>
      <w:sz w:val="18"/>
    </w:rPr>
  </w:style>
  <w:style w:type="paragraph" w:styleId="17">
    <w:name w:val="toc 2"/>
    <w:basedOn w:val="1"/>
    <w:next w:val="1"/>
    <w:autoRedefine/>
    <w:qFormat/>
    <w:uiPriority w:val="0"/>
    <w:pPr>
      <w:widowControl/>
      <w:ind w:left="420" w:leftChars="200"/>
      <w:jc w:val="left"/>
    </w:pPr>
    <w:rPr>
      <w:rFonts w:hint="eastAsia" w:ascii="宋体" w:hAnsi="宋体" w:eastAsia="宋体" w:cs="Times New Roman"/>
      <w:kern w:val="0"/>
      <w:sz w:val="24"/>
    </w:rPr>
  </w:style>
  <w:style w:type="paragraph" w:styleId="18">
    <w:name w:val="Body Text 2"/>
    <w:basedOn w:val="1"/>
    <w:autoRedefine/>
    <w:qFormat/>
    <w:uiPriority w:val="0"/>
    <w:pPr>
      <w:spacing w:after="120" w:line="480" w:lineRule="auto"/>
    </w:pPr>
  </w:style>
  <w:style w:type="paragraph" w:styleId="19">
    <w:name w:val="Normal (Web)"/>
    <w:basedOn w:val="1"/>
    <w:link w:val="41"/>
    <w:autoRedefine/>
    <w:qFormat/>
    <w:uiPriority w:val="0"/>
    <w:pPr>
      <w:widowControl/>
      <w:spacing w:beforeAutospacing="1" w:afterAutospacing="1"/>
      <w:jc w:val="left"/>
    </w:pPr>
    <w:rPr>
      <w:rFonts w:hint="eastAsia" w:ascii="宋体" w:hAnsi="宋体" w:eastAsia="宋体" w:cs="Times New Roman"/>
      <w:kern w:val="0"/>
      <w:sz w:val="24"/>
      <w:szCs w:val="20"/>
    </w:rPr>
  </w:style>
  <w:style w:type="paragraph" w:styleId="20">
    <w:name w:val="Title"/>
    <w:basedOn w:val="1"/>
    <w:next w:val="1"/>
    <w:autoRedefine/>
    <w:qFormat/>
    <w:uiPriority w:val="10"/>
    <w:pPr>
      <w:spacing w:before="240" w:after="60"/>
      <w:jc w:val="center"/>
      <w:outlineLvl w:val="0"/>
    </w:pPr>
    <w:rPr>
      <w:rFonts w:ascii="Arial" w:hAnsi="Arial" w:eastAsia="宋体" w:cs="Arial"/>
      <w:b/>
      <w:sz w:val="28"/>
      <w:szCs w:val="32"/>
    </w:rPr>
  </w:style>
  <w:style w:type="paragraph" w:styleId="21">
    <w:name w:val="annotation subject"/>
    <w:basedOn w:val="6"/>
    <w:next w:val="6"/>
    <w:link w:val="61"/>
    <w:autoRedefine/>
    <w:qFormat/>
    <w:uiPriority w:val="0"/>
    <w:rPr>
      <w:b/>
      <w:bCs/>
    </w:rPr>
  </w:style>
  <w:style w:type="paragraph" w:styleId="22">
    <w:name w:val="Body Text First Indent"/>
    <w:basedOn w:val="7"/>
    <w:next w:val="23"/>
    <w:autoRedefine/>
    <w:qFormat/>
    <w:uiPriority w:val="0"/>
    <w:pPr>
      <w:ind w:firstLine="420" w:firstLineChars="100"/>
    </w:pPr>
  </w:style>
  <w:style w:type="paragraph" w:styleId="23">
    <w:name w:val="Body Text First Indent 2"/>
    <w:basedOn w:val="8"/>
    <w:next w:val="1"/>
    <w:autoRedefine/>
    <w:qFormat/>
    <w:uiPriority w:val="0"/>
    <w:pPr>
      <w:spacing w:line="360" w:lineRule="auto"/>
      <w:ind w:firstLine="420" w:firstLineChars="200"/>
    </w:pPr>
    <w:rPr>
      <w:sz w:val="24"/>
    </w:rPr>
  </w:style>
  <w:style w:type="table" w:styleId="25">
    <w:name w:val="Table Grid"/>
    <w:basedOn w:val="2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Emphasis"/>
    <w:autoRedefine/>
    <w:qFormat/>
    <w:uiPriority w:val="0"/>
    <w:rPr>
      <w:b/>
      <w:sz w:val="21"/>
      <w:szCs w:val="21"/>
    </w:rPr>
  </w:style>
  <w:style w:type="character" w:styleId="28">
    <w:name w:val="Hyperlink"/>
    <w:basedOn w:val="26"/>
    <w:autoRedefine/>
    <w:qFormat/>
    <w:uiPriority w:val="99"/>
    <w:rPr>
      <w:color w:val="0000FF"/>
      <w:u w:val="single"/>
    </w:rPr>
  </w:style>
  <w:style w:type="character" w:styleId="29">
    <w:name w:val="annotation reference"/>
    <w:basedOn w:val="26"/>
    <w:autoRedefine/>
    <w:qFormat/>
    <w:uiPriority w:val="0"/>
    <w:rPr>
      <w:sz w:val="21"/>
      <w:szCs w:val="21"/>
    </w:rPr>
  </w:style>
  <w:style w:type="paragraph" w:customStyle="1" w:styleId="30">
    <w:name w:val="样式 样式 样式 四号 左侧:  1.53 厘米 + 首行缩进:  2 字符 + 居中 左侧:  2 字符 首行缩进:  2..."/>
    <w:basedOn w:val="31"/>
    <w:next w:val="1"/>
    <w:autoRedefine/>
    <w:qFormat/>
    <w:uiPriority w:val="0"/>
    <w:pPr>
      <w:jc w:val="center"/>
    </w:pPr>
  </w:style>
  <w:style w:type="paragraph" w:customStyle="1" w:styleId="31">
    <w:name w:val="样式 样式 四号 左侧:  1.53 厘米 + 首行缩进:  2 字符"/>
    <w:basedOn w:val="32"/>
    <w:autoRedefine/>
    <w:qFormat/>
    <w:uiPriority w:val="0"/>
    <w:pPr>
      <w:ind w:left="200" w:leftChars="200"/>
    </w:pPr>
    <w:rPr>
      <w:szCs w:val="20"/>
    </w:rPr>
  </w:style>
  <w:style w:type="paragraph" w:customStyle="1" w:styleId="32">
    <w:name w:val="样式 四号 左侧:  1.53 厘米"/>
    <w:basedOn w:val="1"/>
    <w:autoRedefine/>
    <w:qFormat/>
    <w:uiPriority w:val="0"/>
    <w:pPr>
      <w:adjustRightInd w:val="0"/>
    </w:pPr>
    <w:rPr>
      <w:w w:val="90"/>
      <w:sz w:val="28"/>
      <w:szCs w:val="28"/>
    </w:rPr>
  </w:style>
  <w:style w:type="paragraph" w:customStyle="1" w:styleId="33">
    <w:name w:val="Default"/>
    <w:basedOn w:val="34"/>
    <w:next w:val="35"/>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4">
    <w:name w:val="纯文本1"/>
    <w:basedOn w:val="1"/>
    <w:autoRedefine/>
    <w:qFormat/>
    <w:uiPriority w:val="99"/>
    <w:rPr>
      <w:rFonts w:ascii="宋体" w:hAnsi="Courier New" w:cs="Courier New"/>
      <w:szCs w:val="21"/>
    </w:rPr>
  </w:style>
  <w:style w:type="paragraph" w:customStyle="1" w:styleId="35">
    <w:name w:val="样式1"/>
    <w:basedOn w:val="1"/>
    <w:next w:val="1"/>
    <w:autoRedefine/>
    <w:qFormat/>
    <w:uiPriority w:val="0"/>
    <w:pPr>
      <w:suppressLineNumbers/>
      <w:tabs>
        <w:tab w:val="left" w:pos="425"/>
      </w:tabs>
      <w:suppressAutoHyphens/>
      <w:adjustRightInd w:val="0"/>
      <w:snapToGrid w:val="0"/>
      <w:spacing w:before="120" w:after="120" w:line="240" w:lineRule="atLeast"/>
      <w:ind w:left="425" w:hanging="425"/>
      <w:jc w:val="left"/>
      <w:textAlignment w:val="baseline"/>
    </w:pPr>
    <w:rPr>
      <w:kern w:val="0"/>
      <w:sz w:val="28"/>
      <w:szCs w:val="20"/>
    </w:rPr>
  </w:style>
  <w:style w:type="paragraph" w:customStyle="1" w:styleId="36">
    <w:name w:val="表格标题"/>
    <w:basedOn w:val="5"/>
    <w:next w:val="1"/>
    <w:autoRedefine/>
    <w:qFormat/>
    <w:uiPriority w:val="0"/>
    <w:pPr>
      <w:widowControl/>
      <w:numPr>
        <w:ilvl w:val="4"/>
        <w:numId w:val="1"/>
      </w:numPr>
      <w:ind w:firstLineChars="0"/>
      <w:jc w:val="center"/>
    </w:pPr>
    <w:rPr>
      <w:rFonts w:ascii="Times New Roman" w:hAnsi="Times New Roman"/>
      <w:sz w:val="24"/>
      <w:szCs w:val="24"/>
    </w:rPr>
  </w:style>
  <w:style w:type="paragraph" w:customStyle="1" w:styleId="37">
    <w:name w:val="正文文字 6"/>
    <w:next w:val="1"/>
    <w:autoRedefine/>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38">
    <w:name w:val="xl27"/>
    <w:basedOn w:val="1"/>
    <w:autoRedefine/>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customStyle="1" w:styleId="39">
    <w:name w:val="_Style 4"/>
    <w:basedOn w:val="1"/>
    <w:qFormat/>
    <w:uiPriority w:val="0"/>
  </w:style>
  <w:style w:type="character" w:customStyle="1" w:styleId="40">
    <w:name w:val="页脚 Char"/>
    <w:basedOn w:val="26"/>
    <w:link w:val="16"/>
    <w:autoRedefine/>
    <w:qFormat/>
    <w:uiPriority w:val="0"/>
    <w:rPr>
      <w:sz w:val="18"/>
    </w:rPr>
  </w:style>
  <w:style w:type="character" w:customStyle="1" w:styleId="41">
    <w:name w:val="普通(网站) Char"/>
    <w:basedOn w:val="26"/>
    <w:link w:val="19"/>
    <w:autoRedefine/>
    <w:qFormat/>
    <w:uiPriority w:val="0"/>
    <w:rPr>
      <w:rFonts w:hint="eastAsia" w:ascii="宋体" w:hAnsi="宋体" w:eastAsia="宋体" w:cs="宋体"/>
      <w:sz w:val="24"/>
    </w:rPr>
  </w:style>
  <w:style w:type="character" w:customStyle="1" w:styleId="42">
    <w:name w:val="表格 Char"/>
    <w:basedOn w:val="26"/>
    <w:link w:val="43"/>
    <w:autoRedefine/>
    <w:qFormat/>
    <w:uiPriority w:val="0"/>
    <w:rPr>
      <w:rFonts w:hint="eastAsia" w:ascii="宋体" w:hAnsi="宋体" w:eastAsia="宋体" w:cs="宋体"/>
      <w:sz w:val="21"/>
    </w:rPr>
  </w:style>
  <w:style w:type="paragraph" w:customStyle="1" w:styleId="43">
    <w:name w:val="表格"/>
    <w:basedOn w:val="1"/>
    <w:next w:val="1"/>
    <w:link w:val="42"/>
    <w:autoRedefine/>
    <w:qFormat/>
    <w:uiPriority w:val="0"/>
    <w:pPr>
      <w:adjustRightInd w:val="0"/>
      <w:snapToGrid w:val="0"/>
      <w:spacing w:beforeLines="10" w:afterLines="10" w:line="256" w:lineRule="auto"/>
      <w:jc w:val="center"/>
    </w:pPr>
    <w:rPr>
      <w:rFonts w:hint="eastAsia" w:ascii="宋体" w:hAnsi="Times New Roman" w:eastAsia="宋体" w:cs="Times New Roman"/>
      <w:kern w:val="0"/>
      <w:szCs w:val="20"/>
    </w:rPr>
  </w:style>
  <w:style w:type="character" w:customStyle="1" w:styleId="44">
    <w:name w:val="页脚 字符"/>
    <w:basedOn w:val="26"/>
    <w:autoRedefine/>
    <w:qFormat/>
    <w:uiPriority w:val="0"/>
    <w:rPr>
      <w:kern w:val="2"/>
      <w:sz w:val="18"/>
      <w:szCs w:val="18"/>
    </w:rPr>
  </w:style>
  <w:style w:type="paragraph" w:customStyle="1" w:styleId="45">
    <w:name w:val="+正文"/>
    <w:basedOn w:val="1"/>
    <w:qFormat/>
    <w:uiPriority w:val="0"/>
    <w:pPr>
      <w:spacing w:line="360" w:lineRule="auto"/>
    </w:pPr>
    <w:rPr>
      <w:sz w:val="28"/>
      <w:szCs w:val="28"/>
    </w:rPr>
  </w:style>
  <w:style w:type="paragraph" w:customStyle="1" w:styleId="46">
    <w:name w:val="常用"/>
    <w:basedOn w:val="1"/>
    <w:autoRedefine/>
    <w:qFormat/>
    <w:uiPriority w:val="0"/>
    <w:pPr>
      <w:spacing w:line="360" w:lineRule="auto"/>
      <w:ind w:firstLine="420"/>
      <w:jc w:val="left"/>
    </w:pPr>
    <w:rPr>
      <w:szCs w:val="22"/>
    </w:rPr>
  </w:style>
  <w:style w:type="paragraph" w:customStyle="1" w:styleId="47">
    <w:name w:val="0表-序号"/>
    <w:next w:val="48"/>
    <w:autoRedefine/>
    <w:qFormat/>
    <w:uiPriority w:val="0"/>
    <w:pPr>
      <w:tabs>
        <w:tab w:val="left" w:pos="0"/>
      </w:tabs>
      <w:adjustRightInd w:val="0"/>
      <w:snapToGrid w:val="0"/>
      <w:jc w:val="center"/>
    </w:pPr>
    <w:rPr>
      <w:rFonts w:ascii="Times New Roman" w:hAnsi="Times New Roman" w:eastAsia="黑体" w:cs="Times New Roman"/>
      <w:sz w:val="21"/>
      <w:lang w:val="en-US" w:eastAsia="zh-CN" w:bidi="ar-SA"/>
    </w:rPr>
  </w:style>
  <w:style w:type="paragraph" w:customStyle="1" w:styleId="48">
    <w:name w:val="000表格正文"/>
    <w:basedOn w:val="1"/>
    <w:next w:val="1"/>
    <w:autoRedefine/>
    <w:qFormat/>
    <w:uiPriority w:val="0"/>
    <w:pPr>
      <w:pBdr>
        <w:top w:val="none" w:color="auto" w:sz="0" w:space="1"/>
        <w:left w:val="none" w:color="auto" w:sz="0" w:space="4"/>
        <w:bottom w:val="none" w:color="auto" w:sz="0" w:space="1"/>
        <w:right w:val="none" w:color="auto" w:sz="0" w:space="4"/>
      </w:pBdr>
      <w:jc w:val="center"/>
    </w:pPr>
    <w:rPr>
      <w:rFonts w:ascii="Times New Roman" w:hAnsi="Times New Roman"/>
    </w:rPr>
  </w:style>
  <w:style w:type="paragraph" w:customStyle="1" w:styleId="49">
    <w:name w:val="图表标题"/>
    <w:basedOn w:val="1"/>
    <w:autoRedefine/>
    <w:qFormat/>
    <w:uiPriority w:val="0"/>
    <w:pPr>
      <w:spacing w:line="360" w:lineRule="auto"/>
      <w:jc w:val="center"/>
    </w:pPr>
    <w:rPr>
      <w:rFonts w:ascii="Times New Roman" w:hAnsi="Times New Roman" w:eastAsia="宋体"/>
      <w:b/>
      <w:szCs w:val="21"/>
    </w:rPr>
  </w:style>
  <w:style w:type="paragraph" w:customStyle="1" w:styleId="50">
    <w:name w:val="dr正文"/>
    <w:basedOn w:val="1"/>
    <w:autoRedefine/>
    <w:qFormat/>
    <w:uiPriority w:val="0"/>
    <w:pPr>
      <w:widowControl/>
      <w:ind w:firstLine="480"/>
    </w:pPr>
  </w:style>
  <w:style w:type="paragraph" w:customStyle="1" w:styleId="51">
    <w:name w:val="Table Paragraph"/>
    <w:basedOn w:val="1"/>
    <w:autoRedefine/>
    <w:qFormat/>
    <w:uiPriority w:val="1"/>
  </w:style>
  <w:style w:type="paragraph" w:customStyle="1" w:styleId="52">
    <w:name w:val="我的表格文字"/>
    <w:basedOn w:val="1"/>
    <w:autoRedefine/>
    <w:qFormat/>
    <w:uiPriority w:val="0"/>
    <w:pPr>
      <w:widowControl/>
      <w:adjustRightInd w:val="0"/>
      <w:snapToGrid w:val="0"/>
      <w:jc w:val="center"/>
      <w:textAlignment w:val="center"/>
    </w:pPr>
    <w:rPr>
      <w:color w:val="FF0000"/>
      <w:kern w:val="0"/>
      <w:szCs w:val="21"/>
    </w:rPr>
  </w:style>
  <w:style w:type="paragraph" w:customStyle="1" w:styleId="53">
    <w:name w:val="书表格内"/>
    <w:basedOn w:val="1"/>
    <w:autoRedefine/>
    <w:qFormat/>
    <w:uiPriority w:val="0"/>
    <w:pPr>
      <w:spacing w:line="0" w:lineRule="atLeast"/>
      <w:jc w:val="center"/>
    </w:pPr>
    <w:rPr>
      <w:rFonts w:ascii="Times New Roman" w:hAnsi="Times New Roman"/>
      <w:szCs w:val="21"/>
    </w:rPr>
  </w:style>
  <w:style w:type="paragraph" w:customStyle="1" w:styleId="54">
    <w:name w:val="表格文字"/>
    <w:basedOn w:val="1"/>
    <w:autoRedefine/>
    <w:qFormat/>
    <w:uiPriority w:val="0"/>
    <w:pPr>
      <w:jc w:val="center"/>
    </w:pPr>
    <w:rPr>
      <w:sz w:val="24"/>
    </w:rPr>
  </w:style>
  <w:style w:type="character" w:customStyle="1" w:styleId="55">
    <w:name w:val="font41"/>
    <w:basedOn w:val="26"/>
    <w:autoRedefine/>
    <w:qFormat/>
    <w:uiPriority w:val="0"/>
    <w:rPr>
      <w:rFonts w:hint="default" w:ascii="Times New Roman" w:hAnsi="Times New Roman" w:cs="Times New Roman"/>
      <w:b/>
      <w:color w:val="000000"/>
      <w:sz w:val="21"/>
      <w:szCs w:val="21"/>
      <w:u w:val="none"/>
      <w:vertAlign w:val="subscript"/>
    </w:rPr>
  </w:style>
  <w:style w:type="paragraph" w:customStyle="1" w:styleId="56">
    <w:name w:val="Char5"/>
    <w:basedOn w:val="1"/>
    <w:autoRedefine/>
    <w:qFormat/>
    <w:uiPriority w:val="0"/>
    <w:pPr>
      <w:spacing w:line="360" w:lineRule="auto"/>
    </w:pPr>
    <w:rPr>
      <w:rFonts w:ascii="宋体" w:hAnsi="宋体" w:cs="宋体"/>
    </w:rPr>
  </w:style>
  <w:style w:type="paragraph" w:customStyle="1" w:styleId="57">
    <w:name w:val="样式 四号 首行缩进:  2 字符"/>
    <w:basedOn w:val="1"/>
    <w:autoRedefine/>
    <w:qFormat/>
    <w:uiPriority w:val="0"/>
    <w:pPr>
      <w:spacing w:line="480" w:lineRule="atLeast"/>
      <w:ind w:firstLine="200" w:firstLineChars="200"/>
    </w:pPr>
  </w:style>
  <w:style w:type="paragraph" w:customStyle="1" w:styleId="58">
    <w:name w:val="0表格正文"/>
    <w:basedOn w:val="1"/>
    <w:next w:val="1"/>
    <w:autoRedefine/>
    <w:qFormat/>
    <w:uiPriority w:val="0"/>
    <w:pPr>
      <w:pBdr>
        <w:top w:val="none" w:color="auto" w:sz="0" w:space="1"/>
        <w:left w:val="none" w:color="auto" w:sz="0" w:space="4"/>
        <w:bottom w:val="none" w:color="auto" w:sz="0" w:space="1"/>
        <w:right w:val="none" w:color="auto" w:sz="0" w:space="4"/>
      </w:pBdr>
      <w:jc w:val="center"/>
    </w:pPr>
    <w:rPr>
      <w:kern w:val="0"/>
      <w:szCs w:val="20"/>
    </w:rPr>
  </w:style>
  <w:style w:type="character" w:customStyle="1" w:styleId="59">
    <w:name w:val="页眉 Char"/>
    <w:basedOn w:val="26"/>
    <w:link w:val="11"/>
    <w:autoRedefine/>
    <w:qFormat/>
    <w:uiPriority w:val="0"/>
    <w:rPr>
      <w:rFonts w:asciiTheme="minorHAnsi" w:hAnsiTheme="minorHAnsi" w:eastAsiaTheme="minorEastAsia" w:cstheme="minorBidi"/>
      <w:kern w:val="2"/>
      <w:sz w:val="18"/>
      <w:szCs w:val="18"/>
    </w:rPr>
  </w:style>
  <w:style w:type="character" w:customStyle="1" w:styleId="60">
    <w:name w:val="批注文字 Char"/>
    <w:basedOn w:val="26"/>
    <w:link w:val="6"/>
    <w:autoRedefine/>
    <w:qFormat/>
    <w:uiPriority w:val="99"/>
    <w:rPr>
      <w:rFonts w:asciiTheme="minorHAnsi" w:hAnsiTheme="minorHAnsi" w:eastAsiaTheme="minorEastAsia" w:cstheme="minorBidi"/>
      <w:kern w:val="2"/>
      <w:sz w:val="21"/>
      <w:szCs w:val="24"/>
    </w:rPr>
  </w:style>
  <w:style w:type="character" w:customStyle="1" w:styleId="61">
    <w:name w:val="批注主题 Char"/>
    <w:basedOn w:val="60"/>
    <w:link w:val="21"/>
    <w:qFormat/>
    <w:uiPriority w:val="0"/>
    <w:rPr>
      <w:rFonts w:asciiTheme="minorHAnsi" w:hAnsiTheme="minorHAnsi" w:eastAsiaTheme="minorEastAsia" w:cstheme="minorBidi"/>
      <w:b/>
      <w:bCs/>
      <w:kern w:val="2"/>
      <w:sz w:val="21"/>
      <w:szCs w:val="24"/>
    </w:rPr>
  </w:style>
  <w:style w:type="character" w:customStyle="1" w:styleId="62">
    <w:name w:val="批注框文本 Char"/>
    <w:basedOn w:val="26"/>
    <w:link w:val="15"/>
    <w:qFormat/>
    <w:uiPriority w:val="0"/>
    <w:rPr>
      <w:rFonts w:asciiTheme="minorHAnsi" w:hAnsiTheme="minorHAnsi" w:eastAsiaTheme="minorEastAsia" w:cstheme="minorBidi"/>
      <w:kern w:val="2"/>
      <w:sz w:val="18"/>
      <w:szCs w:val="18"/>
    </w:rPr>
  </w:style>
  <w:style w:type="paragraph" w:customStyle="1" w:styleId="63">
    <w:name w:val="正文001"/>
    <w:basedOn w:val="1"/>
    <w:qFormat/>
    <w:uiPriority w:val="0"/>
    <w:pPr>
      <w:adjustRightInd w:val="0"/>
      <w:spacing w:before="120" w:after="120" w:line="540" w:lineRule="exact"/>
      <w:ind w:firstLine="567"/>
      <w:textAlignment w:val="baseline"/>
    </w:pPr>
    <w:rPr>
      <w:rFonts w:ascii="宋体" w:hAnsi="宋体" w:cs="宋体"/>
      <w:kern w:val="21"/>
      <w:sz w:val="28"/>
      <w:szCs w:val="28"/>
    </w:rPr>
  </w:style>
  <w:style w:type="character" w:customStyle="1" w:styleId="64">
    <w:name w:val="font11"/>
    <w:basedOn w:val="26"/>
    <w:qFormat/>
    <w:uiPriority w:val="0"/>
    <w:rPr>
      <w:rFonts w:hint="default" w:ascii="Times New Roman" w:hAnsi="Times New Roman" w:cs="Times New Roman"/>
      <w:color w:val="000000"/>
      <w:sz w:val="18"/>
      <w:szCs w:val="18"/>
      <w:u w:val="none"/>
    </w:rPr>
  </w:style>
  <w:style w:type="table" w:customStyle="1" w:styleId="65">
    <w:name w:val="Table Normal"/>
    <w:semiHidden/>
    <w:unhideWhenUsed/>
    <w:qFormat/>
    <w:uiPriority w:val="2"/>
    <w:tblPr>
      <w:tblCellMar>
        <w:top w:w="0" w:type="dxa"/>
        <w:left w:w="0" w:type="dxa"/>
        <w:bottom w:w="0" w:type="dxa"/>
        <w:right w:w="0" w:type="dxa"/>
      </w:tblCellMar>
    </w:tblPr>
  </w:style>
  <w:style w:type="paragraph" w:customStyle="1" w:styleId="66">
    <w:name w:val="内表头"/>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before="156" w:beforeLines="50" w:after="156" w:afterLines="50"/>
      <w:jc w:val="center"/>
    </w:pPr>
    <w:rPr>
      <w:b/>
      <w:bCs/>
      <w:kern w:val="0"/>
      <w:szCs w:val="21"/>
    </w:rPr>
  </w:style>
  <w:style w:type="character" w:customStyle="1" w:styleId="67">
    <w:name w:val="font21"/>
    <w:basedOn w:val="26"/>
    <w:qFormat/>
    <w:uiPriority w:val="0"/>
    <w:rPr>
      <w:rFonts w:hint="eastAsia" w:ascii="宋体" w:hAnsi="宋体" w:eastAsia="宋体" w:cs="宋体"/>
      <w:color w:val="000000"/>
      <w:sz w:val="20"/>
      <w:szCs w:val="20"/>
      <w:u w:val="none"/>
    </w:rPr>
  </w:style>
  <w:style w:type="paragraph" w:styleId="68">
    <w:name w:val="List Paragraph"/>
    <w:basedOn w:val="1"/>
    <w:qFormat/>
    <w:uiPriority w:val="34"/>
    <w:pPr>
      <w:ind w:firstLine="420" w:firstLineChars="200"/>
    </w:pPr>
    <w:rPr>
      <w:rFonts w:ascii="Calibri" w:hAnsi="Calibri" w:eastAsia="等线" w:cs="Times New Roman"/>
      <w:szCs w:val="20"/>
    </w:rPr>
  </w:style>
  <w:style w:type="paragraph" w:customStyle="1" w:styleId="69">
    <w:name w:val="修订1"/>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70">
    <w:name w:val="【表格】"/>
    <w:next w:val="22"/>
    <w:qFormat/>
    <w:uiPriority w:val="0"/>
    <w:pPr>
      <w:jc w:val="center"/>
    </w:pPr>
    <w:rPr>
      <w:rFonts w:ascii="Times New Roman" w:hAnsi="Times New Roman" w:eastAsia="宋体" w:cs="Times New Roman"/>
      <w:sz w:val="21"/>
      <w:szCs w:val="24"/>
      <w:lang w:val="en-US" w:eastAsia="zh-CN" w:bidi="ar-SA"/>
    </w:rPr>
  </w:style>
  <w:style w:type="paragraph" w:customStyle="1" w:styleId="71">
    <w:name w:val="0正文"/>
    <w:basedOn w:val="8"/>
    <w:qFormat/>
    <w:uiPriority w:val="0"/>
    <w:pPr>
      <w:spacing w:after="0" w:line="360" w:lineRule="auto"/>
      <w:ind w:left="0" w:leftChars="0" w:firstLine="200" w:firstLineChars="200"/>
    </w:pPr>
    <w:rPr>
      <w:rFonts w:cs="宋体"/>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emf"/><Relationship Id="rId13" Type="http://schemas.openxmlformats.org/officeDocument/2006/relationships/oleObject" Target="embeddings/oleObject2.bin"/><Relationship Id="rId12" Type="http://schemas.openxmlformats.org/officeDocument/2006/relationships/image" Target="media/image6.emf"/><Relationship Id="rId11" Type="http://schemas.openxmlformats.org/officeDocument/2006/relationships/oleObject" Target="embeddings/oleObject1.bin"/><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7FD28A-EEAE-4E25-8513-2051F03CB81C}">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62</Pages>
  <Words>26318</Words>
  <Characters>31628</Characters>
  <Lines>110</Lines>
  <Paragraphs>31</Paragraphs>
  <TotalTime>119</TotalTime>
  <ScaleCrop>false</ScaleCrop>
  <LinksUpToDate>false</LinksUpToDate>
  <CharactersWithSpaces>31837</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Z</dc:creator>
  <cp:lastModifiedBy>DELL</cp:lastModifiedBy>
  <cp:lastPrinted>2022-01-06T00:43:00Z</cp:lastPrinted>
  <dcterms:modified xsi:type="dcterms:W3CDTF">2024-01-05T08:28:48Z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C0644AFD6B2B463683921176E0AD8EC8</vt:lpwstr>
  </property>
</Properties>
</file>