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围场县</w:t>
      </w:r>
      <w:r>
        <w:rPr>
          <w:rFonts w:hint="eastAsia" w:ascii="宋体" w:hAnsi="宋体" w:eastAsia="宋体" w:cs="宋体"/>
          <w:b/>
          <w:bCs/>
          <w:sz w:val="52"/>
          <w:szCs w:val="52"/>
          <w:highlight w:val="none"/>
          <w:lang w:val="en-US" w:eastAsia="zh-CN"/>
        </w:rPr>
        <w:t>乡镇地名标志牌二期工程</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265</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8" o:title=""/>
            <o:lock v:ext="edit" aspectratio="t"/>
            <w10:wrap type="square"/>
          </v:shape>
          <o:OLEObject Type="Embed" ProgID="" ShapeID="_x0000_s1026" DrawAspect="Content" ObjectID="_1468075725" r:id="rId7">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bookmarkStart w:id="105" w:name="_GoBack"/>
      <w:bookmarkEnd w:id="105"/>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265</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_Toc14307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_Toc14307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_Toc16958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_Toc16958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_Toc13557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_Toc13557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_Toc5605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_Toc5605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_Toc10714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_Toc10714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_Toc9006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_Toc9006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_Toc12428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_Toc12428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_Toc4496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_Toc4496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_Toc13210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_Toc13210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_Toc7397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_Toc7397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_Toc8043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_Toc8043 \h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_Toc7682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_Toc7682 \h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_Toc21807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_Toc21807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_Toc11581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_Toc11581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_Toc10493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_Toc10493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_Toc29681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_Toc29681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_Toc15020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_Toc15020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_Toc2342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_Toc2342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_Toc10604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_Toc10604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_Toc2668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_Toc2668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_Toc13093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_Toc13093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_Toc25151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_Toc25151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pP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val="en-US" w:eastAsia="zh-CN"/>
        </w:rPr>
      </w:pPr>
      <w:bookmarkStart w:id="0" w:name="_Toc29565"/>
      <w:bookmarkStart w:id="1" w:name="_Toc13259"/>
      <w:bookmarkStart w:id="2" w:name="_Toc25381"/>
      <w:bookmarkStart w:id="3" w:name="_Toc7123"/>
      <w:bookmarkStart w:id="4" w:name="_Toc32502"/>
      <w:bookmarkStart w:id="5" w:name="_Toc25062"/>
      <w:r>
        <w:rPr>
          <w:rFonts w:hint="eastAsia" w:ascii="宋体" w:hAnsi="宋体" w:eastAsia="宋体" w:cs="宋体"/>
          <w:b/>
          <w:bCs/>
          <w:sz w:val="36"/>
          <w:szCs w:val="36"/>
          <w:lang w:val="en-US" w:eastAsia="zh-CN"/>
        </w:rPr>
        <w:t>围场县</w:t>
      </w:r>
      <w:bookmarkEnd w:id="0"/>
      <w:bookmarkEnd w:id="1"/>
      <w:r>
        <w:rPr>
          <w:rFonts w:hint="eastAsia" w:ascii="宋体" w:hAnsi="宋体" w:eastAsia="宋体" w:cs="宋体"/>
          <w:b/>
          <w:bCs/>
          <w:sz w:val="36"/>
          <w:szCs w:val="36"/>
          <w:lang w:val="en-US" w:eastAsia="zh-CN"/>
        </w:rPr>
        <w:t>乡镇地名标志牌二期工程</w:t>
      </w:r>
      <w:bookmarkEnd w:id="2"/>
    </w:p>
    <w:p>
      <w:pPr>
        <w:jc w:val="center"/>
        <w:outlineLvl w:val="0"/>
        <w:rPr>
          <w:rFonts w:hint="eastAsia" w:ascii="宋体" w:hAnsi="宋体" w:eastAsia="宋体" w:cs="宋体"/>
          <w:b/>
          <w:bCs/>
          <w:sz w:val="36"/>
          <w:szCs w:val="36"/>
          <w:lang w:eastAsia="zh-CN"/>
        </w:rPr>
      </w:pPr>
      <w:bookmarkStart w:id="6" w:name="_Toc26503"/>
      <w:bookmarkStart w:id="7" w:name="_Toc3241"/>
      <w:bookmarkStart w:id="8" w:name="_Toc30874"/>
      <w:r>
        <w:rPr>
          <w:rFonts w:hint="eastAsia" w:ascii="宋体" w:hAnsi="宋体" w:eastAsia="宋体" w:cs="宋体"/>
          <w:b/>
          <w:bCs/>
          <w:sz w:val="36"/>
          <w:szCs w:val="36"/>
          <w:lang w:eastAsia="zh-CN"/>
        </w:rPr>
        <w:t>一般债券资金绩效评价报告</w:t>
      </w:r>
      <w:bookmarkEnd w:id="3"/>
      <w:bookmarkEnd w:id="4"/>
      <w:bookmarkEnd w:id="5"/>
      <w:bookmarkEnd w:id="6"/>
      <w:bookmarkEnd w:id="7"/>
      <w:bookmarkEnd w:id="8"/>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围场县乡镇地名标志牌二期工程项目新增一般债券资金使用情况做绩效评价工作。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9" w:name="_Toc14307"/>
      <w:bookmarkStart w:id="10"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9"/>
      <w:bookmarkEnd w:id="10"/>
    </w:p>
    <w:p>
      <w:pPr>
        <w:spacing w:line="600" w:lineRule="exact"/>
        <w:ind w:firstLine="643" w:firstLineChars="200"/>
        <w:outlineLvl w:val="1"/>
        <w:rPr>
          <w:rFonts w:hint="eastAsia" w:ascii="楷体" w:hAnsi="楷体" w:eastAsia="楷体" w:cs="楷体"/>
          <w:b/>
          <w:bCs w:val="0"/>
          <w:sz w:val="32"/>
          <w:szCs w:val="32"/>
          <w:lang w:eastAsia="zh-CN"/>
        </w:rPr>
      </w:pPr>
      <w:bookmarkStart w:id="11" w:name="_Toc16958"/>
      <w:bookmarkStart w:id="12"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根据《中华人民共和国预算法》和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其中本次投入</w:t>
      </w:r>
      <w:r>
        <w:rPr>
          <w:rFonts w:hint="eastAsia" w:ascii="宋体" w:hAnsi="宋体" w:eastAsia="宋体" w:cs="宋体"/>
          <w:sz w:val="28"/>
          <w:szCs w:val="28"/>
          <w:lang w:val="en-US" w:eastAsia="zh-CN"/>
        </w:rPr>
        <w:t>围场县乡镇地名标志牌二期工程项目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635.83万元。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围场县乡镇地名标志牌二期工程项目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围场满族蒙古族自治县域内各乡镇</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围场满族蒙古族自治县民政局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4.基本概况</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5月7日围场满族蒙古族自治县行政审批局对围场县民政局下达了关于围场县乡镇地名标牌二期工程投资计划的通知。建设地点：围场满族蒙古族自治县各乡镇；建设内容为：天然晚霞红玉石村标124块，巷牌1740块，门户牌57585块，路牌1450块；</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按照省市县《农村人居环境整治三年行动实施方案》文件要求，为推进地名标志设置标准化，加强和规范地名管理和地名标志设置，满足农村基础建设和人民生活的需要，围绕本实施方案明确的工作任务，依据《地名管理条例》《河北省地名管理规定》《承德市地名管理实施办法》， 遵循《地名标志》(GB17733- 2008)强制性国际标准和地名管理有关规定，实施村、街、路、巷、楼门户等地名标志设置工程，实现农村地名管理工作体系化、科学化、规范化、标准化、制度化工作目标和打造精品工程、扮靓农村名片、提升农村形象、满足农村基础设施建设和人民群众生活需要的美好愿景。实施我县农村村、街、路、巷、门户等地名标志的编排设置工作，年内完成145个村的地名标志设置</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5.项目工作要求</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（1）加强组织领导。地名标志设置工作涉及面广、工作量大、时间紧、要求高，各乡镇和县直相关部门高度重视，指定专人负责，组织专门力量，制定具体措施，按时完成地名设标任务。</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部门密切配合。按照属地管理、分级负责的原则，民政部门作为地名命名和标志设置的主管部门，要切实履行职责，主动与有关部门协作。县财政、公安、建设、城管、交通、质监等部门要按照县政府有关地名管理和标志设置的文件要求，各司其职，协调联动，积极配合民政部门共同做好地名标志设置工作。</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3）加强管理。地名标志是国家法定标志物，要加强对地名标志的维护和管理，谁设置谁负责维护、管理。对需要新增或损坏的地名标志，要及时增设和维修。对蓄意破坏地名标志的行为，要按照有关法律法规认真查处，保持地名标志的完整性和导向性。</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项目总投资702.33万元，资金来源于财政预算；其中使用政府一般债券资金635.83万元</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3" w:name="_Toc13557"/>
      <w:r>
        <w:rPr>
          <w:rFonts w:hint="eastAsia" w:ascii="楷体" w:hAnsi="楷体" w:eastAsia="楷体" w:cs="楷体"/>
          <w:b/>
          <w:bCs w:val="0"/>
          <w:sz w:val="32"/>
          <w:szCs w:val="32"/>
          <w:highlight w:val="none"/>
          <w:lang w:val="en-US" w:eastAsia="zh-CN"/>
        </w:rPr>
        <w:t>（二）项目绩效目标</w:t>
      </w:r>
      <w:bookmarkEnd w:id="13"/>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4" w:name="_Toc10859"/>
      <w:bookmarkStart w:id="15" w:name="_Toc30152"/>
      <w:bookmarkStart w:id="16" w:name="_Toc10279"/>
      <w:bookmarkStart w:id="17" w:name="_Toc12271"/>
      <w:r>
        <w:rPr>
          <w:rFonts w:hint="eastAsia" w:ascii="宋体" w:hAnsi="宋体" w:eastAsia="宋体" w:cs="宋体"/>
          <w:sz w:val="28"/>
          <w:szCs w:val="28"/>
          <w:highlight w:val="none"/>
          <w:lang w:val="en-US" w:eastAsia="zh-CN"/>
        </w:rPr>
        <w:t>按照围场满族蒙古族自治县行政审批局对围场县乡镇地名标志牌二期工程投资计划的通知</w:t>
      </w:r>
      <w:bookmarkEnd w:id="14"/>
      <w:bookmarkEnd w:id="15"/>
      <w:bookmarkStart w:id="18" w:name="_Toc28894"/>
      <w:r>
        <w:rPr>
          <w:rFonts w:hint="eastAsia" w:ascii="宋体" w:hAnsi="宋体" w:eastAsia="宋体" w:cs="宋体"/>
          <w:sz w:val="28"/>
          <w:szCs w:val="28"/>
          <w:highlight w:val="none"/>
          <w:lang w:val="en-US" w:eastAsia="zh-CN"/>
        </w:rPr>
        <w:t>，在围场县域内各乡镇安装标志牌，然晚霞红玉石村标124块，巷牌1740块，门户牌57585块，路牌1450块。</w:t>
      </w:r>
      <w:bookmarkEnd w:id="16"/>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9" w:name="_Toc31882"/>
      <w:bookmarkStart w:id="20" w:name="_Toc10878"/>
      <w:bookmarkStart w:id="21" w:name="_Toc1001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8"/>
      <w:bookmarkEnd w:id="19"/>
      <w:bookmarkEnd w:id="20"/>
      <w:bookmarkEnd w:id="21"/>
    </w:p>
    <w:p>
      <w:pPr>
        <w:spacing w:line="600" w:lineRule="exact"/>
        <w:ind w:firstLine="643" w:firstLineChars="200"/>
        <w:outlineLvl w:val="1"/>
        <w:rPr>
          <w:rFonts w:hint="eastAsia" w:ascii="楷体" w:hAnsi="楷体" w:eastAsia="楷体" w:cs="楷体"/>
          <w:b/>
          <w:bCs w:val="0"/>
          <w:sz w:val="32"/>
          <w:szCs w:val="32"/>
          <w:lang w:val="en-US" w:eastAsia="zh-CN"/>
        </w:rPr>
      </w:pPr>
      <w:bookmarkStart w:id="22" w:name="_Toc5605"/>
      <w:r>
        <w:rPr>
          <w:rFonts w:hint="eastAsia" w:ascii="楷体" w:hAnsi="楷体" w:eastAsia="楷体" w:cs="楷体"/>
          <w:b/>
          <w:bCs w:val="0"/>
          <w:sz w:val="32"/>
          <w:szCs w:val="32"/>
          <w:lang w:val="en-US" w:eastAsia="zh-CN"/>
        </w:rPr>
        <w:t>（三）评价对象和时段</w:t>
      </w:r>
      <w:bookmarkEnd w:id="17"/>
      <w:bookmarkEnd w:id="22"/>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highlight w:val="none"/>
          <w:lang w:val="en-US" w:eastAsia="zh-CN"/>
        </w:rPr>
        <w:t>围场县乡镇地名标志牌二期工程</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3" w:name="_Toc10714"/>
      <w:r>
        <w:rPr>
          <w:rFonts w:hint="eastAsia" w:ascii="黑体" w:hAnsi="黑体" w:eastAsia="黑体" w:cs="黑体"/>
          <w:b/>
          <w:bCs/>
          <w:sz w:val="32"/>
          <w:szCs w:val="32"/>
          <w:lang w:val="en-US" w:eastAsia="zh-CN"/>
        </w:rPr>
        <w:t>二、绩效评价工作开展情况</w:t>
      </w:r>
      <w:bookmarkEnd w:id="23"/>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4" w:name="_Toc9006"/>
      <w:r>
        <w:rPr>
          <w:rFonts w:hint="eastAsia" w:ascii="楷体" w:hAnsi="楷体" w:eastAsia="楷体" w:cs="楷体"/>
          <w:b/>
          <w:bCs/>
          <w:sz w:val="32"/>
          <w:szCs w:val="32"/>
          <w:lang w:val="en-US" w:eastAsia="zh-CN"/>
        </w:rPr>
        <w:t>（一）绩效评价指标权重和绩效评价指标体系</w:t>
      </w:r>
      <w:bookmarkEnd w:id="2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bookmarkStart w:id="25" w:name="_Toc12872"/>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8"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2"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6"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6"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1"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p>
    <w:p>
      <w:pPr>
        <w:ind w:firstLine="643" w:firstLineChars="200"/>
        <w:outlineLvl w:val="1"/>
        <w:rPr>
          <w:rFonts w:hint="eastAsia" w:ascii="楷体" w:hAnsi="楷体" w:eastAsia="楷体" w:cs="楷体"/>
          <w:b/>
          <w:bCs w:val="0"/>
          <w:kern w:val="0"/>
          <w:sz w:val="32"/>
          <w:szCs w:val="32"/>
          <w:lang w:val="en-US" w:eastAsia="zh-CN" w:bidi="ar-SA"/>
        </w:rPr>
      </w:pPr>
      <w:bookmarkStart w:id="26" w:name="_Toc12428"/>
      <w:r>
        <w:rPr>
          <w:rFonts w:hint="eastAsia" w:ascii="楷体" w:hAnsi="楷体" w:eastAsia="楷体" w:cs="楷体"/>
          <w:b/>
          <w:bCs w:val="0"/>
          <w:kern w:val="0"/>
          <w:sz w:val="32"/>
          <w:szCs w:val="32"/>
          <w:lang w:val="en-US" w:eastAsia="zh-CN" w:bidi="ar-SA"/>
        </w:rPr>
        <w:t>（二）绩效评价目的和依据</w:t>
      </w:r>
      <w:bookmarkEnd w:id="25"/>
      <w:bookmarkEnd w:id="26"/>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jc w:val="center"/>
        </w:trPr>
        <w:tc>
          <w:tcPr>
            <w:tcW w:w="257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09"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279"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279"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570"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09"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7" w:name="_Toc22990"/>
            <w:bookmarkStart w:id="28" w:name="_Toc4496"/>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27"/>
      <w:bookmarkEnd w:id="28"/>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sz w:val="28"/>
          <w:szCs w:val="28"/>
          <w:highlight w:val="none"/>
          <w:lang w:val="en-US" w:eastAsia="zh-CN"/>
        </w:rPr>
        <w:t>围场县民政局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评价范围包括2019年度围场县地方政府新增一般债劵资金的预算投入、支出情况。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9" w:name="_Toc13210"/>
      <w:bookmarkStart w:id="30"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9"/>
      <w:bookmarkEnd w:id="30"/>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31" w:name="_Toc7397"/>
      <w:bookmarkStart w:id="32" w:name="_Toc8164"/>
      <w:bookmarkStart w:id="33" w:name="_Toc12042"/>
      <w:bookmarkStart w:id="34"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31"/>
      <w:bookmarkEnd w:id="32"/>
      <w:bookmarkEnd w:id="33"/>
    </w:p>
    <w:p>
      <w:pPr>
        <w:ind w:firstLine="560" w:firstLineChars="200"/>
        <w:rPr>
          <w:rFonts w:hint="eastAsia" w:ascii="宋体" w:hAnsi="宋体" w:eastAsia="宋体" w:cs="宋体"/>
          <w:kern w:val="2"/>
          <w:sz w:val="28"/>
          <w:szCs w:val="28"/>
          <w:lang w:val="en-US" w:eastAsia="zh-CN" w:bidi="ar-SA"/>
        </w:rPr>
      </w:pPr>
      <w:bookmarkStart w:id="35" w:name="_Toc18780"/>
      <w:bookmarkStart w:id="36" w:name="_Toc22556"/>
      <w:bookmarkStart w:id="37" w:name="_Toc2087"/>
      <w:bookmarkStart w:id="38" w:name="_Toc17563"/>
      <w:bookmarkStart w:id="39" w:name="_Toc31807"/>
      <w:bookmarkStart w:id="40" w:name="_Toc13042"/>
      <w:r>
        <w:rPr>
          <w:rFonts w:hint="eastAsia" w:ascii="宋体" w:hAnsi="宋体" w:eastAsia="宋体" w:cs="宋体"/>
          <w:kern w:val="2"/>
          <w:sz w:val="28"/>
          <w:szCs w:val="28"/>
          <w:lang w:val="en-US" w:eastAsia="zh-CN" w:bidi="ar-SA"/>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5"/>
      <w:bookmarkEnd w:id="36"/>
      <w:bookmarkEnd w:id="37"/>
      <w:bookmarkEnd w:id="38"/>
      <w:bookmarkEnd w:id="39"/>
      <w:bookmarkEnd w:id="40"/>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1" w:name="_Toc24529"/>
      <w:bookmarkStart w:id="42" w:name="_Toc24972"/>
      <w:bookmarkStart w:id="43" w:name="_Toc17036"/>
      <w:bookmarkStart w:id="44" w:name="_Toc1487"/>
      <w:bookmarkStart w:id="45" w:name="_Toc15494"/>
      <w:bookmarkStart w:id="46" w:name="_Toc22205"/>
      <w:bookmarkStart w:id="47" w:name="_Toc19058"/>
      <w:bookmarkStart w:id="48" w:name="_Toc14572"/>
      <w:bookmarkStart w:id="49" w:name="_Toc27413"/>
      <w:bookmarkStart w:id="50" w:name="_Toc14297"/>
      <w:bookmarkStart w:id="51" w:name="_Toc24311"/>
      <w:r>
        <w:rPr>
          <w:rFonts w:hint="eastAsia" w:ascii="宋体" w:hAnsi="宋体" w:eastAsia="宋体" w:cs="宋体"/>
          <w:b/>
          <w:bCs/>
          <w:kern w:val="0"/>
          <w:sz w:val="28"/>
          <w:szCs w:val="28"/>
          <w:lang w:val="en-US" w:eastAsia="zh-CN" w:bidi="ar-SA"/>
        </w:rPr>
        <w:t>1、明确项目团队的职责与分工</w:t>
      </w:r>
      <w:bookmarkEnd w:id="41"/>
      <w:bookmarkEnd w:id="42"/>
      <w:bookmarkEnd w:id="43"/>
      <w:bookmarkEnd w:id="44"/>
      <w:bookmarkEnd w:id="45"/>
      <w:bookmarkEnd w:id="46"/>
      <w:bookmarkEnd w:id="47"/>
      <w:bookmarkEnd w:id="48"/>
      <w:bookmarkEnd w:id="49"/>
      <w:bookmarkEnd w:id="50"/>
      <w:bookmarkEnd w:id="51"/>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2" w:name="_Toc28394"/>
      <w:bookmarkStart w:id="53" w:name="_Toc6642"/>
      <w:bookmarkStart w:id="54" w:name="_Toc27143"/>
      <w:bookmarkStart w:id="55" w:name="_Toc23616"/>
      <w:bookmarkStart w:id="56" w:name="_Toc29931"/>
      <w:bookmarkStart w:id="57" w:name="_Toc25494"/>
      <w:bookmarkStart w:id="58" w:name="_Toc31637"/>
      <w:r>
        <w:rPr>
          <w:rFonts w:hint="eastAsia" w:ascii="宋体" w:hAnsi="宋体" w:eastAsia="宋体" w:cs="宋体"/>
          <w:b/>
          <w:bCs/>
          <w:kern w:val="0"/>
          <w:sz w:val="28"/>
          <w:szCs w:val="28"/>
          <w:lang w:val="en-US" w:eastAsia="zh-CN" w:bidi="ar-SA"/>
        </w:rPr>
        <w:t>2、评价工作各相关当事方的职责</w:t>
      </w:r>
      <w:bookmarkEnd w:id="52"/>
      <w:bookmarkEnd w:id="53"/>
      <w:bookmarkEnd w:id="54"/>
      <w:bookmarkEnd w:id="55"/>
      <w:bookmarkEnd w:id="56"/>
      <w:bookmarkEnd w:id="57"/>
      <w:bookmarkEnd w:id="5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9" w:name="_Toc13832"/>
      <w:bookmarkStart w:id="60" w:name="_Toc17781"/>
      <w:bookmarkStart w:id="61" w:name="_Toc24530"/>
      <w:bookmarkStart w:id="62" w:name="_Toc332"/>
      <w:bookmarkStart w:id="63" w:name="_Toc27067"/>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9"/>
      <w:bookmarkEnd w:id="60"/>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4" w:name="_Toc8043"/>
      <w:r>
        <w:rPr>
          <w:rFonts w:hint="eastAsia" w:ascii="黑体" w:hAnsi="黑体" w:eastAsia="黑体" w:cs="黑体"/>
          <w:b w:val="0"/>
          <w:bCs w:val="0"/>
          <w:sz w:val="32"/>
          <w:szCs w:val="32"/>
          <w:lang w:eastAsia="zh-CN"/>
        </w:rPr>
        <w:t>三、</w:t>
      </w:r>
      <w:bookmarkEnd w:id="34"/>
      <w:r>
        <w:rPr>
          <w:rFonts w:hint="eastAsia" w:ascii="黑体" w:hAnsi="黑体" w:eastAsia="黑体" w:cs="黑体"/>
          <w:kern w:val="2"/>
          <w:sz w:val="32"/>
          <w:szCs w:val="32"/>
          <w:highlight w:val="none"/>
          <w:lang w:val="en-US" w:eastAsia="zh-CN" w:bidi="ar-SA"/>
        </w:rPr>
        <w:t>项目实施及资金使用情况</w:t>
      </w:r>
      <w:bookmarkEnd w:id="64"/>
    </w:p>
    <w:p>
      <w:pPr>
        <w:ind w:firstLine="643" w:firstLineChars="200"/>
        <w:outlineLvl w:val="1"/>
        <w:rPr>
          <w:rFonts w:hint="eastAsia" w:ascii="楷体" w:hAnsi="楷体" w:eastAsia="楷体" w:cs="楷体"/>
          <w:b/>
          <w:bCs/>
          <w:kern w:val="2"/>
          <w:sz w:val="32"/>
          <w:szCs w:val="32"/>
          <w:highlight w:val="none"/>
          <w:lang w:val="en-US" w:eastAsia="zh-CN" w:bidi="ar-SA"/>
        </w:rPr>
      </w:pPr>
      <w:bookmarkStart w:id="65" w:name="_Toc6786"/>
      <w:bookmarkStart w:id="66" w:name="_Toc7682"/>
      <w:r>
        <w:rPr>
          <w:rFonts w:hint="eastAsia" w:ascii="楷体" w:hAnsi="楷体" w:eastAsia="楷体" w:cs="楷体"/>
          <w:b/>
          <w:bCs/>
          <w:kern w:val="2"/>
          <w:sz w:val="32"/>
          <w:szCs w:val="32"/>
          <w:highlight w:val="none"/>
          <w:lang w:val="en-US" w:eastAsia="zh-CN" w:bidi="ar-SA"/>
        </w:rPr>
        <w:t>（一）项目实施情况</w:t>
      </w:r>
      <w:bookmarkEnd w:id="65"/>
      <w:bookmarkEnd w:id="66"/>
    </w:p>
    <w:p>
      <w:pPr>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2019年5月7日，围场满族蒙古族自治县行政审批局向围场县民政局下达了围场县乡镇地名标牌二期工程投资计划。主要建设规模及内容：天然晚霞红玉石村标124块，巷牌1740块，门户牌57585块，路牌1450块。</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2019年6月11日，围场县乡镇地名标牌二期项目在围场满族蒙古族自治县公共资源交易中心进行开标、评标，最终经评标委员会确认，山东敬庆电子科技有限公司为中标单位，中标价款￥6358283.07元(大写:陆佰叁拾伍万捌仟贰佰捌拾叁元零柒分)。并于2019年7月19日与围场满族蒙古族自治县民政局签订了乡镇地名标牌二期合同，本项目计划建设工期2019年6月至2019年10月。同时约定合同签订后于2019年10月30日前供货安装完毕，交付采购人正常使用</w:t>
      </w:r>
      <w:r>
        <w:rPr>
          <w:rFonts w:hint="eastAsia" w:ascii="宋体" w:hAnsi="宋体" w:eastAsia="宋体" w:cs="宋体"/>
          <w:kern w:val="2"/>
          <w:sz w:val="28"/>
          <w:szCs w:val="28"/>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2020年5月18日，建设单位对围场县乡镇地名标牌二期工程进行验收，材料、路牌、巷牌、门户牌、居民点牌等规格尺寸和数量均符合合同要求，验收合格</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67" w:name="_Toc21807"/>
      <w:bookmarkStart w:id="68" w:name="_Toc14809"/>
      <w:r>
        <w:rPr>
          <w:rFonts w:hint="eastAsia" w:ascii="楷体" w:hAnsi="楷体" w:eastAsia="楷体" w:cs="楷体"/>
          <w:b/>
          <w:bCs/>
          <w:kern w:val="2"/>
          <w:sz w:val="32"/>
          <w:szCs w:val="32"/>
          <w:highlight w:val="none"/>
          <w:lang w:val="en-US" w:eastAsia="zh-CN" w:bidi="ar-SA"/>
        </w:rPr>
        <w:t>（二）资金使用情况</w:t>
      </w:r>
      <w:bookmarkEnd w:id="67"/>
      <w:bookmarkEnd w:id="68"/>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bookmarkStart w:id="69" w:name="_Toc15054"/>
      <w:bookmarkStart w:id="70" w:name="_Toc13622"/>
      <w:r>
        <w:rPr>
          <w:rFonts w:hint="eastAsia" w:ascii="宋体" w:hAnsi="宋体" w:eastAsia="宋体" w:cs="宋体"/>
          <w:sz w:val="28"/>
          <w:szCs w:val="28"/>
          <w:highlight w:val="none"/>
          <w:lang w:val="en-US" w:eastAsia="zh-CN"/>
        </w:rPr>
        <w:t>2019年7月31日，省级财政授权支付额度190万元，支付围场县乡镇地名标牌二期工程专用材料购置费190万元。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2019年11月28日，省级财政授权支付额度254万元，12月3日支付围场县乡镇地名标牌二期工程项目款254万元，应付款1万元，发票金额255万元。</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sz w:val="28"/>
          <w:szCs w:val="28"/>
          <w:highlight w:val="none"/>
          <w:lang w:val="en-US" w:eastAsia="zh-CN"/>
        </w:rPr>
        <w:t>2020年6月17日，省级财政授权支付额度191.828万元，包括2019年应付款1万元。发票金额支付围场县乡镇地名标牌二期工程项目款190.828307万元</w:t>
      </w:r>
      <w:r>
        <w:rPr>
          <w:rFonts w:hint="eastAsia" w:ascii="宋体" w:hAnsi="宋体" w:eastAsia="宋体" w:cs="宋体"/>
          <w:kern w:val="2"/>
          <w:sz w:val="28"/>
          <w:szCs w:val="28"/>
          <w:lang w:val="en-US" w:eastAsia="zh-CN" w:bidi="ar-SA"/>
        </w:rPr>
        <w:t>。</w:t>
      </w:r>
      <w:bookmarkEnd w:id="69"/>
      <w:bookmarkEnd w:id="70"/>
    </w:p>
    <w:p>
      <w:pPr>
        <w:ind w:firstLine="640" w:firstLineChars="200"/>
        <w:outlineLvl w:val="0"/>
        <w:rPr>
          <w:rFonts w:hint="eastAsia" w:ascii="黑体" w:hAnsi="黑体" w:eastAsia="黑体" w:cs="黑体"/>
          <w:kern w:val="2"/>
          <w:sz w:val="32"/>
          <w:szCs w:val="32"/>
          <w:lang w:val="en-US" w:eastAsia="zh-CN" w:bidi="ar-SA"/>
        </w:rPr>
      </w:pPr>
      <w:bookmarkStart w:id="71" w:name="_Toc11581"/>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7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2" w:name="_Toc10493"/>
      <w:bookmarkStart w:id="73" w:name="_Toc16548"/>
      <w:r>
        <w:rPr>
          <w:rFonts w:hint="eastAsia" w:ascii="楷体" w:hAnsi="楷体" w:eastAsia="楷体" w:cs="楷体"/>
          <w:b/>
          <w:bCs w:val="0"/>
          <w:kern w:val="0"/>
          <w:sz w:val="32"/>
          <w:szCs w:val="32"/>
          <w:lang w:val="en-US" w:eastAsia="zh-CN"/>
        </w:rPr>
        <w:t>（一）绩效评价分析</w:t>
      </w:r>
      <w:bookmarkEnd w:id="72"/>
      <w:bookmarkEnd w:id="73"/>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2019年5月7日，围场满族蒙古族自治县行政审批局向围场县民政局下达了围场县乡镇地名标牌二期工程项目投资计划的通知。</w:t>
      </w:r>
      <w:r>
        <w:rPr>
          <w:rFonts w:hint="eastAsia" w:ascii="宋体" w:hAnsi="宋体" w:eastAsia="宋体" w:cs="宋体"/>
          <w:kern w:val="2"/>
          <w:sz w:val="28"/>
          <w:szCs w:val="28"/>
          <w:highlight w:val="none"/>
          <w:lang w:val="en-US" w:eastAsia="zh-CN" w:bidi="ar-SA"/>
        </w:rPr>
        <w:t>本项目立项合规、设立过程符合政策规定。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建设单位按照围场县</w:t>
      </w:r>
      <w:r>
        <w:rPr>
          <w:rFonts w:hint="eastAsia" w:ascii="宋体" w:hAnsi="宋体" w:eastAsia="宋体" w:cs="宋体"/>
          <w:sz w:val="28"/>
          <w:szCs w:val="28"/>
          <w:highlight w:val="none"/>
          <w:lang w:val="en-US" w:eastAsia="zh-CN"/>
        </w:rPr>
        <w:t>行政审批局下达的投资计划</w:t>
      </w:r>
      <w:r>
        <w:rPr>
          <w:rFonts w:hint="eastAsia" w:ascii="宋体" w:hAnsi="宋体" w:eastAsia="宋体" w:cs="宋体"/>
          <w:kern w:val="2"/>
          <w:sz w:val="28"/>
          <w:szCs w:val="28"/>
          <w:highlight w:val="none"/>
          <w:lang w:val="en-US" w:eastAsia="zh-CN" w:bidi="ar-SA"/>
        </w:rPr>
        <w:t>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建设单位严格按照设定的投资计划实施，依据绩效目标设定的绩效指标清晰、合理。我方通过对</w:t>
      </w: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highlight w:val="none"/>
          <w:lang w:val="en-US" w:eastAsia="zh-CN"/>
        </w:rPr>
        <w:t>乡镇地名标牌二期工程项目</w:t>
      </w:r>
      <w:r>
        <w:rPr>
          <w:rFonts w:hint="eastAsia" w:ascii="宋体" w:hAnsi="宋体" w:eastAsia="宋体" w:cs="宋体"/>
          <w:kern w:val="2"/>
          <w:sz w:val="28"/>
          <w:szCs w:val="28"/>
          <w:lang w:val="en-US" w:eastAsia="zh-CN" w:bidi="ar-SA"/>
        </w:rPr>
        <w:t>的分析</w:t>
      </w:r>
      <w:r>
        <w:rPr>
          <w:rFonts w:hint="eastAsia" w:ascii="宋体" w:hAnsi="宋体" w:eastAsia="宋体" w:cs="宋体"/>
          <w:sz w:val="28"/>
          <w:szCs w:val="28"/>
          <w:highlight w:val="none"/>
          <w:lang w:val="en-US" w:eastAsia="zh-CN"/>
        </w:rPr>
        <w:t>围场县乡镇地名标牌项目的实施方便了群众生产生活、完善了公共服务功能</w:t>
      </w:r>
      <w:r>
        <w:rPr>
          <w:rFonts w:hint="eastAsia" w:ascii="宋体" w:hAnsi="宋体" w:eastAsia="宋体" w:cs="宋体"/>
          <w:kern w:val="2"/>
          <w:sz w:val="28"/>
          <w:szCs w:val="28"/>
          <w:highlight w:val="none"/>
          <w:lang w:val="en-US" w:eastAsia="zh-CN" w:bidi="ar-SA"/>
        </w:rPr>
        <w:t>，项目建成后能够达到预期使用效果，未来可持续性强。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本项目经围场县行政审批局批复实施，项目中标通知书、施工合同、竣工验收报告、资金支付凭证等资料基本完整。缺少实施方案扣减1分。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②项目公开招投标情况指标标准分值为6分，考评得分6分。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highlight w:val="none"/>
          <w:lang w:val="en-US" w:eastAsia="zh-CN"/>
        </w:rPr>
        <w:t>乡镇地名标牌二期工程项目</w:t>
      </w:r>
      <w:r>
        <w:rPr>
          <w:rFonts w:hint="eastAsia" w:ascii="宋体" w:hAnsi="宋体" w:eastAsia="宋体" w:cs="宋体"/>
          <w:kern w:val="2"/>
          <w:sz w:val="28"/>
          <w:szCs w:val="28"/>
          <w:highlight w:val="none"/>
          <w:lang w:val="en-US" w:eastAsia="zh-CN" w:bidi="ar-SA"/>
        </w:rPr>
        <w:t>新增债券资金安排的情况均已公示，所有项目均通过公开招标方式获得，没有发现应该招标没有招标的情况。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sz w:val="28"/>
          <w:szCs w:val="28"/>
          <w:lang w:val="en-US" w:eastAsia="zh-CN"/>
        </w:rPr>
      </w:pPr>
      <w:r>
        <w:rPr>
          <w:rFonts w:hint="eastAsia" w:ascii="宋体" w:hAnsi="宋体" w:eastAsia="宋体" w:cs="宋体"/>
          <w:kern w:val="2"/>
          <w:sz w:val="28"/>
          <w:szCs w:val="28"/>
          <w:highlight w:val="none"/>
          <w:lang w:val="en-US" w:eastAsia="zh-CN" w:bidi="ar-SA"/>
        </w:rPr>
        <w:t>债券资金使用部分项目变更控制情况较好，没有对工程进度造成影响，项目能够按照资金使用情况顺利进行。</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14</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本项目债券资金全部用于</w:t>
      </w:r>
      <w:r>
        <w:rPr>
          <w:rFonts w:hint="eastAsia" w:ascii="宋体" w:hAnsi="宋体" w:eastAsia="宋体" w:cs="宋体"/>
          <w:sz w:val="28"/>
          <w:szCs w:val="28"/>
          <w:highlight w:val="none"/>
          <w:lang w:val="en-US" w:eastAsia="zh-CN"/>
        </w:rPr>
        <w:t>乡镇地名标牌二期工程，</w:t>
      </w:r>
      <w:r>
        <w:rPr>
          <w:rFonts w:hint="eastAsia" w:ascii="宋体" w:hAnsi="宋体" w:eastAsia="宋体" w:cs="宋体"/>
          <w:kern w:val="2"/>
          <w:sz w:val="28"/>
          <w:szCs w:val="28"/>
          <w:highlight w:val="none"/>
          <w:lang w:val="en-US" w:eastAsia="zh-CN" w:bidi="ar-SA"/>
        </w:rPr>
        <w:t>均未用于经常性支出，且未用于中央明令禁止的项目支出，资金使用合规。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本项目已按国库集中支付制度要求在县级财政集中支付，依据充分，支付凭证清晰，未出现资金拖欠现象。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我方人员在项目资金审查过程中未发现资金有挪用、抽逃现象，但本项目剩余30%工程款未按合同约定付款方式执行，此项考核指标扣减1分。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产出指标绩效评价设定分值为30分，考评得分28分。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乡镇地名标牌二期工程</w:t>
      </w: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按照双方约定</w:t>
      </w:r>
      <w:r>
        <w:rPr>
          <w:rFonts w:hint="eastAsia" w:ascii="宋体" w:hAnsi="宋体" w:eastAsia="宋体" w:cs="宋体"/>
          <w:sz w:val="28"/>
          <w:szCs w:val="28"/>
          <w:highlight w:val="none"/>
          <w:lang w:val="en-US" w:eastAsia="zh-CN"/>
        </w:rPr>
        <w:t>合同签订后于2019年10月30日前供货安装完毕，交付采购人正常使用。2020年5月18日，建设单位对围场县乡镇地名标牌二期工程进行验收，材料、路牌、巷牌、门户牌、居民点牌等规格尺寸和数量均符合合同要求，验收合格</w:t>
      </w:r>
      <w:r>
        <w:rPr>
          <w:rFonts w:hint="eastAsia" w:ascii="宋体" w:hAnsi="宋体" w:eastAsia="宋体" w:cs="宋体"/>
          <w:kern w:val="2"/>
          <w:sz w:val="28"/>
          <w:szCs w:val="28"/>
          <w:highlight w:val="none"/>
          <w:lang w:val="en-US" w:eastAsia="zh-CN" w:bidi="ar-SA"/>
        </w:rPr>
        <w:t>。项目完工后未能及时验收扣减2分。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已完工的</w:t>
      </w:r>
      <w:r>
        <w:rPr>
          <w:rFonts w:hint="eastAsia" w:ascii="宋体" w:hAnsi="宋体" w:eastAsia="宋体" w:cs="宋体"/>
          <w:sz w:val="28"/>
          <w:szCs w:val="28"/>
          <w:highlight w:val="none"/>
          <w:lang w:val="en-US" w:eastAsia="zh-CN"/>
        </w:rPr>
        <w:t>乡镇地名标牌二期工程</w:t>
      </w:r>
      <w:r>
        <w:rPr>
          <w:rFonts w:hint="eastAsia" w:ascii="宋体" w:hAnsi="宋体" w:eastAsia="宋体" w:cs="宋体"/>
          <w:kern w:val="2"/>
          <w:sz w:val="28"/>
          <w:szCs w:val="28"/>
          <w:highlight w:val="none"/>
          <w:lang w:val="en-US" w:eastAsia="zh-CN" w:bidi="ar-SA"/>
        </w:rPr>
        <w:t>项目按批复计划设定的总体目标全面实现，达到预期目标。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围场县乡镇地名标牌项目的建设为围场县各乡镇的农村居民和外来人员提供了简单明了的方向标示</w:t>
      </w:r>
      <w:r>
        <w:rPr>
          <w:rFonts w:hint="default" w:ascii="宋体" w:hAnsi="宋体" w:eastAsia="宋体" w:cs="宋体"/>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使人们获得更多所要的信息，在人们日常生活的社会发展中、智能化城镇的高速扩涨中，全部都离不开标识。社会效益明显提升。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围场县乡镇地名标牌项目的实施方便了群众生产生活、完善了公共服务功能，使全县地名管理不断趋于标准化、科学化、规范化，为城乡经济社会发展和促进社会主义新农村建设创造良好的社会环境</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本项目债券资金投入的为社会公益性项目，不产生直接经济效益。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围场县乡镇地名标牌建设</w:t>
      </w:r>
      <w:r>
        <w:rPr>
          <w:rFonts w:hint="eastAsia" w:ascii="宋体" w:hAnsi="宋体" w:eastAsia="宋体" w:cs="宋体"/>
          <w:kern w:val="2"/>
          <w:sz w:val="28"/>
          <w:szCs w:val="28"/>
          <w:highlight w:val="none"/>
          <w:lang w:val="en-US" w:eastAsia="zh-CN" w:bidi="ar-SA"/>
        </w:rPr>
        <w:t>项目的实施</w:t>
      </w:r>
      <w:r>
        <w:rPr>
          <w:rFonts w:hint="eastAsia" w:ascii="宋体" w:hAnsi="宋体" w:eastAsia="宋体" w:cs="宋体"/>
          <w:sz w:val="28"/>
          <w:szCs w:val="28"/>
          <w:highlight w:val="none"/>
          <w:lang w:val="en-US" w:eastAsia="zh-CN"/>
        </w:rPr>
        <w:t>方便了群众出行，对外来人员尤为重要，本项目为</w:t>
      </w:r>
      <w:r>
        <w:rPr>
          <w:rFonts w:hint="eastAsia" w:ascii="宋体" w:hAnsi="宋体" w:eastAsia="宋体" w:cs="宋体"/>
          <w:kern w:val="2"/>
          <w:sz w:val="28"/>
          <w:szCs w:val="28"/>
          <w:highlight w:val="none"/>
          <w:lang w:val="en-US" w:eastAsia="zh-CN" w:bidi="ar-SA"/>
        </w:rPr>
        <w:t>社会公益性项目，带来的间接经济效益不明显</w:t>
      </w:r>
      <w:r>
        <w:rPr>
          <w:rFonts w:hint="eastAsia" w:ascii="宋体" w:hAnsi="宋体" w:eastAsia="宋体" w:cs="宋体"/>
          <w:sz w:val="28"/>
          <w:szCs w:val="28"/>
          <w:highlight w:val="none"/>
          <w:lang w:val="en-US" w:eastAsia="zh-CN"/>
        </w:rPr>
        <w:t>因此本项考核得分为5分。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4" w:name="_Toc14098"/>
      <w:bookmarkStart w:id="75" w:name="_Toc29681"/>
      <w:r>
        <w:rPr>
          <w:rFonts w:hint="eastAsia" w:ascii="楷体" w:hAnsi="楷体" w:eastAsia="楷体" w:cs="楷体"/>
          <w:b/>
          <w:bCs w:val="0"/>
          <w:kern w:val="0"/>
          <w:sz w:val="32"/>
          <w:szCs w:val="32"/>
          <w:lang w:eastAsia="zh-CN"/>
        </w:rPr>
        <w:t>（二）绩效评价结论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highlight w:val="none"/>
          <w:lang w:val="en-US" w:eastAsia="zh-CN"/>
        </w:rPr>
        <w:t>乡镇地名标牌二期工程项目</w:t>
      </w:r>
      <w:r>
        <w:rPr>
          <w:rFonts w:hint="eastAsia" w:ascii="宋体" w:hAnsi="宋体" w:eastAsia="宋体" w:cs="宋体"/>
          <w:kern w:val="2"/>
          <w:sz w:val="28"/>
          <w:szCs w:val="28"/>
          <w:highlight w:val="none"/>
          <w:lang w:val="en-US" w:eastAsia="zh-CN" w:bidi="ar-SA"/>
        </w:rPr>
        <w:t>绩效考评结果，其中：投入指标考评得分10分、管理指标考评得分28分、产出指标考评得分28分、效益指标考评得分26分。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通过对各项指标的具体分析评价，汇总得出本次绩效评价考核综合得分为92分，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通过项目建设，对社会效益、社会环境影响是长期的，促进了围场县的经济繁荣。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宋体"/>
          <w:sz w:val="28"/>
          <w:szCs w:val="28"/>
          <w:lang w:eastAsia="zh-CN"/>
        </w:rPr>
      </w:pPr>
      <w:r>
        <w:rPr>
          <w:rFonts w:hint="eastAsia" w:ascii="宋体" w:hAnsi="宋体" w:eastAsia="宋体" w:cs="宋体"/>
          <w:bCs/>
          <w:kern w:val="0"/>
          <w:sz w:val="28"/>
          <w:szCs w:val="28"/>
        </w:rPr>
        <w:t>评价结果表明，</w:t>
      </w: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highlight w:val="none"/>
          <w:lang w:val="en-US" w:eastAsia="zh-CN"/>
        </w:rPr>
        <w:t>乡镇地名标牌二期工程项目</w:t>
      </w:r>
      <w:r>
        <w:rPr>
          <w:rFonts w:hint="eastAsia" w:ascii="宋体" w:hAnsi="宋体" w:eastAsia="宋体" w:cs="宋体"/>
          <w:bCs/>
          <w:kern w:val="0"/>
          <w:sz w:val="28"/>
          <w:szCs w:val="28"/>
        </w:rPr>
        <w:t>组织和管理较好地执行了相关规定要求</w:t>
      </w:r>
      <w:r>
        <w:rPr>
          <w:rFonts w:hint="eastAsia" w:ascii="宋体" w:hAnsi="宋体" w:eastAsia="宋体" w:cs="宋体"/>
          <w:sz w:val="28"/>
          <w:szCs w:val="28"/>
        </w:rPr>
        <w:t>，组织管理有序，</w:t>
      </w:r>
      <w:r>
        <w:rPr>
          <w:rFonts w:hint="eastAsia" w:ascii="宋体" w:hAnsi="宋体" w:eastAsia="宋体" w:cs="宋体"/>
          <w:bCs/>
          <w:kern w:val="0"/>
          <w:sz w:val="28"/>
          <w:szCs w:val="28"/>
        </w:rPr>
        <w:t>单位财务管理制度基本健全，对项目资金的监督管理总体有效，</w:t>
      </w:r>
      <w:r>
        <w:rPr>
          <w:rFonts w:hint="eastAsia" w:ascii="宋体" w:hAnsi="宋体" w:eastAsia="宋体" w:cs="宋体"/>
          <w:kern w:val="2"/>
          <w:sz w:val="28"/>
          <w:szCs w:val="28"/>
          <w:lang w:val="en-US" w:eastAsia="zh-CN" w:bidi="ar-SA"/>
        </w:rPr>
        <w:t>资金使用合理合规，但</w:t>
      </w:r>
      <w:r>
        <w:rPr>
          <w:rFonts w:hint="eastAsia" w:ascii="宋体" w:hAnsi="宋体" w:eastAsia="宋体" w:cs="宋体"/>
          <w:bCs/>
          <w:kern w:val="0"/>
          <w:sz w:val="28"/>
          <w:szCs w:val="28"/>
          <w:lang w:eastAsia="zh-CN"/>
        </w:rPr>
        <w:t>实现</w:t>
      </w:r>
      <w:r>
        <w:rPr>
          <w:rFonts w:hint="eastAsia" w:ascii="宋体" w:hAnsi="宋体" w:eastAsia="宋体" w:cs="宋体"/>
          <w:sz w:val="28"/>
          <w:szCs w:val="28"/>
          <w:lang w:eastAsia="zh-CN"/>
        </w:rPr>
        <w:t>的</w:t>
      </w:r>
      <w:r>
        <w:rPr>
          <w:rFonts w:hint="eastAsia" w:ascii="宋体" w:hAnsi="宋体" w:eastAsia="宋体" w:cs="宋体"/>
          <w:sz w:val="28"/>
          <w:szCs w:val="28"/>
        </w:rPr>
        <w:t>经济效益</w:t>
      </w:r>
      <w:r>
        <w:rPr>
          <w:rFonts w:hint="eastAsia" w:ascii="宋体" w:hAnsi="宋体" w:eastAsia="宋体" w:cs="宋体"/>
          <w:sz w:val="28"/>
          <w:szCs w:val="28"/>
          <w:lang w:eastAsia="zh-CN"/>
        </w:rPr>
        <w:t>不</w:t>
      </w:r>
      <w:r>
        <w:rPr>
          <w:rFonts w:hint="eastAsia" w:ascii="宋体" w:hAnsi="宋体" w:eastAsia="宋体" w:cs="宋体"/>
          <w:sz w:val="28"/>
          <w:szCs w:val="28"/>
        </w:rPr>
        <w:t>明显</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6" w:name="_Toc32395"/>
      <w:bookmarkStart w:id="77" w:name="_Toc15020"/>
      <w:r>
        <w:rPr>
          <w:rFonts w:hint="eastAsia" w:ascii="黑体" w:hAnsi="黑体" w:eastAsia="黑体" w:cs="黑体"/>
          <w:b w:val="0"/>
          <w:bCs/>
          <w:kern w:val="0"/>
          <w:sz w:val="32"/>
          <w:szCs w:val="32"/>
          <w:highlight w:val="none"/>
          <w:lang w:eastAsia="zh-CN"/>
        </w:rPr>
        <w:t>五、</w:t>
      </w:r>
      <w:bookmarkEnd w:id="76"/>
      <w:r>
        <w:rPr>
          <w:rFonts w:hint="eastAsia" w:ascii="黑体" w:hAnsi="黑体" w:eastAsia="黑体" w:cs="黑体"/>
          <w:b w:val="0"/>
          <w:bCs/>
          <w:kern w:val="0"/>
          <w:sz w:val="32"/>
          <w:szCs w:val="32"/>
          <w:highlight w:val="none"/>
          <w:lang w:eastAsia="zh-CN"/>
        </w:rPr>
        <w:t>意见及建议</w:t>
      </w:r>
      <w:bookmarkEnd w:id="7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bCs/>
          <w:kern w:val="0"/>
          <w:sz w:val="32"/>
          <w:szCs w:val="32"/>
        </w:rPr>
      </w:pPr>
      <w:r>
        <w:rPr>
          <w:rFonts w:hint="eastAsia" w:ascii="宋体" w:hAnsi="宋体" w:eastAsia="宋体" w:cs="宋体"/>
          <w:bCs/>
          <w:kern w:val="0"/>
          <w:sz w:val="28"/>
          <w:szCs w:val="28"/>
          <w:lang w:eastAsia="zh-CN"/>
        </w:rPr>
        <w:t>针对本项目应加强对项目资料的管理，落实方案、完善建设程序及资金支付方面的管理。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8" w:name="_Toc2342"/>
      <w:bookmarkStart w:id="79" w:name="_Toc26763"/>
      <w:bookmarkStart w:id="80" w:name="_Toc25821"/>
      <w:bookmarkStart w:id="81" w:name="_Toc5786"/>
      <w:bookmarkStart w:id="82" w:name="_Toc7010"/>
      <w:bookmarkStart w:id="83" w:name="_Toc31396"/>
      <w:r>
        <w:rPr>
          <w:rFonts w:hint="eastAsia" w:ascii="楷体" w:hAnsi="楷体" w:eastAsia="楷体" w:cs="楷体"/>
          <w:b/>
          <w:bCs/>
          <w:sz w:val="32"/>
          <w:szCs w:val="32"/>
          <w:lang w:val="en-US" w:eastAsia="zh-CN"/>
        </w:rPr>
        <w:t>（一）强化绩效理念，深入推进评价工作</w:t>
      </w:r>
      <w:bookmarkEnd w:id="78"/>
      <w:bookmarkEnd w:id="79"/>
      <w:bookmarkEnd w:id="80"/>
      <w:bookmarkEnd w:id="81"/>
      <w:bookmarkEnd w:id="82"/>
      <w:bookmarkEnd w:id="83"/>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4" w:name="_Toc14241"/>
      <w:bookmarkStart w:id="85" w:name="_Toc21411"/>
      <w:bookmarkStart w:id="86" w:name="_Toc10604"/>
      <w:bookmarkStart w:id="87" w:name="_Toc11860"/>
      <w:bookmarkStart w:id="88" w:name="_Toc6863"/>
      <w:bookmarkStart w:id="89" w:name="_Toc10505"/>
      <w:r>
        <w:rPr>
          <w:rFonts w:hint="eastAsia" w:ascii="楷体" w:hAnsi="楷体" w:eastAsia="楷体" w:cs="楷体"/>
          <w:b/>
          <w:bCs/>
          <w:sz w:val="32"/>
          <w:szCs w:val="32"/>
          <w:lang w:val="en-US" w:eastAsia="zh-CN"/>
        </w:rPr>
        <w:t>（二）强化事前准备，切实提升评价质量</w:t>
      </w:r>
      <w:bookmarkEnd w:id="84"/>
      <w:bookmarkEnd w:id="85"/>
      <w:bookmarkEnd w:id="86"/>
      <w:bookmarkEnd w:id="87"/>
      <w:bookmarkEnd w:id="88"/>
      <w:bookmarkEnd w:id="89"/>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90" w:name="_Toc11787"/>
      <w:bookmarkStart w:id="91" w:name="_Toc30061"/>
      <w:bookmarkStart w:id="92" w:name="_Toc10592"/>
      <w:bookmarkStart w:id="93" w:name="_Toc3001"/>
      <w:bookmarkStart w:id="94" w:name="_Toc21034"/>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5" w:name="_Toc2668"/>
      <w:r>
        <w:rPr>
          <w:rFonts w:hint="eastAsia" w:ascii="楷体" w:hAnsi="楷体" w:eastAsia="楷体" w:cs="楷体"/>
          <w:b/>
          <w:bCs/>
          <w:sz w:val="32"/>
          <w:szCs w:val="32"/>
          <w:lang w:val="en-US" w:eastAsia="zh-CN"/>
        </w:rPr>
        <w:t>（三）强化结果应用，不断巩固评价</w:t>
      </w:r>
      <w:bookmarkEnd w:id="90"/>
      <w:bookmarkEnd w:id="91"/>
      <w:bookmarkEnd w:id="92"/>
      <w:bookmarkEnd w:id="93"/>
      <w:bookmarkEnd w:id="94"/>
      <w:r>
        <w:rPr>
          <w:rFonts w:hint="eastAsia" w:ascii="楷体" w:hAnsi="楷体" w:eastAsia="楷体" w:cs="楷体"/>
          <w:b/>
          <w:bCs/>
          <w:sz w:val="32"/>
          <w:szCs w:val="32"/>
          <w:lang w:val="en-US" w:eastAsia="zh-CN"/>
        </w:rPr>
        <w:t>成效</w:t>
      </w:r>
      <w:bookmarkEnd w:id="95"/>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6" w:name="_Toc13093"/>
      <w:r>
        <w:rPr>
          <w:rFonts w:hint="eastAsia" w:ascii="黑体" w:hAnsi="黑体" w:eastAsia="黑体" w:cs="黑体"/>
          <w:b w:val="0"/>
          <w:bCs/>
          <w:kern w:val="0"/>
          <w:sz w:val="32"/>
          <w:szCs w:val="32"/>
          <w:lang w:val="en-US" w:eastAsia="zh-CN"/>
        </w:rPr>
        <w:t>六、附件</w:t>
      </w:r>
      <w:bookmarkEnd w:id="96"/>
    </w:p>
    <w:p>
      <w:pPr>
        <w:pStyle w:val="3"/>
        <w:bidi w:val="0"/>
        <w:rPr>
          <w:rFonts w:hint="default" w:ascii="宋体" w:hAnsi="宋体" w:eastAsia="宋体" w:cs="宋体"/>
          <w:kern w:val="2"/>
          <w:sz w:val="28"/>
          <w:szCs w:val="28"/>
          <w:highlight w:val="none"/>
          <w:lang w:val="en-US" w:eastAsia="zh-CN" w:bidi="ar-SA"/>
        </w:rPr>
      </w:pPr>
      <w:bookmarkStart w:id="97" w:name="_Toc25151"/>
      <w:r>
        <w:rPr>
          <w:rFonts w:hint="eastAsia" w:ascii="楷体" w:hAnsi="楷体" w:eastAsia="楷体" w:cs="楷体"/>
          <w:lang w:val="en-US" w:eastAsia="zh-CN"/>
        </w:rPr>
        <w:t>绩效评价指标体系得分表</w:t>
      </w:r>
      <w:bookmarkEnd w:id="97"/>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adjustRightInd w:val="0"/>
        <w:snapToGrid w:val="0"/>
        <w:spacing w:line="540" w:lineRule="exact"/>
        <w:outlineLvl w:val="0"/>
        <w:rPr>
          <w:rFonts w:asciiTheme="minorEastAsia" w:hAnsiTheme="minorEastAsia"/>
          <w:sz w:val="32"/>
          <w:szCs w:val="32"/>
        </w:rPr>
      </w:pPr>
      <w:bookmarkStart w:id="98" w:name="_Toc15162"/>
      <w:bookmarkStart w:id="99" w:name="_Toc29646"/>
      <w:r>
        <w:rPr>
          <w:rFonts w:hint="eastAsia" w:asciiTheme="minorEastAsia" w:hAnsiTheme="minorEastAsia"/>
          <w:sz w:val="32"/>
          <w:szCs w:val="32"/>
        </w:rPr>
        <w:t>承德燕山会计师事务所         中国注册会计师：崔春华</w:t>
      </w:r>
      <w:bookmarkEnd w:id="98"/>
      <w:bookmarkEnd w:id="99"/>
    </w:p>
    <w:p>
      <w:pPr>
        <w:adjustRightInd w:val="0"/>
        <w:snapToGrid w:val="0"/>
        <w:spacing w:line="540" w:lineRule="exact"/>
        <w:ind w:firstLine="640" w:firstLineChars="200"/>
        <w:outlineLvl w:val="0"/>
        <w:rPr>
          <w:rFonts w:asciiTheme="minorEastAsia" w:hAnsiTheme="minorEastAsia"/>
          <w:sz w:val="32"/>
          <w:szCs w:val="32"/>
        </w:rPr>
      </w:pPr>
      <w:bookmarkStart w:id="100" w:name="_Toc21117"/>
      <w:bookmarkStart w:id="101" w:name="_Toc14815"/>
      <w:r>
        <w:rPr>
          <w:rFonts w:hint="eastAsia" w:asciiTheme="minorEastAsia" w:hAnsiTheme="minorEastAsia"/>
          <w:sz w:val="32"/>
          <w:szCs w:val="32"/>
        </w:rPr>
        <w:t>有限责任公司</w:t>
      </w:r>
      <w:bookmarkEnd w:id="100"/>
      <w:bookmarkEnd w:id="101"/>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102" w:name="_Toc13463"/>
      <w:bookmarkStart w:id="103" w:name="_Toc27782"/>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102"/>
      <w:bookmarkEnd w:id="103"/>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宋体" w:hAnsi="宋体" w:eastAsia="宋体" w:cs="宋体"/>
          <w:kern w:val="2"/>
          <w:sz w:val="28"/>
          <w:szCs w:val="28"/>
          <w:highlight w:val="none"/>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104"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104"/>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围场县乡镇地名标牌二期工程</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66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9"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6"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项目依法依规招投标得6分，应该招标项目没有招标不得分；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、资金使用合规性（</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、县级财政国库集中支付情况（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及时拨付项目资金得6分，未及时拨付每发现一次扣1分；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、工程完工情况（10分）；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、工期控制情况（10分）；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、完工项目验收情况（10分）；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r>
              <w:rPr>
                <w:rFonts w:hint="eastAsia" w:ascii="宋体" w:hAnsi="宋体" w:eastAsia="宋体" w:cs="宋体"/>
                <w:color w:val="000000"/>
                <w:sz w:val="24"/>
                <w:szCs w:val="24"/>
                <w:lang w:val="en-US" w:eastAsia="zh-CN"/>
              </w:rPr>
              <w:t>项目建设带来的间接经济效益（7分）；</w:t>
            </w:r>
          </w:p>
        </w:tc>
        <w:tc>
          <w:tcPr>
            <w:tcW w:w="1208"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66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92</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3906ECE"/>
    <w:rsid w:val="03B73450"/>
    <w:rsid w:val="047E3D7B"/>
    <w:rsid w:val="06B3136F"/>
    <w:rsid w:val="09DF3A36"/>
    <w:rsid w:val="0A617961"/>
    <w:rsid w:val="0C183F8C"/>
    <w:rsid w:val="0CF76258"/>
    <w:rsid w:val="0FF14209"/>
    <w:rsid w:val="105E04DB"/>
    <w:rsid w:val="11CA6AB4"/>
    <w:rsid w:val="12192A13"/>
    <w:rsid w:val="13426D82"/>
    <w:rsid w:val="1671287C"/>
    <w:rsid w:val="173A40B7"/>
    <w:rsid w:val="179E01C8"/>
    <w:rsid w:val="18B14196"/>
    <w:rsid w:val="19B12636"/>
    <w:rsid w:val="1C0818FD"/>
    <w:rsid w:val="1DCB30AC"/>
    <w:rsid w:val="1E3912B7"/>
    <w:rsid w:val="21C358CA"/>
    <w:rsid w:val="25C75787"/>
    <w:rsid w:val="261A33D3"/>
    <w:rsid w:val="27DD72F2"/>
    <w:rsid w:val="284D6241"/>
    <w:rsid w:val="2B052CF6"/>
    <w:rsid w:val="2B284D4B"/>
    <w:rsid w:val="2C137100"/>
    <w:rsid w:val="327F7BC1"/>
    <w:rsid w:val="33D8660F"/>
    <w:rsid w:val="39FB1AB6"/>
    <w:rsid w:val="3BA0792E"/>
    <w:rsid w:val="3BB5552B"/>
    <w:rsid w:val="3D7533AC"/>
    <w:rsid w:val="3EE432ED"/>
    <w:rsid w:val="41A52C9E"/>
    <w:rsid w:val="46437D54"/>
    <w:rsid w:val="47C37A03"/>
    <w:rsid w:val="48771478"/>
    <w:rsid w:val="48E449AC"/>
    <w:rsid w:val="4A924A90"/>
    <w:rsid w:val="4B440C85"/>
    <w:rsid w:val="4DF57240"/>
    <w:rsid w:val="4F5D274A"/>
    <w:rsid w:val="4F887C83"/>
    <w:rsid w:val="520F3FF7"/>
    <w:rsid w:val="53AD2E58"/>
    <w:rsid w:val="54252E1D"/>
    <w:rsid w:val="569318BE"/>
    <w:rsid w:val="577B4A42"/>
    <w:rsid w:val="5B267031"/>
    <w:rsid w:val="5E6B781D"/>
    <w:rsid w:val="63BD7909"/>
    <w:rsid w:val="6A236F78"/>
    <w:rsid w:val="6BA27456"/>
    <w:rsid w:val="6CF06CF8"/>
    <w:rsid w:val="6EA00B03"/>
    <w:rsid w:val="710016B0"/>
    <w:rsid w:val="75840E38"/>
    <w:rsid w:val="772A767C"/>
    <w:rsid w:val="772B6771"/>
    <w:rsid w:val="77AB17FD"/>
    <w:rsid w:val="7D451516"/>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2021-03-05T07:59:00Z</cp:lastPrinted>
  <dcterms:modified xsi:type="dcterms:W3CDTF">2021-04-25T08:13:22Z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DAA1F51971B6458FBEE3EC10A69D4F46</vt:lpwstr>
  </property>
</Properties>
</file>